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DC88" w14:textId="77777777" w:rsidR="00601FE5" w:rsidRDefault="00601FE5">
      <w:pPr>
        <w:spacing w:after="0"/>
        <w:ind w:left="1210" w:hanging="1210"/>
        <w:rPr>
          <w:b/>
          <w:sz w:val="28"/>
          <w:u w:val="single" w:color="000000"/>
        </w:rPr>
      </w:pPr>
      <w:r>
        <w:rPr>
          <w:noProof/>
        </w:rPr>
        <w:drawing>
          <wp:anchor distT="0" distB="0" distL="114300" distR="114300" simplePos="0" relativeHeight="251658240" behindDoc="0" locked="0" layoutInCell="1" allowOverlap="0" wp14:anchorId="7A6BFE41" wp14:editId="1C05F07D">
            <wp:simplePos x="0" y="0"/>
            <wp:positionH relativeFrom="page">
              <wp:posOffset>4821555</wp:posOffset>
            </wp:positionH>
            <wp:positionV relativeFrom="page">
              <wp:posOffset>0</wp:posOffset>
            </wp:positionV>
            <wp:extent cx="2011553" cy="816610"/>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a:stretch>
                      <a:fillRect/>
                    </a:stretch>
                  </pic:blipFill>
                  <pic:spPr>
                    <a:xfrm>
                      <a:off x="0" y="0"/>
                      <a:ext cx="2011553" cy="816610"/>
                    </a:xfrm>
                    <a:prstGeom prst="rect">
                      <a:avLst/>
                    </a:prstGeom>
                  </pic:spPr>
                </pic:pic>
              </a:graphicData>
            </a:graphic>
          </wp:anchor>
        </w:drawing>
      </w:r>
      <w:r>
        <w:rPr>
          <w:b/>
          <w:sz w:val="28"/>
          <w:u w:val="single" w:color="000000"/>
        </w:rPr>
        <w:t xml:space="preserve">      </w:t>
      </w:r>
    </w:p>
    <w:p w14:paraId="3B9DA4C8" w14:textId="160E0621" w:rsidR="00AB7245" w:rsidRPr="00130D08" w:rsidRDefault="00601FE5">
      <w:pPr>
        <w:spacing w:after="0"/>
        <w:ind w:left="1210" w:hanging="1210"/>
        <w:rPr>
          <w:color w:val="auto"/>
        </w:rPr>
      </w:pPr>
      <w:r w:rsidRPr="00130D08">
        <w:rPr>
          <w:b/>
          <w:color w:val="auto"/>
          <w:sz w:val="28"/>
          <w:u w:val="single" w:color="000000"/>
        </w:rPr>
        <w:t>Dexamfetamine Shared Care Guideline: Prescribing Agreement for Attention Deficit</w:t>
      </w:r>
      <w:r w:rsidRPr="00130D08">
        <w:rPr>
          <w:b/>
          <w:color w:val="auto"/>
          <w:sz w:val="28"/>
        </w:rPr>
        <w:t xml:space="preserve"> </w:t>
      </w:r>
      <w:r w:rsidRPr="00130D08">
        <w:rPr>
          <w:rFonts w:ascii="Arial" w:eastAsia="Arial" w:hAnsi="Arial" w:cs="Arial"/>
          <w:color w:val="auto"/>
          <w:sz w:val="25"/>
          <w:vertAlign w:val="subscript"/>
        </w:rPr>
        <w:t xml:space="preserve"> </w:t>
      </w:r>
      <w:r w:rsidRPr="00130D08">
        <w:rPr>
          <w:b/>
          <w:color w:val="auto"/>
          <w:sz w:val="28"/>
          <w:u w:val="single" w:color="000000"/>
        </w:rPr>
        <w:t>Hyperactivity Disorder in Children &amp; Young People (6-18 years)</w:t>
      </w:r>
      <w:r w:rsidRPr="00130D08">
        <w:rPr>
          <w:b/>
          <w:color w:val="auto"/>
          <w:sz w:val="28"/>
        </w:rPr>
        <w:t xml:space="preserve"> </w:t>
      </w:r>
    </w:p>
    <w:p w14:paraId="6D4990F1" w14:textId="77777777" w:rsidR="00AB7245" w:rsidRPr="00130D08" w:rsidRDefault="00601FE5" w:rsidP="00601FE5">
      <w:pPr>
        <w:spacing w:after="0" w:line="120" w:lineRule="auto"/>
        <w:ind w:left="244"/>
        <w:rPr>
          <w:color w:val="auto"/>
        </w:rPr>
      </w:pPr>
      <w:r w:rsidRPr="00130D08">
        <w:rPr>
          <w:rFonts w:ascii="Arial" w:eastAsia="Arial" w:hAnsi="Arial" w:cs="Arial"/>
          <w:b/>
          <w:color w:val="auto"/>
          <w:sz w:val="16"/>
        </w:rPr>
        <w:t xml:space="preserve"> </w:t>
      </w:r>
    </w:p>
    <w:p w14:paraId="7F3FD79F" w14:textId="77777777" w:rsidR="00601FE5" w:rsidRPr="00130D08" w:rsidRDefault="00601FE5" w:rsidP="00601FE5">
      <w:pPr>
        <w:spacing w:after="55" w:line="120" w:lineRule="auto"/>
        <w:ind w:left="244"/>
        <w:rPr>
          <w:rFonts w:ascii="Arial" w:eastAsia="Arial" w:hAnsi="Arial" w:cs="Arial"/>
          <w:color w:val="auto"/>
          <w:sz w:val="16"/>
        </w:rPr>
      </w:pPr>
      <w:r w:rsidRPr="00130D08">
        <w:rPr>
          <w:rFonts w:ascii="Arial" w:eastAsia="Arial" w:hAnsi="Arial" w:cs="Arial"/>
          <w:b/>
          <w:color w:val="auto"/>
          <w:sz w:val="16"/>
        </w:rPr>
        <w:t xml:space="preserve"> </w:t>
      </w:r>
      <w:r w:rsidRPr="00130D08">
        <w:rPr>
          <w:rFonts w:ascii="Arial" w:eastAsia="Arial" w:hAnsi="Arial" w:cs="Arial"/>
          <w:color w:val="auto"/>
          <w:sz w:val="16"/>
        </w:rPr>
        <w:t xml:space="preserve"> </w:t>
      </w:r>
      <w:r w:rsidRPr="00130D08">
        <w:rPr>
          <w:rFonts w:ascii="Arial" w:eastAsia="Arial" w:hAnsi="Arial" w:cs="Arial"/>
          <w:color w:val="auto"/>
          <w:sz w:val="16"/>
        </w:rPr>
        <w:tab/>
        <w:t xml:space="preserve"> </w:t>
      </w:r>
      <w:r w:rsidRPr="00130D08">
        <w:rPr>
          <w:rFonts w:ascii="Arial" w:eastAsia="Arial" w:hAnsi="Arial" w:cs="Arial"/>
          <w:color w:val="auto"/>
          <w:sz w:val="16"/>
        </w:rPr>
        <w:tab/>
        <w:t xml:space="preserve"> </w:t>
      </w:r>
      <w:r w:rsidRPr="00130D08">
        <w:rPr>
          <w:rFonts w:ascii="Arial" w:eastAsia="Arial" w:hAnsi="Arial" w:cs="Arial"/>
          <w:color w:val="auto"/>
          <w:sz w:val="16"/>
        </w:rPr>
        <w:tab/>
      </w:r>
    </w:p>
    <w:tbl>
      <w:tblPr>
        <w:tblpPr w:leftFromText="180" w:rightFromText="180" w:bottomFromText="200" w:vertAnchor="text" w:horzAnchor="margin" w:tblpXSpec="center" w:tblpY="43"/>
        <w:tblW w:w="10572" w:type="dxa"/>
        <w:tblLook w:val="04A0" w:firstRow="1" w:lastRow="0" w:firstColumn="1" w:lastColumn="0" w:noHBand="0" w:noVBand="1"/>
      </w:tblPr>
      <w:tblGrid>
        <w:gridCol w:w="4974"/>
        <w:gridCol w:w="200"/>
        <w:gridCol w:w="5398"/>
      </w:tblGrid>
      <w:tr w:rsidR="00130D08" w:rsidRPr="00130D08" w14:paraId="0CDF01F8" w14:textId="77777777" w:rsidTr="00601FE5">
        <w:trPr>
          <w:trHeight w:val="483"/>
        </w:trPr>
        <w:tc>
          <w:tcPr>
            <w:tcW w:w="10572" w:type="dxa"/>
            <w:gridSpan w:val="3"/>
            <w:tcBorders>
              <w:top w:val="single" w:sz="12" w:space="0" w:color="auto"/>
              <w:left w:val="single" w:sz="12" w:space="0" w:color="auto"/>
              <w:bottom w:val="single" w:sz="2" w:space="0" w:color="auto"/>
              <w:right w:val="single" w:sz="12" w:space="0" w:color="auto"/>
            </w:tcBorders>
            <w:shd w:val="clear" w:color="auto" w:fill="DBE5F1"/>
            <w:hideMark/>
          </w:tcPr>
          <w:p w14:paraId="2A475044" w14:textId="77777777" w:rsidR="00601FE5" w:rsidRPr="00130D08" w:rsidRDefault="00601FE5" w:rsidP="00601FE5">
            <w:pPr>
              <w:spacing w:after="200" w:line="230" w:lineRule="atLeast"/>
              <w:rPr>
                <w:b/>
                <w:color w:val="auto"/>
                <w:kern w:val="0"/>
                <w:szCs w:val="22"/>
                <w:lang w:eastAsia="en-US"/>
                <w14:ligatures w14:val="none"/>
              </w:rPr>
            </w:pPr>
            <w:r w:rsidRPr="00130D08">
              <w:rPr>
                <w:b/>
                <w:bCs/>
                <w:color w:val="auto"/>
                <w:kern w:val="0"/>
                <w:szCs w:val="22"/>
                <w:lang w:eastAsia="en-US"/>
                <w14:ligatures w14:val="none"/>
              </w:rPr>
              <w:t>Section A: To be completed by the hospital specialist initiating the treatment</w:t>
            </w:r>
          </w:p>
        </w:tc>
      </w:tr>
      <w:tr w:rsidR="00130D08" w:rsidRPr="00130D08" w14:paraId="31D9E260" w14:textId="77777777" w:rsidTr="00601FE5">
        <w:trPr>
          <w:trHeight w:val="1334"/>
        </w:trPr>
        <w:tc>
          <w:tcPr>
            <w:tcW w:w="5174" w:type="dxa"/>
            <w:gridSpan w:val="2"/>
            <w:tcBorders>
              <w:top w:val="single" w:sz="2" w:space="0" w:color="auto"/>
              <w:left w:val="single" w:sz="12" w:space="0" w:color="auto"/>
              <w:bottom w:val="single" w:sz="2" w:space="0" w:color="auto"/>
              <w:right w:val="single" w:sz="2" w:space="0" w:color="auto"/>
            </w:tcBorders>
            <w:hideMark/>
          </w:tcPr>
          <w:p w14:paraId="625B4296" w14:textId="77777777" w:rsidR="00601FE5" w:rsidRPr="00130D08" w:rsidRDefault="00601FE5" w:rsidP="00601FE5">
            <w:pPr>
              <w:spacing w:after="200" w:line="230" w:lineRule="atLeast"/>
              <w:contextualSpacing/>
              <w:rPr>
                <w:b/>
                <w:bCs/>
                <w:color w:val="auto"/>
                <w:kern w:val="0"/>
                <w:szCs w:val="22"/>
                <w:lang w:eastAsia="en-US"/>
                <w14:ligatures w14:val="none"/>
              </w:rPr>
            </w:pPr>
            <w:r w:rsidRPr="00130D08">
              <w:rPr>
                <w:b/>
                <w:bCs/>
                <w:color w:val="auto"/>
                <w:kern w:val="0"/>
                <w:szCs w:val="22"/>
                <w:lang w:eastAsia="en-US"/>
                <w14:ligatures w14:val="none"/>
              </w:rPr>
              <w:t>GP Practice Details:</w:t>
            </w:r>
          </w:p>
          <w:p w14:paraId="621656DF" w14:textId="77777777" w:rsidR="00601FE5" w:rsidRPr="00130D08" w:rsidRDefault="00601FE5" w:rsidP="00601FE5">
            <w:pPr>
              <w:spacing w:after="200" w:line="230" w:lineRule="atLeast"/>
              <w:contextualSpacing/>
              <w:rPr>
                <w:b/>
                <w:bCs/>
                <w:i/>
                <w:iCs/>
                <w:color w:val="auto"/>
                <w:kern w:val="0"/>
                <w:szCs w:val="22"/>
                <w:lang w:eastAsia="en-US"/>
                <w14:ligatures w14:val="none"/>
              </w:rPr>
            </w:pPr>
            <w:permStart w:id="168914290" w:edGrp="everyone"/>
            <w:r w:rsidRPr="00130D08">
              <w:rPr>
                <w:b/>
                <w:bCs/>
                <w:i/>
                <w:iCs/>
                <w:color w:val="auto"/>
                <w:kern w:val="0"/>
                <w:szCs w:val="22"/>
                <w:lang w:eastAsia="en-US"/>
                <w14:ligatures w14:val="none"/>
              </w:rPr>
              <w:t>(IT add full GP address, practice code etc)</w:t>
            </w:r>
            <w:permEnd w:id="168914290"/>
          </w:p>
        </w:tc>
        <w:tc>
          <w:tcPr>
            <w:tcW w:w="5398" w:type="dxa"/>
            <w:tcBorders>
              <w:top w:val="single" w:sz="2" w:space="0" w:color="auto"/>
              <w:left w:val="single" w:sz="2" w:space="0" w:color="auto"/>
              <w:bottom w:val="single" w:sz="2" w:space="0" w:color="auto"/>
              <w:right w:val="single" w:sz="12" w:space="0" w:color="auto"/>
            </w:tcBorders>
          </w:tcPr>
          <w:p w14:paraId="0E0F95D0" w14:textId="77777777" w:rsidR="00601FE5" w:rsidRPr="00130D08" w:rsidRDefault="00601FE5" w:rsidP="00601FE5">
            <w:pPr>
              <w:spacing w:after="200" w:line="230" w:lineRule="atLeast"/>
              <w:contextualSpacing/>
              <w:rPr>
                <w:b/>
                <w:color w:val="auto"/>
                <w:kern w:val="0"/>
                <w:szCs w:val="22"/>
                <w:lang w:eastAsia="en-US"/>
                <w14:ligatures w14:val="none"/>
              </w:rPr>
            </w:pPr>
            <w:r w:rsidRPr="00130D08">
              <w:rPr>
                <w:b/>
                <w:color w:val="auto"/>
                <w:kern w:val="0"/>
                <w:szCs w:val="22"/>
                <w:lang w:eastAsia="en-US"/>
                <w14:ligatures w14:val="none"/>
              </w:rPr>
              <w:t xml:space="preserve">Patient Details: </w:t>
            </w:r>
            <w:permStart w:id="1146050954" w:edGrp="everyone"/>
            <w:r w:rsidRPr="00130D08">
              <w:rPr>
                <w:b/>
                <w:color w:val="auto"/>
                <w:kern w:val="0"/>
                <w:szCs w:val="22"/>
                <w:lang w:eastAsia="en-US"/>
                <w14:ligatures w14:val="none"/>
              </w:rPr>
              <w:t>(IT add patient fields)</w:t>
            </w:r>
            <w:permEnd w:id="1146050954"/>
          </w:p>
          <w:p w14:paraId="06F2F627" w14:textId="77777777" w:rsidR="00601FE5" w:rsidRPr="00130D08" w:rsidRDefault="00601FE5" w:rsidP="00601FE5">
            <w:pPr>
              <w:spacing w:after="200" w:line="230" w:lineRule="atLeast"/>
              <w:contextualSpacing/>
              <w:rPr>
                <w:color w:val="auto"/>
                <w:kern w:val="0"/>
                <w:szCs w:val="22"/>
                <w:lang w:eastAsia="en-US"/>
                <w14:ligatures w14:val="none"/>
              </w:rPr>
            </w:pPr>
          </w:p>
        </w:tc>
      </w:tr>
      <w:tr w:rsidR="00130D08" w:rsidRPr="00130D08" w14:paraId="7C6BD69C" w14:textId="77777777" w:rsidTr="00601FE5">
        <w:trPr>
          <w:trHeight w:val="1099"/>
        </w:trPr>
        <w:tc>
          <w:tcPr>
            <w:tcW w:w="10572" w:type="dxa"/>
            <w:gridSpan w:val="3"/>
            <w:tcBorders>
              <w:top w:val="single" w:sz="2" w:space="0" w:color="auto"/>
              <w:left w:val="single" w:sz="12" w:space="0" w:color="auto"/>
              <w:bottom w:val="single" w:sz="2" w:space="0" w:color="auto"/>
              <w:right w:val="single" w:sz="12" w:space="0" w:color="auto"/>
            </w:tcBorders>
            <w:hideMark/>
          </w:tcPr>
          <w:p w14:paraId="0ECE5D29" w14:textId="6826C067" w:rsidR="00601FE5" w:rsidRPr="00130D08" w:rsidRDefault="00601FE5" w:rsidP="00601FE5">
            <w:pPr>
              <w:spacing w:after="100" w:afterAutospacing="1" w:line="230" w:lineRule="atLeast"/>
              <w:contextualSpacing/>
              <w:rPr>
                <w:bCs/>
                <w:color w:val="auto"/>
                <w:kern w:val="0"/>
                <w:szCs w:val="22"/>
                <w:lang w:eastAsia="en-US"/>
                <w14:ligatures w14:val="none"/>
              </w:rPr>
            </w:pPr>
            <w:r w:rsidRPr="00130D08">
              <w:rPr>
                <w:b/>
                <w:bCs/>
                <w:color w:val="auto"/>
                <w:kern w:val="0"/>
                <w:szCs w:val="22"/>
                <w:lang w:eastAsia="en-US"/>
                <w14:ligatures w14:val="none"/>
              </w:rPr>
              <w:t xml:space="preserve">Specialist prescriber name: </w:t>
            </w:r>
            <w:permStart w:id="1367363030" w:edGrp="everyone"/>
            <w:r w:rsidRPr="00130D08">
              <w:rPr>
                <w:bCs/>
                <w:color w:val="auto"/>
                <w:kern w:val="0"/>
                <w:szCs w:val="22"/>
                <w:lang w:eastAsia="en-US"/>
                <w14:ligatures w14:val="none"/>
              </w:rPr>
              <w:t xml:space="preserve">……………………………...... </w:t>
            </w:r>
            <w:permEnd w:id="1367363030"/>
            <w:r w:rsidRPr="00130D08">
              <w:rPr>
                <w:b/>
                <w:bCs/>
                <w:color w:val="auto"/>
                <w:kern w:val="0"/>
                <w:szCs w:val="22"/>
                <w:lang w:eastAsia="en-US"/>
                <w14:ligatures w14:val="none"/>
              </w:rPr>
              <w:t>Clinic name:</w:t>
            </w:r>
            <w:permStart w:id="1289171375" w:edGrp="everyone"/>
            <w:r w:rsidRPr="00130D08">
              <w:rPr>
                <w:i/>
                <w:iCs/>
                <w:color w:val="auto"/>
                <w:kern w:val="0"/>
                <w:szCs w:val="22"/>
                <w:lang w:eastAsia="en-US"/>
                <w14:ligatures w14:val="none"/>
              </w:rPr>
              <w:t xml:space="preserve"> </w:t>
            </w:r>
            <w:r w:rsidRPr="00130D08">
              <w:rPr>
                <w:bCs/>
                <w:color w:val="auto"/>
                <w:kern w:val="0"/>
                <w:szCs w:val="22"/>
                <w:lang w:eastAsia="en-US"/>
                <w14:ligatures w14:val="none"/>
              </w:rPr>
              <w:t>………………………………….</w:t>
            </w:r>
            <w:permEnd w:id="1289171375"/>
          </w:p>
          <w:p w14:paraId="1DD8B108" w14:textId="146BC133" w:rsidR="00601FE5" w:rsidRPr="00130D08" w:rsidRDefault="00601FE5" w:rsidP="00601FE5">
            <w:pPr>
              <w:spacing w:after="100" w:afterAutospacing="1" w:line="230" w:lineRule="atLeast"/>
              <w:contextualSpacing/>
              <w:rPr>
                <w:bCs/>
                <w:color w:val="auto"/>
                <w:kern w:val="0"/>
                <w:szCs w:val="22"/>
                <w:lang w:eastAsia="en-US"/>
                <w14:ligatures w14:val="none"/>
              </w:rPr>
            </w:pPr>
            <w:r w:rsidRPr="00130D08">
              <w:rPr>
                <w:b/>
                <w:bCs/>
                <w:color w:val="auto"/>
                <w:kern w:val="0"/>
                <w:szCs w:val="22"/>
                <w:lang w:eastAsia="en-US"/>
                <w14:ligatures w14:val="none"/>
              </w:rPr>
              <w:t>Contact details</w:t>
            </w:r>
            <w:r w:rsidRPr="00130D08">
              <w:rPr>
                <w:bCs/>
                <w:color w:val="auto"/>
                <w:kern w:val="0"/>
                <w:szCs w:val="22"/>
                <w:lang w:eastAsia="en-US"/>
                <w14:ligatures w14:val="none"/>
              </w:rPr>
              <w:t>: Address:</w:t>
            </w:r>
            <w:permStart w:id="2116553307" w:edGrp="everyone"/>
            <w:r w:rsidRPr="00130D08">
              <w:rPr>
                <w:bCs/>
                <w:color w:val="auto"/>
                <w:kern w:val="0"/>
                <w:szCs w:val="22"/>
                <w:lang w:eastAsia="en-US"/>
                <w14:ligatures w14:val="none"/>
              </w:rPr>
              <w:t>........................................................................................................................</w:t>
            </w:r>
            <w:permEnd w:id="2116553307"/>
          </w:p>
          <w:p w14:paraId="1D0C5028" w14:textId="5B6C032C" w:rsidR="00601FE5" w:rsidRPr="00130D08" w:rsidRDefault="00601FE5" w:rsidP="00601FE5">
            <w:pPr>
              <w:spacing w:after="100" w:afterAutospacing="1" w:line="230" w:lineRule="atLeast"/>
              <w:contextualSpacing/>
              <w:rPr>
                <w:color w:val="auto"/>
                <w:kern w:val="0"/>
                <w:szCs w:val="22"/>
                <w:lang w:eastAsia="en-US"/>
                <w14:ligatures w14:val="none"/>
              </w:rPr>
            </w:pPr>
            <w:r w:rsidRPr="00130D08">
              <w:rPr>
                <w:bCs/>
                <w:color w:val="auto"/>
                <w:kern w:val="0"/>
                <w:szCs w:val="22"/>
                <w:lang w:eastAsia="en-US"/>
                <w14:ligatures w14:val="none"/>
              </w:rPr>
              <w:t xml:space="preserve">Tel no: </w:t>
            </w:r>
            <w:permStart w:id="1266762217" w:edGrp="everyone"/>
            <w:r w:rsidRPr="00130D08">
              <w:rPr>
                <w:bCs/>
                <w:color w:val="auto"/>
                <w:kern w:val="0"/>
                <w:szCs w:val="22"/>
                <w:lang w:eastAsia="en-US"/>
                <w14:ligatures w14:val="none"/>
              </w:rPr>
              <w:t xml:space="preserve">…………………………………… </w:t>
            </w:r>
            <w:permEnd w:id="1266762217"/>
            <w:r w:rsidRPr="00130D08">
              <w:rPr>
                <w:bCs/>
                <w:color w:val="auto"/>
                <w:kern w:val="0"/>
                <w:szCs w:val="22"/>
                <w:lang w:eastAsia="en-US"/>
                <w14:ligatures w14:val="none"/>
              </w:rPr>
              <w:t xml:space="preserve">    E-mail: </w:t>
            </w:r>
            <w:permStart w:id="429152705" w:edGrp="everyone"/>
            <w:r w:rsidRPr="00130D08">
              <w:rPr>
                <w:bCs/>
                <w:color w:val="auto"/>
                <w:kern w:val="0"/>
                <w:szCs w:val="22"/>
                <w:lang w:eastAsia="en-US"/>
                <w14:ligatures w14:val="none"/>
              </w:rPr>
              <w:t>……………………………</w:t>
            </w:r>
            <w:permEnd w:id="429152705"/>
          </w:p>
        </w:tc>
      </w:tr>
      <w:tr w:rsidR="00130D08" w:rsidRPr="00130D08" w14:paraId="0DAA44B3" w14:textId="77777777" w:rsidTr="00601FE5">
        <w:trPr>
          <w:trHeight w:val="750"/>
        </w:trPr>
        <w:tc>
          <w:tcPr>
            <w:tcW w:w="4974" w:type="dxa"/>
            <w:tcBorders>
              <w:top w:val="single" w:sz="2" w:space="0" w:color="auto"/>
              <w:left w:val="single" w:sz="12" w:space="0" w:color="auto"/>
              <w:bottom w:val="single" w:sz="2" w:space="0" w:color="auto"/>
              <w:right w:val="single" w:sz="2" w:space="0" w:color="auto"/>
            </w:tcBorders>
          </w:tcPr>
          <w:p w14:paraId="501514D5" w14:textId="77777777" w:rsidR="00601FE5" w:rsidRPr="00130D08" w:rsidRDefault="00601FE5" w:rsidP="00601FE5">
            <w:pPr>
              <w:spacing w:after="200" w:line="230" w:lineRule="atLeast"/>
              <w:rPr>
                <w:b/>
                <w:bCs/>
                <w:color w:val="auto"/>
                <w:kern w:val="0"/>
                <w:szCs w:val="22"/>
                <w:lang w:eastAsia="en-US"/>
                <w14:ligatures w14:val="none"/>
              </w:rPr>
            </w:pPr>
            <w:r w:rsidRPr="00130D08">
              <w:rPr>
                <w:b/>
                <w:bCs/>
                <w:color w:val="auto"/>
                <w:kern w:val="0"/>
                <w:szCs w:val="22"/>
                <w:lang w:eastAsia="en-US"/>
                <w14:ligatures w14:val="none"/>
              </w:rPr>
              <w:t xml:space="preserve">Diagnosis: </w:t>
            </w:r>
            <w:permStart w:id="678587249" w:edGrp="everyone"/>
            <w:r w:rsidRPr="00130D08">
              <w:rPr>
                <w:b/>
                <w:bCs/>
                <w:color w:val="auto"/>
                <w:kern w:val="0"/>
                <w:szCs w:val="22"/>
                <w:lang w:eastAsia="en-US"/>
                <w14:ligatures w14:val="none"/>
              </w:rPr>
              <w:t>(IT add latest diagnosis)</w:t>
            </w:r>
            <w:permEnd w:id="678587249"/>
          </w:p>
          <w:p w14:paraId="53CD1A73" w14:textId="77777777" w:rsidR="00601FE5" w:rsidRPr="00130D08" w:rsidRDefault="00601FE5" w:rsidP="00601FE5">
            <w:pPr>
              <w:spacing w:after="200" w:line="230" w:lineRule="atLeast"/>
              <w:rPr>
                <w:b/>
                <w:bCs/>
                <w:color w:val="auto"/>
                <w:kern w:val="0"/>
                <w:szCs w:val="22"/>
                <w:lang w:eastAsia="en-US"/>
                <w14:ligatures w14:val="none"/>
              </w:rPr>
            </w:pPr>
          </w:p>
        </w:tc>
        <w:tc>
          <w:tcPr>
            <w:tcW w:w="5598" w:type="dxa"/>
            <w:gridSpan w:val="2"/>
            <w:tcBorders>
              <w:top w:val="single" w:sz="2" w:space="0" w:color="auto"/>
              <w:left w:val="single" w:sz="2" w:space="0" w:color="auto"/>
              <w:bottom w:val="single" w:sz="2" w:space="0" w:color="auto"/>
              <w:right w:val="single" w:sz="12" w:space="0" w:color="auto"/>
            </w:tcBorders>
            <w:hideMark/>
          </w:tcPr>
          <w:p w14:paraId="7E7C9D44" w14:textId="1809C7FB" w:rsidR="00601FE5" w:rsidRPr="00130D08" w:rsidRDefault="00601FE5" w:rsidP="00601FE5">
            <w:pPr>
              <w:spacing w:after="200" w:line="230" w:lineRule="atLeast"/>
              <w:rPr>
                <w:b/>
                <w:bCs/>
                <w:color w:val="auto"/>
                <w:kern w:val="0"/>
                <w:szCs w:val="22"/>
                <w:lang w:eastAsia="en-US"/>
                <w14:ligatures w14:val="none"/>
              </w:rPr>
            </w:pPr>
            <w:r w:rsidRPr="00130D08">
              <w:rPr>
                <w:b/>
                <w:bCs/>
                <w:color w:val="auto"/>
                <w:kern w:val="0"/>
                <w:szCs w:val="22"/>
                <w:lang w:eastAsia="en-US"/>
                <w14:ligatures w14:val="none"/>
              </w:rPr>
              <w:t>Medication name, dose and frequency to be prescribed by GP:</w:t>
            </w:r>
            <w:permStart w:id="97602121" w:edGrp="everyone"/>
            <w:r w:rsidR="00130D08" w:rsidRPr="00130D08">
              <w:rPr>
                <w:color w:val="auto"/>
                <w:kern w:val="0"/>
                <w:szCs w:val="22"/>
                <w:lang w:eastAsia="en-US"/>
                <w14:ligatures w14:val="none"/>
              </w:rPr>
              <w:t xml:space="preserve"> </w:t>
            </w:r>
            <w:r w:rsidRPr="00130D08">
              <w:rPr>
                <w:color w:val="auto"/>
                <w:kern w:val="0"/>
                <w:szCs w:val="22"/>
                <w:lang w:eastAsia="en-US"/>
                <w14:ligatures w14:val="none"/>
              </w:rPr>
              <w:t>……………………………………………….</w:t>
            </w:r>
            <w:permEnd w:id="97602121"/>
          </w:p>
        </w:tc>
      </w:tr>
      <w:tr w:rsidR="00130D08" w:rsidRPr="00130D08" w14:paraId="00F2BC29" w14:textId="77777777" w:rsidTr="00601FE5">
        <w:trPr>
          <w:trHeight w:val="483"/>
        </w:trPr>
        <w:tc>
          <w:tcPr>
            <w:tcW w:w="10572" w:type="dxa"/>
            <w:gridSpan w:val="3"/>
            <w:tcBorders>
              <w:top w:val="single" w:sz="2" w:space="0" w:color="auto"/>
              <w:left w:val="single" w:sz="12" w:space="0" w:color="auto"/>
              <w:bottom w:val="single" w:sz="2" w:space="0" w:color="auto"/>
              <w:right w:val="single" w:sz="12" w:space="0" w:color="auto"/>
            </w:tcBorders>
            <w:hideMark/>
          </w:tcPr>
          <w:p w14:paraId="581A3867" w14:textId="77777777" w:rsidR="00601FE5" w:rsidRPr="00130D08" w:rsidRDefault="00601FE5" w:rsidP="00601FE5">
            <w:pPr>
              <w:spacing w:after="200" w:line="230" w:lineRule="atLeast"/>
              <w:rPr>
                <w:color w:val="auto"/>
                <w:kern w:val="0"/>
                <w:szCs w:val="22"/>
                <w:lang w:eastAsia="en-US"/>
                <w14:ligatures w14:val="none"/>
              </w:rPr>
            </w:pPr>
            <w:r w:rsidRPr="00130D08">
              <w:rPr>
                <w:b/>
                <w:bCs/>
                <w:color w:val="auto"/>
                <w:kern w:val="0"/>
                <w:szCs w:val="22"/>
                <w:lang w:eastAsia="en-US"/>
                <w14:ligatures w14:val="none"/>
              </w:rPr>
              <w:t xml:space="preserve">Next hospital appointment: </w:t>
            </w:r>
            <w:permStart w:id="301286447" w:edGrp="everyone"/>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301286447"/>
          </w:p>
        </w:tc>
      </w:tr>
      <w:tr w:rsidR="00130D08" w:rsidRPr="00130D08" w14:paraId="3ABFD6AE" w14:textId="77777777" w:rsidTr="00601FE5">
        <w:trPr>
          <w:trHeight w:val="7781"/>
        </w:trPr>
        <w:tc>
          <w:tcPr>
            <w:tcW w:w="10572" w:type="dxa"/>
            <w:gridSpan w:val="3"/>
            <w:tcBorders>
              <w:top w:val="single" w:sz="2" w:space="0" w:color="auto"/>
              <w:left w:val="single" w:sz="12" w:space="0" w:color="auto"/>
              <w:bottom w:val="single" w:sz="12" w:space="0" w:color="auto"/>
              <w:right w:val="single" w:sz="12" w:space="0" w:color="auto"/>
            </w:tcBorders>
          </w:tcPr>
          <w:p w14:paraId="7B292438" w14:textId="25325EEE" w:rsidR="00601FE5" w:rsidRPr="00130D08" w:rsidRDefault="00601FE5" w:rsidP="00601FE5">
            <w:pPr>
              <w:autoSpaceDE w:val="0"/>
              <w:autoSpaceDN w:val="0"/>
              <w:adjustRightInd w:val="0"/>
              <w:spacing w:after="0" w:line="240" w:lineRule="auto"/>
              <w:rPr>
                <w:bCs/>
                <w:color w:val="auto"/>
                <w:kern w:val="0"/>
                <w:szCs w:val="22"/>
                <w:lang w:eastAsia="en-US"/>
                <w14:ligatures w14:val="none"/>
              </w:rPr>
            </w:pPr>
            <w:r w:rsidRPr="00130D08">
              <w:rPr>
                <w:bCs/>
                <w:color w:val="auto"/>
                <w:kern w:val="0"/>
                <w:szCs w:val="22"/>
                <w:lang w:eastAsia="en-US"/>
                <w14:ligatures w14:val="none"/>
              </w:rPr>
              <w:t xml:space="preserve">Dear Dr. </w:t>
            </w:r>
            <w:permStart w:id="854464624" w:edGrp="everyone"/>
            <w:r w:rsidRPr="00130D08">
              <w:rPr>
                <w:bCs/>
                <w:color w:val="auto"/>
                <w:kern w:val="0"/>
                <w:szCs w:val="22"/>
                <w:lang w:eastAsia="en-US"/>
                <w14:ligatures w14:val="none"/>
              </w:rPr>
              <w:t>…………………….</w:t>
            </w:r>
            <w:permEnd w:id="854464624"/>
            <w:r w:rsidRPr="00130D08">
              <w:rPr>
                <w:bCs/>
                <w:color w:val="auto"/>
                <w:kern w:val="0"/>
                <w:szCs w:val="22"/>
                <w:lang w:eastAsia="en-US"/>
                <w14:ligatures w14:val="none"/>
              </w:rPr>
              <w:t>,</w:t>
            </w:r>
          </w:p>
          <w:p w14:paraId="745F6271" w14:textId="7D6010A7" w:rsidR="00601FE5" w:rsidRPr="00130D08" w:rsidRDefault="00601FE5" w:rsidP="00601FE5">
            <w:pPr>
              <w:autoSpaceDE w:val="0"/>
              <w:autoSpaceDN w:val="0"/>
              <w:adjustRightInd w:val="0"/>
              <w:spacing w:after="0" w:line="240" w:lineRule="auto"/>
              <w:rPr>
                <w:i/>
                <w:iCs/>
                <w:color w:val="auto"/>
                <w:kern w:val="0"/>
                <w:szCs w:val="22"/>
                <w:lang w:eastAsia="en-US"/>
                <w14:ligatures w14:val="none"/>
              </w:rPr>
            </w:pPr>
            <w:r w:rsidRPr="00130D08">
              <w:rPr>
                <w:color w:val="auto"/>
                <w:kern w:val="0"/>
                <w:szCs w:val="22"/>
                <w:lang w:eastAsia="en-US"/>
                <w14:ligatures w14:val="none"/>
              </w:rPr>
              <w:t xml:space="preserve">Your patient was reviewed on </w:t>
            </w:r>
            <w:permStart w:id="607000968" w:edGrp="everyone"/>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607000968"/>
            <w:r w:rsidRPr="00130D08">
              <w:rPr>
                <w:i/>
                <w:iCs/>
                <w:color w:val="auto"/>
                <w:kern w:val="0"/>
                <w:szCs w:val="22"/>
                <w:lang w:eastAsia="en-US"/>
                <w14:ligatures w14:val="none"/>
              </w:rPr>
              <w:t>;</w:t>
            </w:r>
            <w:r w:rsidRPr="00130D08">
              <w:rPr>
                <w:iCs/>
                <w:color w:val="auto"/>
                <w:kern w:val="0"/>
                <w:szCs w:val="22"/>
                <w:lang w:eastAsia="en-US"/>
                <w14:ligatures w14:val="none"/>
              </w:rPr>
              <w:t xml:space="preserve"> they </w:t>
            </w:r>
            <w:r w:rsidRPr="00130D08">
              <w:rPr>
                <w:color w:val="auto"/>
                <w:kern w:val="0"/>
                <w:szCs w:val="22"/>
                <w:lang w:eastAsia="en-US"/>
                <w14:ligatures w14:val="none"/>
              </w:rPr>
              <w:t xml:space="preserve">started </w:t>
            </w:r>
            <w:permStart w:id="1770940779" w:edGrp="everyone"/>
            <w:r w:rsidRPr="00130D08">
              <w:rPr>
                <w:color w:val="auto"/>
                <w:kern w:val="0"/>
                <w:szCs w:val="22"/>
                <w:lang w:eastAsia="en-US"/>
                <w14:ligatures w14:val="none"/>
              </w:rPr>
              <w:t xml:space="preserve">(insert medication name and dose) </w:t>
            </w:r>
            <w:permEnd w:id="1770940779"/>
            <w:r w:rsidRPr="00130D08">
              <w:rPr>
                <w:color w:val="auto"/>
                <w:kern w:val="0"/>
                <w:szCs w:val="22"/>
                <w:lang w:eastAsia="en-US"/>
                <w14:ligatures w14:val="none"/>
              </w:rPr>
              <w:t xml:space="preserve">on </w:t>
            </w:r>
            <w:permStart w:id="270545219" w:edGrp="everyone"/>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270545219"/>
            <w:r w:rsidRPr="00130D08">
              <w:rPr>
                <w:color w:val="auto"/>
                <w:kern w:val="0"/>
                <w:szCs w:val="22"/>
                <w:lang w:eastAsia="en-US"/>
                <w14:ligatures w14:val="none"/>
              </w:rPr>
              <w:t xml:space="preserve"> for the above diagnosis and in my view, their condition is now stable. I am requesting your agreement to sharing the care of this patient from </w:t>
            </w:r>
            <w:permStart w:id="1734627659" w:edGrp="everyone"/>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734627659"/>
            <w:r w:rsidRPr="00130D08">
              <w:rPr>
                <w:color w:val="auto"/>
                <w:kern w:val="0"/>
                <w:szCs w:val="22"/>
                <w:lang w:eastAsia="en-US"/>
                <w14:ligatures w14:val="none"/>
              </w:rPr>
              <w:t xml:space="preserve"> in accordance with the attached Shared Care Prescribing Guideline (approval date </w:t>
            </w:r>
            <w:permStart w:id="1394818240" w:edGrp="everyone"/>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394818240"/>
            <w:r w:rsidRPr="00130D08">
              <w:rPr>
                <w:color w:val="auto"/>
                <w:kern w:val="0"/>
                <w:szCs w:val="22"/>
                <w:lang w:eastAsia="en-US"/>
                <w14:ligatures w14:val="none"/>
              </w:rPr>
              <w:t xml:space="preserve">). Please take particular note of the responsibilities for the specialist, GP and patient for this shared care arrangement are detailed. </w:t>
            </w:r>
          </w:p>
          <w:p w14:paraId="0A50763A"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p>
          <w:p w14:paraId="4BD43535"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 xml:space="preserve">Patient information has been given outlining potential aims and side effects of this treatment. </w:t>
            </w:r>
          </w:p>
          <w:p w14:paraId="270A1D8E"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The patient has given me consent to treatment possibly under a shared care prescribing agreement (with your agreement) and has agreed to comply with instructions and follow up requirements.</w:t>
            </w:r>
          </w:p>
          <w:p w14:paraId="4A1C8842"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Report all adverse effect of atomoxetine to the MHRA via the yellow card system.</w:t>
            </w:r>
          </w:p>
          <w:p w14:paraId="43A4243E" w14:textId="77777777" w:rsidR="00601FE5" w:rsidRPr="00130D08" w:rsidRDefault="00601FE5" w:rsidP="00601FE5">
            <w:pPr>
              <w:autoSpaceDE w:val="0"/>
              <w:autoSpaceDN w:val="0"/>
              <w:adjustRightInd w:val="0"/>
              <w:spacing w:after="0" w:line="240" w:lineRule="auto"/>
              <w:jc w:val="right"/>
              <w:rPr>
                <w:color w:val="auto"/>
                <w:kern w:val="0"/>
                <w:szCs w:val="22"/>
                <w:lang w:eastAsia="en-US"/>
                <w14:ligatures w14:val="none"/>
              </w:rPr>
            </w:pPr>
            <w:r w:rsidRPr="00130D08">
              <w:rPr>
                <w:color w:val="auto"/>
                <w:kern w:val="0"/>
                <w:szCs w:val="22"/>
                <w:lang w:eastAsia="en-US"/>
                <w14:ligatures w14:val="none"/>
              </w:rPr>
              <w:t>.</w:t>
            </w:r>
          </w:p>
          <w:p w14:paraId="0B0F3751"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 xml:space="preserve">The most recent investigations have been performed on </w:t>
            </w:r>
            <w:permStart w:id="1617180917" w:edGrp="everyone"/>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617180917"/>
            <w:r w:rsidRPr="00130D08">
              <w:rPr>
                <w:color w:val="auto"/>
                <w:kern w:val="0"/>
                <w:szCs w:val="22"/>
                <w:lang w:eastAsia="en-US"/>
                <w14:ligatures w14:val="none"/>
              </w:rPr>
              <w:t xml:space="preserve"> and are acceptable for shared care.  </w:t>
            </w:r>
          </w:p>
          <w:p w14:paraId="61C9DB44"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Please monitor:</w:t>
            </w:r>
          </w:p>
          <w:p w14:paraId="17EDAC6D"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Blood pressure, pulse, and weight every 6 months</w:t>
            </w:r>
          </w:p>
          <w:p w14:paraId="13FC9A95"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For children 10 years and underweight every 3 months.</w:t>
            </w:r>
          </w:p>
          <w:p w14:paraId="5CC2F675"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 xml:space="preserve">For children over 10 years weight at 3 and 6 months after starting treatment and every 6 months thereafter. </w:t>
            </w:r>
          </w:p>
          <w:p w14:paraId="3E75C66A" w14:textId="77777777" w:rsidR="00601FE5" w:rsidRPr="00130D08" w:rsidRDefault="00601FE5" w:rsidP="00601FE5">
            <w:pPr>
              <w:autoSpaceDE w:val="0"/>
              <w:autoSpaceDN w:val="0"/>
              <w:adjustRightInd w:val="0"/>
              <w:spacing w:after="0" w:line="276" w:lineRule="auto"/>
              <w:rPr>
                <w:color w:val="auto"/>
                <w:kern w:val="0"/>
                <w:szCs w:val="22"/>
                <w:lang w:eastAsia="en-US"/>
                <w14:ligatures w14:val="none"/>
              </w:rPr>
            </w:pPr>
            <w:r w:rsidRPr="00130D08">
              <w:rPr>
                <w:color w:val="auto"/>
                <w:kern w:val="0"/>
                <w:szCs w:val="22"/>
                <w:lang w:eastAsia="en-US"/>
                <w14:ligatures w14:val="none"/>
              </w:rPr>
              <w:t>For signs of liver toxicity with atomoxetine.</w:t>
            </w:r>
          </w:p>
          <w:p w14:paraId="4749972A"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Please re-refer the patient or seek specialist advice from the psychiatrist or paediatrician if there is deterioration in ADHD symptomatology, behaviour, evidence of suicidal ideation or adverse effects of medication.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1583"/>
              <w:gridCol w:w="1583"/>
              <w:gridCol w:w="1583"/>
              <w:gridCol w:w="1583"/>
            </w:tblGrid>
            <w:tr w:rsidR="00130D08" w:rsidRPr="00130D08" w14:paraId="57362399" w14:textId="77777777">
              <w:trPr>
                <w:trHeight w:val="277"/>
              </w:trPr>
              <w:tc>
                <w:tcPr>
                  <w:tcW w:w="3519" w:type="dxa"/>
                  <w:tcBorders>
                    <w:top w:val="single" w:sz="12" w:space="0" w:color="auto"/>
                    <w:left w:val="single" w:sz="12" w:space="0" w:color="auto"/>
                    <w:bottom w:val="single" w:sz="2" w:space="0" w:color="auto"/>
                    <w:right w:val="single" w:sz="2" w:space="0" w:color="auto"/>
                  </w:tcBorders>
                  <w:shd w:val="clear" w:color="auto" w:fill="D9D9D9"/>
                  <w:hideMark/>
                </w:tcPr>
                <w:p w14:paraId="6D390B1C" w14:textId="77777777" w:rsidR="00601FE5" w:rsidRPr="00130D08" w:rsidRDefault="00601FE5" w:rsidP="00BF493C">
                  <w:pPr>
                    <w:framePr w:hSpace="180" w:wrap="around" w:vAnchor="text" w:hAnchor="margin" w:xAlign="center" w:y="43"/>
                    <w:autoSpaceDE w:val="0"/>
                    <w:autoSpaceDN w:val="0"/>
                    <w:adjustRightInd w:val="0"/>
                    <w:spacing w:after="0" w:line="240" w:lineRule="auto"/>
                    <w:jc w:val="center"/>
                    <w:rPr>
                      <w:b/>
                      <w:color w:val="auto"/>
                      <w:kern w:val="0"/>
                      <w:szCs w:val="22"/>
                      <w:lang w:eastAsia="en-US"/>
                      <w14:ligatures w14:val="none"/>
                    </w:rPr>
                  </w:pPr>
                  <w:r w:rsidRPr="00130D08">
                    <w:rPr>
                      <w:b/>
                      <w:color w:val="auto"/>
                      <w:kern w:val="0"/>
                      <w:szCs w:val="22"/>
                      <w:lang w:eastAsia="en-US"/>
                      <w14:ligatures w14:val="none"/>
                    </w:rPr>
                    <w:t>Test</w:t>
                  </w:r>
                </w:p>
              </w:tc>
              <w:tc>
                <w:tcPr>
                  <w:tcW w:w="1583" w:type="dxa"/>
                  <w:tcBorders>
                    <w:top w:val="single" w:sz="12" w:space="0" w:color="auto"/>
                    <w:left w:val="single" w:sz="2" w:space="0" w:color="auto"/>
                    <w:bottom w:val="single" w:sz="2" w:space="0" w:color="auto"/>
                    <w:right w:val="single" w:sz="4" w:space="0" w:color="auto"/>
                  </w:tcBorders>
                  <w:shd w:val="clear" w:color="auto" w:fill="D9D9D9"/>
                  <w:hideMark/>
                </w:tcPr>
                <w:p w14:paraId="406C1DBE" w14:textId="77777777" w:rsidR="00601FE5" w:rsidRPr="00130D08" w:rsidRDefault="00601FE5" w:rsidP="00BF493C">
                  <w:pPr>
                    <w:framePr w:hSpace="180" w:wrap="around" w:vAnchor="text" w:hAnchor="margin" w:xAlign="center" w:y="43"/>
                    <w:autoSpaceDE w:val="0"/>
                    <w:autoSpaceDN w:val="0"/>
                    <w:adjustRightInd w:val="0"/>
                    <w:spacing w:after="0" w:line="240" w:lineRule="auto"/>
                    <w:jc w:val="center"/>
                    <w:rPr>
                      <w:b/>
                      <w:color w:val="auto"/>
                      <w:kern w:val="0"/>
                      <w:szCs w:val="22"/>
                      <w:lang w:eastAsia="en-US"/>
                      <w14:ligatures w14:val="none"/>
                    </w:rPr>
                  </w:pPr>
                  <w:r w:rsidRPr="00130D08">
                    <w:rPr>
                      <w:b/>
                      <w:color w:val="auto"/>
                      <w:kern w:val="0"/>
                      <w:szCs w:val="22"/>
                      <w:lang w:eastAsia="en-US"/>
                      <w14:ligatures w14:val="none"/>
                    </w:rPr>
                    <w:t>Baseline</w:t>
                  </w:r>
                </w:p>
              </w:tc>
              <w:tc>
                <w:tcPr>
                  <w:tcW w:w="1583" w:type="dxa"/>
                  <w:tcBorders>
                    <w:top w:val="single" w:sz="12" w:space="0" w:color="auto"/>
                    <w:left w:val="single" w:sz="4" w:space="0" w:color="auto"/>
                    <w:bottom w:val="single" w:sz="2" w:space="0" w:color="auto"/>
                    <w:right w:val="single" w:sz="4" w:space="0" w:color="auto"/>
                  </w:tcBorders>
                  <w:shd w:val="clear" w:color="auto" w:fill="D9D9D9"/>
                  <w:hideMark/>
                </w:tcPr>
                <w:p w14:paraId="0EBDE382" w14:textId="77777777" w:rsidR="00601FE5" w:rsidRPr="00130D08" w:rsidRDefault="00601FE5" w:rsidP="00BF493C">
                  <w:pPr>
                    <w:framePr w:hSpace="180" w:wrap="around" w:vAnchor="text" w:hAnchor="margin" w:xAlign="center" w:y="43"/>
                    <w:autoSpaceDE w:val="0"/>
                    <w:autoSpaceDN w:val="0"/>
                    <w:adjustRightInd w:val="0"/>
                    <w:spacing w:after="0" w:line="240" w:lineRule="auto"/>
                    <w:jc w:val="center"/>
                    <w:rPr>
                      <w:b/>
                      <w:color w:val="auto"/>
                      <w:kern w:val="0"/>
                      <w:szCs w:val="22"/>
                      <w:lang w:eastAsia="en-US"/>
                      <w14:ligatures w14:val="none"/>
                    </w:rPr>
                  </w:pPr>
                  <w:r w:rsidRPr="00130D08">
                    <w:rPr>
                      <w:b/>
                      <w:color w:val="auto"/>
                      <w:kern w:val="0"/>
                      <w:szCs w:val="22"/>
                      <w:lang w:eastAsia="en-US"/>
                      <w14:ligatures w14:val="none"/>
                    </w:rPr>
                    <w:t>Date</w:t>
                  </w:r>
                </w:p>
              </w:tc>
              <w:tc>
                <w:tcPr>
                  <w:tcW w:w="1583" w:type="dxa"/>
                  <w:tcBorders>
                    <w:top w:val="single" w:sz="12" w:space="0" w:color="auto"/>
                    <w:left w:val="single" w:sz="4" w:space="0" w:color="auto"/>
                    <w:bottom w:val="single" w:sz="2" w:space="0" w:color="auto"/>
                    <w:right w:val="single" w:sz="4" w:space="0" w:color="auto"/>
                  </w:tcBorders>
                  <w:shd w:val="clear" w:color="auto" w:fill="D9D9D9"/>
                  <w:hideMark/>
                </w:tcPr>
                <w:p w14:paraId="25CDB1C5" w14:textId="77777777" w:rsidR="00601FE5" w:rsidRPr="00130D08" w:rsidRDefault="00601FE5" w:rsidP="00BF493C">
                  <w:pPr>
                    <w:framePr w:hSpace="180" w:wrap="around" w:vAnchor="text" w:hAnchor="margin" w:xAlign="center" w:y="43"/>
                    <w:autoSpaceDE w:val="0"/>
                    <w:autoSpaceDN w:val="0"/>
                    <w:adjustRightInd w:val="0"/>
                    <w:spacing w:after="0" w:line="240" w:lineRule="auto"/>
                    <w:jc w:val="center"/>
                    <w:rPr>
                      <w:b/>
                      <w:color w:val="auto"/>
                      <w:kern w:val="0"/>
                      <w:szCs w:val="22"/>
                      <w:lang w:eastAsia="en-US"/>
                      <w14:ligatures w14:val="none"/>
                    </w:rPr>
                  </w:pPr>
                  <w:r w:rsidRPr="00130D08">
                    <w:rPr>
                      <w:b/>
                      <w:color w:val="auto"/>
                      <w:kern w:val="0"/>
                      <w:szCs w:val="22"/>
                      <w:lang w:eastAsia="en-US"/>
                      <w14:ligatures w14:val="none"/>
                    </w:rPr>
                    <w:t>Current</w:t>
                  </w:r>
                </w:p>
              </w:tc>
              <w:tc>
                <w:tcPr>
                  <w:tcW w:w="1583" w:type="dxa"/>
                  <w:tcBorders>
                    <w:top w:val="single" w:sz="12" w:space="0" w:color="auto"/>
                    <w:left w:val="single" w:sz="4" w:space="0" w:color="auto"/>
                    <w:bottom w:val="single" w:sz="2" w:space="0" w:color="auto"/>
                    <w:right w:val="single" w:sz="12" w:space="0" w:color="auto"/>
                  </w:tcBorders>
                  <w:shd w:val="clear" w:color="auto" w:fill="D9D9D9"/>
                  <w:hideMark/>
                </w:tcPr>
                <w:p w14:paraId="5F29873D" w14:textId="77777777" w:rsidR="00601FE5" w:rsidRPr="00130D08" w:rsidRDefault="00601FE5" w:rsidP="00BF493C">
                  <w:pPr>
                    <w:framePr w:hSpace="180" w:wrap="around" w:vAnchor="text" w:hAnchor="margin" w:xAlign="center" w:y="43"/>
                    <w:autoSpaceDE w:val="0"/>
                    <w:autoSpaceDN w:val="0"/>
                    <w:adjustRightInd w:val="0"/>
                    <w:spacing w:after="0" w:line="240" w:lineRule="auto"/>
                    <w:jc w:val="center"/>
                    <w:rPr>
                      <w:b/>
                      <w:color w:val="auto"/>
                      <w:kern w:val="0"/>
                      <w:szCs w:val="22"/>
                      <w:lang w:eastAsia="en-US"/>
                      <w14:ligatures w14:val="none"/>
                    </w:rPr>
                  </w:pPr>
                  <w:r w:rsidRPr="00130D08">
                    <w:rPr>
                      <w:b/>
                      <w:color w:val="auto"/>
                      <w:kern w:val="0"/>
                      <w:szCs w:val="22"/>
                      <w:lang w:eastAsia="en-US"/>
                      <w14:ligatures w14:val="none"/>
                    </w:rPr>
                    <w:t>Date</w:t>
                  </w:r>
                </w:p>
              </w:tc>
            </w:tr>
            <w:tr w:rsidR="00130D08" w:rsidRPr="00130D08" w14:paraId="72306013" w14:textId="77777777">
              <w:trPr>
                <w:trHeight w:val="267"/>
              </w:trPr>
              <w:tc>
                <w:tcPr>
                  <w:tcW w:w="3519" w:type="dxa"/>
                  <w:tcBorders>
                    <w:top w:val="single" w:sz="2" w:space="0" w:color="auto"/>
                    <w:left w:val="single" w:sz="12" w:space="0" w:color="auto"/>
                    <w:bottom w:val="single" w:sz="2" w:space="0" w:color="auto"/>
                    <w:right w:val="single" w:sz="2" w:space="0" w:color="auto"/>
                  </w:tcBorders>
                  <w:hideMark/>
                </w:tcPr>
                <w:p w14:paraId="530088C3" w14:textId="77777777" w:rsidR="00601FE5" w:rsidRPr="00130D08" w:rsidRDefault="00601FE5" w:rsidP="00BF493C">
                  <w:pPr>
                    <w:framePr w:hSpace="180" w:wrap="around" w:vAnchor="text" w:hAnchor="margin" w:xAlign="center" w:y="43"/>
                    <w:autoSpaceDE w:val="0"/>
                    <w:autoSpaceDN w:val="0"/>
                    <w:adjustRightInd w:val="0"/>
                    <w:spacing w:after="0" w:line="240" w:lineRule="auto"/>
                    <w:rPr>
                      <w:i/>
                      <w:color w:val="auto"/>
                      <w:kern w:val="0"/>
                      <w:szCs w:val="22"/>
                      <w:lang w:eastAsia="en-US"/>
                      <w14:ligatures w14:val="none"/>
                    </w:rPr>
                  </w:pPr>
                  <w:r w:rsidRPr="00130D08">
                    <w:rPr>
                      <w:iCs/>
                      <w:color w:val="auto"/>
                      <w:kern w:val="0"/>
                      <w:szCs w:val="22"/>
                      <w:lang w:eastAsia="en-US"/>
                      <w14:ligatures w14:val="none"/>
                    </w:rPr>
                    <w:t>Blood pressure</w:t>
                  </w:r>
                </w:p>
              </w:tc>
              <w:permStart w:id="885667013" w:edGrp="everyone"/>
              <w:tc>
                <w:tcPr>
                  <w:tcW w:w="1583" w:type="dxa"/>
                  <w:tcBorders>
                    <w:top w:val="single" w:sz="2" w:space="0" w:color="auto"/>
                    <w:left w:val="single" w:sz="2" w:space="0" w:color="auto"/>
                    <w:bottom w:val="single" w:sz="2" w:space="0" w:color="auto"/>
                    <w:right w:val="single" w:sz="4" w:space="0" w:color="auto"/>
                  </w:tcBorders>
                  <w:hideMark/>
                </w:tcPr>
                <w:p w14:paraId="568B750F"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885667013"/>
                </w:p>
              </w:tc>
              <w:permStart w:id="1747729227" w:edGrp="everyone"/>
              <w:tc>
                <w:tcPr>
                  <w:tcW w:w="1583" w:type="dxa"/>
                  <w:tcBorders>
                    <w:top w:val="single" w:sz="2" w:space="0" w:color="auto"/>
                    <w:left w:val="single" w:sz="4" w:space="0" w:color="auto"/>
                    <w:bottom w:val="single" w:sz="2" w:space="0" w:color="auto"/>
                    <w:right w:val="single" w:sz="4" w:space="0" w:color="auto"/>
                  </w:tcBorders>
                  <w:hideMark/>
                </w:tcPr>
                <w:p w14:paraId="3F16A095"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747729227"/>
                </w:p>
              </w:tc>
              <w:permStart w:id="309011621" w:edGrp="everyone"/>
              <w:tc>
                <w:tcPr>
                  <w:tcW w:w="1583" w:type="dxa"/>
                  <w:tcBorders>
                    <w:top w:val="single" w:sz="2" w:space="0" w:color="auto"/>
                    <w:left w:val="single" w:sz="4" w:space="0" w:color="auto"/>
                    <w:bottom w:val="single" w:sz="2" w:space="0" w:color="auto"/>
                    <w:right w:val="single" w:sz="4" w:space="0" w:color="auto"/>
                  </w:tcBorders>
                  <w:hideMark/>
                </w:tcPr>
                <w:p w14:paraId="621B4FB1"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309011621"/>
                </w:p>
              </w:tc>
              <w:permStart w:id="19549442" w:edGrp="everyone"/>
              <w:tc>
                <w:tcPr>
                  <w:tcW w:w="1583" w:type="dxa"/>
                  <w:tcBorders>
                    <w:top w:val="single" w:sz="2" w:space="0" w:color="auto"/>
                    <w:left w:val="single" w:sz="4" w:space="0" w:color="auto"/>
                    <w:bottom w:val="single" w:sz="2" w:space="0" w:color="auto"/>
                    <w:right w:val="single" w:sz="12" w:space="0" w:color="auto"/>
                  </w:tcBorders>
                  <w:hideMark/>
                </w:tcPr>
                <w:p w14:paraId="4CCD11CA"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9549442"/>
                </w:p>
              </w:tc>
            </w:tr>
            <w:tr w:rsidR="00130D08" w:rsidRPr="00130D08" w14:paraId="05318A1E" w14:textId="77777777">
              <w:trPr>
                <w:trHeight w:val="277"/>
              </w:trPr>
              <w:tc>
                <w:tcPr>
                  <w:tcW w:w="3519" w:type="dxa"/>
                  <w:tcBorders>
                    <w:top w:val="single" w:sz="2" w:space="0" w:color="auto"/>
                    <w:left w:val="single" w:sz="12" w:space="0" w:color="auto"/>
                    <w:bottom w:val="single" w:sz="2" w:space="0" w:color="auto"/>
                    <w:right w:val="single" w:sz="2" w:space="0" w:color="auto"/>
                  </w:tcBorders>
                  <w:hideMark/>
                </w:tcPr>
                <w:p w14:paraId="44E2B61C" w14:textId="77777777" w:rsidR="00601FE5" w:rsidRPr="00130D08" w:rsidRDefault="00601FE5" w:rsidP="00BF493C">
                  <w:pPr>
                    <w:framePr w:hSpace="180" w:wrap="around" w:vAnchor="text" w:hAnchor="margin" w:xAlign="center" w:y="43"/>
                    <w:autoSpaceDE w:val="0"/>
                    <w:autoSpaceDN w:val="0"/>
                    <w:adjustRightInd w:val="0"/>
                    <w:spacing w:after="0" w:line="240" w:lineRule="auto"/>
                    <w:rPr>
                      <w:iCs/>
                      <w:color w:val="auto"/>
                      <w:kern w:val="0"/>
                      <w:szCs w:val="22"/>
                      <w:lang w:eastAsia="en-US"/>
                      <w14:ligatures w14:val="none"/>
                    </w:rPr>
                  </w:pPr>
                  <w:r w:rsidRPr="00130D08">
                    <w:rPr>
                      <w:iCs/>
                      <w:color w:val="auto"/>
                      <w:kern w:val="0"/>
                      <w:szCs w:val="22"/>
                      <w:lang w:eastAsia="en-US"/>
                      <w14:ligatures w14:val="none"/>
                    </w:rPr>
                    <w:t>Pulse</w:t>
                  </w:r>
                </w:p>
              </w:tc>
              <w:permStart w:id="1660778336" w:edGrp="everyone"/>
              <w:tc>
                <w:tcPr>
                  <w:tcW w:w="1583" w:type="dxa"/>
                  <w:tcBorders>
                    <w:top w:val="single" w:sz="2" w:space="0" w:color="auto"/>
                    <w:left w:val="single" w:sz="2" w:space="0" w:color="auto"/>
                    <w:bottom w:val="single" w:sz="2" w:space="0" w:color="auto"/>
                    <w:right w:val="single" w:sz="4" w:space="0" w:color="auto"/>
                  </w:tcBorders>
                  <w:hideMark/>
                </w:tcPr>
                <w:p w14:paraId="487117BA" w14:textId="77777777" w:rsidR="00601FE5" w:rsidRPr="00130D08" w:rsidRDefault="00601FE5" w:rsidP="00BF493C">
                  <w:pPr>
                    <w:framePr w:hSpace="180" w:wrap="around" w:vAnchor="text" w:hAnchor="margin" w:xAlign="center" w:y="43"/>
                    <w:autoSpaceDE w:val="0"/>
                    <w:autoSpaceDN w:val="0"/>
                    <w:adjustRightInd w:val="0"/>
                    <w:spacing w:after="0" w:line="240" w:lineRule="auto"/>
                    <w:rPr>
                      <w:i/>
                      <w:iCs/>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660778336"/>
                </w:p>
              </w:tc>
              <w:permStart w:id="771700573" w:edGrp="everyone"/>
              <w:tc>
                <w:tcPr>
                  <w:tcW w:w="1583" w:type="dxa"/>
                  <w:tcBorders>
                    <w:top w:val="single" w:sz="2" w:space="0" w:color="auto"/>
                    <w:left w:val="single" w:sz="4" w:space="0" w:color="auto"/>
                    <w:bottom w:val="single" w:sz="2" w:space="0" w:color="auto"/>
                    <w:right w:val="single" w:sz="4" w:space="0" w:color="auto"/>
                  </w:tcBorders>
                  <w:hideMark/>
                </w:tcPr>
                <w:p w14:paraId="35A82651"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771700573"/>
                </w:p>
              </w:tc>
              <w:permStart w:id="401881692" w:edGrp="everyone"/>
              <w:tc>
                <w:tcPr>
                  <w:tcW w:w="1583" w:type="dxa"/>
                  <w:tcBorders>
                    <w:top w:val="single" w:sz="2" w:space="0" w:color="auto"/>
                    <w:left w:val="single" w:sz="4" w:space="0" w:color="auto"/>
                    <w:bottom w:val="single" w:sz="2" w:space="0" w:color="auto"/>
                    <w:right w:val="single" w:sz="4" w:space="0" w:color="auto"/>
                  </w:tcBorders>
                  <w:hideMark/>
                </w:tcPr>
                <w:p w14:paraId="0ED2D2E9"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401881692"/>
                </w:p>
              </w:tc>
              <w:permStart w:id="2128893049" w:edGrp="everyone"/>
              <w:tc>
                <w:tcPr>
                  <w:tcW w:w="1583" w:type="dxa"/>
                  <w:tcBorders>
                    <w:top w:val="single" w:sz="2" w:space="0" w:color="auto"/>
                    <w:left w:val="single" w:sz="4" w:space="0" w:color="auto"/>
                    <w:bottom w:val="single" w:sz="2" w:space="0" w:color="auto"/>
                    <w:right w:val="single" w:sz="12" w:space="0" w:color="auto"/>
                  </w:tcBorders>
                  <w:hideMark/>
                </w:tcPr>
                <w:p w14:paraId="48F1F42F"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2128893049"/>
                </w:p>
              </w:tc>
            </w:tr>
            <w:tr w:rsidR="00130D08" w:rsidRPr="00130D08" w14:paraId="37C58992" w14:textId="77777777">
              <w:trPr>
                <w:trHeight w:val="267"/>
              </w:trPr>
              <w:tc>
                <w:tcPr>
                  <w:tcW w:w="3519" w:type="dxa"/>
                  <w:tcBorders>
                    <w:top w:val="single" w:sz="2" w:space="0" w:color="auto"/>
                    <w:left w:val="single" w:sz="12" w:space="0" w:color="auto"/>
                    <w:bottom w:val="single" w:sz="2" w:space="0" w:color="auto"/>
                    <w:right w:val="single" w:sz="2" w:space="0" w:color="auto"/>
                  </w:tcBorders>
                  <w:hideMark/>
                </w:tcPr>
                <w:p w14:paraId="588C489C" w14:textId="77777777" w:rsidR="00601FE5" w:rsidRPr="00130D08" w:rsidRDefault="00601FE5" w:rsidP="00BF493C">
                  <w:pPr>
                    <w:framePr w:hSpace="180" w:wrap="around" w:vAnchor="text" w:hAnchor="margin" w:xAlign="center" w:y="43"/>
                    <w:autoSpaceDE w:val="0"/>
                    <w:autoSpaceDN w:val="0"/>
                    <w:adjustRightInd w:val="0"/>
                    <w:spacing w:after="0" w:line="240" w:lineRule="auto"/>
                    <w:rPr>
                      <w:iCs/>
                      <w:color w:val="auto"/>
                      <w:kern w:val="0"/>
                      <w:szCs w:val="22"/>
                      <w:lang w:eastAsia="en-US"/>
                      <w14:ligatures w14:val="none"/>
                    </w:rPr>
                  </w:pPr>
                  <w:r w:rsidRPr="00130D08">
                    <w:rPr>
                      <w:iCs/>
                      <w:color w:val="auto"/>
                      <w:kern w:val="0"/>
                      <w:szCs w:val="22"/>
                      <w:lang w:eastAsia="en-US"/>
                      <w14:ligatures w14:val="none"/>
                    </w:rPr>
                    <w:t>Weight (including centiles)</w:t>
                  </w:r>
                </w:p>
              </w:tc>
              <w:permStart w:id="170742859" w:edGrp="everyone"/>
              <w:tc>
                <w:tcPr>
                  <w:tcW w:w="1583" w:type="dxa"/>
                  <w:tcBorders>
                    <w:top w:val="single" w:sz="2" w:space="0" w:color="auto"/>
                    <w:left w:val="single" w:sz="2" w:space="0" w:color="auto"/>
                    <w:bottom w:val="single" w:sz="2" w:space="0" w:color="auto"/>
                    <w:right w:val="single" w:sz="4" w:space="0" w:color="auto"/>
                  </w:tcBorders>
                  <w:hideMark/>
                </w:tcPr>
                <w:p w14:paraId="18CA6CDB" w14:textId="77777777" w:rsidR="00601FE5" w:rsidRPr="00130D08" w:rsidRDefault="00601FE5" w:rsidP="00BF493C">
                  <w:pPr>
                    <w:framePr w:hSpace="180" w:wrap="around" w:vAnchor="text" w:hAnchor="margin" w:xAlign="center" w:y="43"/>
                    <w:autoSpaceDE w:val="0"/>
                    <w:autoSpaceDN w:val="0"/>
                    <w:adjustRightInd w:val="0"/>
                    <w:spacing w:after="0" w:line="240" w:lineRule="auto"/>
                    <w:rPr>
                      <w:i/>
                      <w:iCs/>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70742859"/>
                </w:p>
              </w:tc>
              <w:permStart w:id="1975404741" w:edGrp="everyone"/>
              <w:tc>
                <w:tcPr>
                  <w:tcW w:w="1583" w:type="dxa"/>
                  <w:tcBorders>
                    <w:top w:val="single" w:sz="2" w:space="0" w:color="auto"/>
                    <w:left w:val="single" w:sz="4" w:space="0" w:color="auto"/>
                    <w:bottom w:val="single" w:sz="2" w:space="0" w:color="auto"/>
                    <w:right w:val="single" w:sz="4" w:space="0" w:color="auto"/>
                  </w:tcBorders>
                  <w:hideMark/>
                </w:tcPr>
                <w:p w14:paraId="28BEBB6B"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975404741"/>
                </w:p>
              </w:tc>
              <w:permStart w:id="1719415623" w:edGrp="everyone"/>
              <w:tc>
                <w:tcPr>
                  <w:tcW w:w="1583" w:type="dxa"/>
                  <w:tcBorders>
                    <w:top w:val="single" w:sz="2" w:space="0" w:color="auto"/>
                    <w:left w:val="single" w:sz="4" w:space="0" w:color="auto"/>
                    <w:bottom w:val="single" w:sz="2" w:space="0" w:color="auto"/>
                    <w:right w:val="single" w:sz="4" w:space="0" w:color="auto"/>
                  </w:tcBorders>
                  <w:hideMark/>
                </w:tcPr>
                <w:p w14:paraId="3828B1A4"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719415623"/>
                </w:p>
              </w:tc>
              <w:permStart w:id="56902333" w:edGrp="everyone"/>
              <w:tc>
                <w:tcPr>
                  <w:tcW w:w="1583" w:type="dxa"/>
                  <w:tcBorders>
                    <w:top w:val="single" w:sz="2" w:space="0" w:color="auto"/>
                    <w:left w:val="single" w:sz="4" w:space="0" w:color="auto"/>
                    <w:bottom w:val="single" w:sz="2" w:space="0" w:color="auto"/>
                    <w:right w:val="single" w:sz="12" w:space="0" w:color="auto"/>
                  </w:tcBorders>
                  <w:hideMark/>
                </w:tcPr>
                <w:p w14:paraId="0C33BC25"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56902333"/>
                </w:p>
              </w:tc>
            </w:tr>
            <w:tr w:rsidR="00130D08" w:rsidRPr="00130D08" w14:paraId="442ADA32" w14:textId="77777777">
              <w:trPr>
                <w:trHeight w:val="267"/>
              </w:trPr>
              <w:tc>
                <w:tcPr>
                  <w:tcW w:w="3519" w:type="dxa"/>
                  <w:tcBorders>
                    <w:top w:val="single" w:sz="2" w:space="0" w:color="auto"/>
                    <w:left w:val="single" w:sz="12" w:space="0" w:color="auto"/>
                    <w:bottom w:val="single" w:sz="2" w:space="0" w:color="auto"/>
                    <w:right w:val="single" w:sz="2" w:space="0" w:color="auto"/>
                  </w:tcBorders>
                  <w:hideMark/>
                </w:tcPr>
                <w:p w14:paraId="303B6D5F" w14:textId="77777777" w:rsidR="00601FE5" w:rsidRPr="00130D08" w:rsidRDefault="00601FE5" w:rsidP="00BF493C">
                  <w:pPr>
                    <w:framePr w:hSpace="180" w:wrap="around" w:vAnchor="text" w:hAnchor="margin" w:xAlign="center" w:y="43"/>
                    <w:autoSpaceDE w:val="0"/>
                    <w:autoSpaceDN w:val="0"/>
                    <w:adjustRightInd w:val="0"/>
                    <w:spacing w:after="0" w:line="240" w:lineRule="auto"/>
                    <w:rPr>
                      <w:iCs/>
                      <w:color w:val="auto"/>
                      <w:kern w:val="0"/>
                      <w:szCs w:val="22"/>
                      <w:lang w:eastAsia="en-US"/>
                      <w14:ligatures w14:val="none"/>
                    </w:rPr>
                  </w:pPr>
                  <w:r w:rsidRPr="00130D08">
                    <w:rPr>
                      <w:iCs/>
                      <w:color w:val="auto"/>
                      <w:kern w:val="0"/>
                      <w:szCs w:val="22"/>
                      <w:lang w:eastAsia="en-US"/>
                      <w14:ligatures w14:val="none"/>
                    </w:rPr>
                    <w:t>Height (including centiles)</w:t>
                  </w:r>
                </w:p>
              </w:tc>
              <w:permStart w:id="1703153640" w:edGrp="everyone"/>
              <w:tc>
                <w:tcPr>
                  <w:tcW w:w="1583" w:type="dxa"/>
                  <w:tcBorders>
                    <w:top w:val="single" w:sz="2" w:space="0" w:color="auto"/>
                    <w:left w:val="single" w:sz="2" w:space="0" w:color="auto"/>
                    <w:bottom w:val="single" w:sz="2" w:space="0" w:color="auto"/>
                    <w:right w:val="single" w:sz="4" w:space="0" w:color="auto"/>
                  </w:tcBorders>
                  <w:hideMark/>
                </w:tcPr>
                <w:p w14:paraId="72DFAC5A" w14:textId="77777777" w:rsidR="00601FE5" w:rsidRPr="00130D08" w:rsidRDefault="00601FE5" w:rsidP="00BF493C">
                  <w:pPr>
                    <w:framePr w:hSpace="180" w:wrap="around" w:vAnchor="text" w:hAnchor="margin" w:xAlign="center" w:y="43"/>
                    <w:autoSpaceDE w:val="0"/>
                    <w:autoSpaceDN w:val="0"/>
                    <w:adjustRightInd w:val="0"/>
                    <w:spacing w:after="0" w:line="240" w:lineRule="auto"/>
                    <w:rPr>
                      <w:i/>
                      <w:iCs/>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703153640"/>
                </w:p>
              </w:tc>
              <w:permStart w:id="1892242943" w:edGrp="everyone"/>
              <w:tc>
                <w:tcPr>
                  <w:tcW w:w="1583" w:type="dxa"/>
                  <w:tcBorders>
                    <w:top w:val="single" w:sz="2" w:space="0" w:color="auto"/>
                    <w:left w:val="single" w:sz="4" w:space="0" w:color="auto"/>
                    <w:bottom w:val="single" w:sz="2" w:space="0" w:color="auto"/>
                    <w:right w:val="single" w:sz="4" w:space="0" w:color="auto"/>
                  </w:tcBorders>
                  <w:hideMark/>
                </w:tcPr>
                <w:p w14:paraId="09E3E68B"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892242943"/>
                </w:p>
              </w:tc>
              <w:permStart w:id="1494377674" w:edGrp="everyone"/>
              <w:tc>
                <w:tcPr>
                  <w:tcW w:w="1583" w:type="dxa"/>
                  <w:tcBorders>
                    <w:top w:val="single" w:sz="2" w:space="0" w:color="auto"/>
                    <w:left w:val="single" w:sz="4" w:space="0" w:color="auto"/>
                    <w:bottom w:val="single" w:sz="2" w:space="0" w:color="auto"/>
                    <w:right w:val="single" w:sz="4" w:space="0" w:color="auto"/>
                  </w:tcBorders>
                  <w:hideMark/>
                </w:tcPr>
                <w:p w14:paraId="07102111"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494377674"/>
                </w:p>
              </w:tc>
              <w:permStart w:id="917129919" w:edGrp="everyone"/>
              <w:tc>
                <w:tcPr>
                  <w:tcW w:w="1583" w:type="dxa"/>
                  <w:tcBorders>
                    <w:top w:val="single" w:sz="2" w:space="0" w:color="auto"/>
                    <w:left w:val="single" w:sz="4" w:space="0" w:color="auto"/>
                    <w:bottom w:val="single" w:sz="2" w:space="0" w:color="auto"/>
                    <w:right w:val="single" w:sz="12" w:space="0" w:color="auto"/>
                  </w:tcBorders>
                  <w:hideMark/>
                </w:tcPr>
                <w:p w14:paraId="10D12FFE" w14:textId="77777777" w:rsidR="00601FE5" w:rsidRPr="00130D08" w:rsidRDefault="00601FE5" w:rsidP="00BF493C">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917129919"/>
                </w:p>
              </w:tc>
            </w:tr>
          </w:tbl>
          <w:p w14:paraId="3B018F79" w14:textId="41BD42A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 xml:space="preserve">Other relevant information: </w:t>
            </w:r>
            <w:permStart w:id="735515826" w:edGrp="everyone"/>
            <w:r w:rsidRPr="00130D08">
              <w:rPr>
                <w:color w:val="auto"/>
                <w:kern w:val="0"/>
                <w:szCs w:val="22"/>
                <w:lang w:eastAsia="en-US"/>
                <w14:ligatures w14:val="none"/>
              </w:rPr>
              <w:t>……………………………………………………………………………………..</w:t>
            </w:r>
            <w:permEnd w:id="735515826"/>
          </w:p>
          <w:p w14:paraId="45E9F098" w14:textId="77777777" w:rsidR="00601FE5" w:rsidRPr="00130D08" w:rsidRDefault="00601FE5" w:rsidP="00601FE5">
            <w:pPr>
              <w:autoSpaceDE w:val="0"/>
              <w:autoSpaceDN w:val="0"/>
              <w:adjustRightInd w:val="0"/>
              <w:spacing w:after="0" w:line="240" w:lineRule="auto"/>
              <w:rPr>
                <w:color w:val="auto"/>
                <w:kern w:val="0"/>
                <w:szCs w:val="22"/>
                <w:lang w:eastAsia="en-US"/>
                <w14:ligatures w14:val="none"/>
              </w:rPr>
            </w:pPr>
            <w:r w:rsidRPr="00130D08">
              <w:rPr>
                <w:color w:val="auto"/>
                <w:kern w:val="0"/>
                <w:szCs w:val="22"/>
                <w:lang w:eastAsia="en-US"/>
                <w14:ligatures w14:val="none"/>
              </w:rPr>
              <w:t xml:space="preserve">Specialist Signature: ………………………………………………Date: </w:t>
            </w:r>
            <w:permStart w:id="1948254577" w:edGrp="everyone"/>
            <w:r w:rsidRPr="00130D08">
              <w:rPr>
                <w:i/>
                <w:iCs/>
                <w:color w:val="auto"/>
                <w:kern w:val="0"/>
                <w:szCs w:val="22"/>
                <w:lang w:eastAsia="en-US"/>
                <w14:ligatures w14:val="none"/>
              </w:rPr>
              <w:fldChar w:fldCharType="begin">
                <w:ffData>
                  <w:name w:val=""/>
                  <w:enabled/>
                  <w:calcOnExit w:val="0"/>
                  <w:textInput/>
                </w:ffData>
              </w:fldChar>
            </w:r>
            <w:r w:rsidRPr="00130D08">
              <w:rPr>
                <w:i/>
                <w:iCs/>
                <w:color w:val="auto"/>
                <w:kern w:val="0"/>
                <w:szCs w:val="22"/>
                <w:lang w:eastAsia="en-US"/>
                <w14:ligatures w14:val="none"/>
              </w:rPr>
              <w:instrText xml:space="preserve"> FORMTEXT </w:instrText>
            </w:r>
            <w:r w:rsidRPr="00130D08">
              <w:rPr>
                <w:i/>
                <w:iCs/>
                <w:color w:val="auto"/>
                <w:kern w:val="0"/>
                <w:szCs w:val="22"/>
                <w:lang w:eastAsia="en-US"/>
                <w14:ligatures w14:val="none"/>
              </w:rPr>
            </w:r>
            <w:r w:rsidRPr="00130D08">
              <w:rPr>
                <w:i/>
                <w:iCs/>
                <w:color w:val="auto"/>
                <w:kern w:val="0"/>
                <w:szCs w:val="22"/>
                <w:lang w:eastAsia="en-US"/>
                <w14:ligatures w14:val="none"/>
              </w:rPr>
              <w:fldChar w:fldCharType="separate"/>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t> </w:t>
            </w:r>
            <w:r w:rsidRPr="00130D08">
              <w:rPr>
                <w:i/>
                <w:iCs/>
                <w:color w:val="auto"/>
                <w:kern w:val="0"/>
                <w:szCs w:val="22"/>
                <w:lang w:eastAsia="en-US"/>
                <w14:ligatures w14:val="none"/>
              </w:rPr>
              <w:fldChar w:fldCharType="end"/>
            </w:r>
            <w:permEnd w:id="1948254577"/>
          </w:p>
        </w:tc>
      </w:tr>
    </w:tbl>
    <w:p w14:paraId="39D68D0D" w14:textId="00A619FE" w:rsidR="00AB7245" w:rsidRDefault="00601FE5" w:rsidP="00601FE5">
      <w:pPr>
        <w:spacing w:after="55"/>
        <w:ind w:left="243"/>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76EDF1C7" w14:textId="77777777" w:rsidR="00AB7245" w:rsidRDefault="00601FE5">
      <w:pPr>
        <w:spacing w:after="17"/>
        <w:ind w:left="243"/>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2EA507F4" w14:textId="2CEA3879" w:rsidR="00AB7245" w:rsidRDefault="00601FE5" w:rsidP="00601FE5">
      <w:pPr>
        <w:tabs>
          <w:tab w:val="center" w:pos="243"/>
          <w:tab w:val="center" w:pos="963"/>
          <w:tab w:val="center" w:pos="2138"/>
        </w:tabs>
        <w:spacing w:after="27"/>
      </w:pPr>
      <w:r>
        <w:lastRenderedPageBreak/>
        <w:tab/>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rPr>
          <w:rFonts w:ascii="Arial" w:eastAsia="Arial" w:hAnsi="Arial" w:cs="Arial"/>
          <w:b/>
          <w:sz w:val="16"/>
        </w:rPr>
        <w:t xml:space="preserve"> </w:t>
      </w:r>
    </w:p>
    <w:p w14:paraId="0C2EE1A1" w14:textId="77777777" w:rsidR="00AB7245" w:rsidRDefault="00601FE5">
      <w:pPr>
        <w:spacing w:after="0"/>
        <w:ind w:left="243"/>
      </w:pPr>
      <w:r>
        <w:rPr>
          <w:rFonts w:ascii="Arial" w:eastAsia="Arial" w:hAnsi="Arial" w:cs="Arial"/>
          <w:b/>
          <w:sz w:val="16"/>
        </w:rPr>
        <w:t xml:space="preserve"> </w:t>
      </w:r>
    </w:p>
    <w:p w14:paraId="7D9283A0" w14:textId="77777777" w:rsidR="00AB7245" w:rsidRDefault="00601FE5">
      <w:pPr>
        <w:spacing w:after="0"/>
        <w:ind w:left="243"/>
      </w:pPr>
      <w:r>
        <w:rPr>
          <w:rFonts w:ascii="Arial" w:eastAsia="Arial" w:hAnsi="Arial" w:cs="Arial"/>
          <w:b/>
          <w:sz w:val="16"/>
        </w:rPr>
        <w:t xml:space="preserve"> </w:t>
      </w:r>
    </w:p>
    <w:p w14:paraId="78D07C6B" w14:textId="77777777" w:rsidR="00AB7245" w:rsidRDefault="00601FE5">
      <w:pPr>
        <w:spacing w:after="0"/>
        <w:ind w:left="243"/>
      </w:pPr>
      <w:r>
        <w:rPr>
          <w:rFonts w:ascii="Arial" w:eastAsia="Arial" w:hAnsi="Arial" w:cs="Arial"/>
          <w:b/>
          <w:sz w:val="16"/>
        </w:rPr>
        <w:t xml:space="preserve"> </w:t>
      </w:r>
    </w:p>
    <w:p w14:paraId="71421944" w14:textId="77777777" w:rsidR="00AB7245" w:rsidRDefault="00601FE5">
      <w:pPr>
        <w:spacing w:after="0"/>
        <w:ind w:left="243"/>
      </w:pPr>
      <w:r>
        <w:rPr>
          <w:rFonts w:ascii="Arial" w:eastAsia="Arial" w:hAnsi="Arial" w:cs="Arial"/>
          <w:b/>
          <w:sz w:val="16"/>
        </w:rPr>
        <w:t xml:space="preserve"> </w:t>
      </w:r>
    </w:p>
    <w:p w14:paraId="0FD04469" w14:textId="77777777" w:rsidR="00AB7245" w:rsidRDefault="00601FE5">
      <w:pPr>
        <w:spacing w:after="0"/>
        <w:ind w:left="243"/>
      </w:pPr>
      <w:r>
        <w:rPr>
          <w:rFonts w:ascii="Arial" w:eastAsia="Arial" w:hAnsi="Arial" w:cs="Arial"/>
          <w:b/>
          <w:sz w:val="16"/>
        </w:rPr>
        <w:t xml:space="preserve"> </w:t>
      </w:r>
    </w:p>
    <w:p w14:paraId="43DD299D" w14:textId="77777777" w:rsidR="00AB7245" w:rsidRDefault="00601FE5">
      <w:pPr>
        <w:spacing w:after="0"/>
        <w:ind w:left="243"/>
      </w:pPr>
      <w:r>
        <w:rPr>
          <w:rFonts w:ascii="Arial" w:eastAsia="Arial" w:hAnsi="Arial" w:cs="Arial"/>
          <w:b/>
          <w:sz w:val="16"/>
        </w:rPr>
        <w:t xml:space="preserve"> </w:t>
      </w:r>
    </w:p>
    <w:p w14:paraId="16925217" w14:textId="77777777" w:rsidR="00AB7245" w:rsidRDefault="00601FE5">
      <w:pPr>
        <w:spacing w:after="0"/>
        <w:ind w:left="243"/>
      </w:pPr>
      <w:r>
        <w:rPr>
          <w:rFonts w:ascii="Arial" w:eastAsia="Arial" w:hAnsi="Arial" w:cs="Arial"/>
          <w:b/>
          <w:sz w:val="16"/>
        </w:rPr>
        <w:t xml:space="preserve"> </w:t>
      </w:r>
    </w:p>
    <w:p w14:paraId="0663FEF8" w14:textId="77777777" w:rsidR="00AB7245" w:rsidRDefault="00601FE5">
      <w:pPr>
        <w:spacing w:after="0"/>
        <w:ind w:left="243"/>
      </w:pPr>
      <w:r>
        <w:rPr>
          <w:rFonts w:ascii="Arial" w:eastAsia="Arial" w:hAnsi="Arial" w:cs="Arial"/>
          <w:b/>
          <w:sz w:val="16"/>
        </w:rPr>
        <w:t xml:space="preserve"> </w:t>
      </w:r>
    </w:p>
    <w:p w14:paraId="453935ED" w14:textId="77777777" w:rsidR="00AB7245" w:rsidRDefault="00601FE5">
      <w:pPr>
        <w:spacing w:after="0"/>
        <w:ind w:left="243"/>
      </w:pPr>
      <w:r>
        <w:rPr>
          <w:rFonts w:ascii="Arial" w:eastAsia="Arial" w:hAnsi="Arial" w:cs="Arial"/>
          <w:b/>
          <w:sz w:val="16"/>
        </w:rPr>
        <w:t xml:space="preserve"> </w:t>
      </w:r>
    </w:p>
    <w:p w14:paraId="3ED6AA07" w14:textId="77777777" w:rsidR="00AB7245" w:rsidRDefault="00601FE5">
      <w:pPr>
        <w:spacing w:after="0"/>
        <w:ind w:left="243"/>
      </w:pPr>
      <w:r>
        <w:rPr>
          <w:rFonts w:ascii="Arial" w:eastAsia="Arial" w:hAnsi="Arial" w:cs="Arial"/>
          <w:b/>
          <w:sz w:val="16"/>
        </w:rPr>
        <w:t xml:space="preserve"> </w:t>
      </w:r>
    </w:p>
    <w:p w14:paraId="4C459BB8" w14:textId="77777777" w:rsidR="00AB7245" w:rsidRDefault="00601FE5">
      <w:pPr>
        <w:spacing w:after="0"/>
        <w:ind w:left="243"/>
      </w:pPr>
      <w:r>
        <w:rPr>
          <w:rFonts w:ascii="Arial" w:eastAsia="Arial" w:hAnsi="Arial" w:cs="Arial"/>
          <w:b/>
          <w:sz w:val="16"/>
        </w:rPr>
        <w:t xml:space="preserve"> </w:t>
      </w:r>
    </w:p>
    <w:p w14:paraId="2573BF22" w14:textId="77777777" w:rsidR="00AB7245" w:rsidRDefault="00601FE5">
      <w:pPr>
        <w:spacing w:after="0"/>
        <w:ind w:left="243"/>
      </w:pPr>
      <w:r>
        <w:rPr>
          <w:rFonts w:ascii="Arial" w:eastAsia="Arial" w:hAnsi="Arial" w:cs="Arial"/>
          <w:b/>
          <w:sz w:val="16"/>
        </w:rPr>
        <w:t xml:space="preserve"> </w:t>
      </w:r>
    </w:p>
    <w:p w14:paraId="6478344C" w14:textId="77777777" w:rsidR="00AB7245" w:rsidRDefault="00601FE5">
      <w:pPr>
        <w:spacing w:after="0"/>
        <w:ind w:left="243"/>
      </w:pPr>
      <w:r>
        <w:rPr>
          <w:rFonts w:ascii="Arial" w:eastAsia="Arial" w:hAnsi="Arial" w:cs="Arial"/>
          <w:b/>
          <w:sz w:val="16"/>
        </w:rPr>
        <w:t xml:space="preserve"> </w:t>
      </w:r>
    </w:p>
    <w:p w14:paraId="727B233E" w14:textId="77777777" w:rsidR="00AB7245" w:rsidRDefault="00601FE5">
      <w:pPr>
        <w:spacing w:after="0"/>
        <w:ind w:left="243"/>
      </w:pPr>
      <w:r>
        <w:rPr>
          <w:rFonts w:ascii="Arial" w:eastAsia="Arial" w:hAnsi="Arial" w:cs="Arial"/>
          <w:b/>
          <w:sz w:val="16"/>
        </w:rPr>
        <w:t xml:space="preserve"> </w:t>
      </w:r>
    </w:p>
    <w:p w14:paraId="79040758" w14:textId="77777777" w:rsidR="00AB7245" w:rsidRDefault="00601FE5">
      <w:pPr>
        <w:spacing w:after="177"/>
        <w:ind w:left="243"/>
      </w:pPr>
      <w:r>
        <w:rPr>
          <w:rFonts w:ascii="Arial" w:eastAsia="Arial" w:hAnsi="Arial" w:cs="Arial"/>
          <w:b/>
          <w:sz w:val="16"/>
        </w:rPr>
        <w:t xml:space="preserve"> </w:t>
      </w:r>
    </w:p>
    <w:p w14:paraId="2A9AA4B2" w14:textId="77777777" w:rsidR="00AB7245" w:rsidRDefault="00601FE5">
      <w:pPr>
        <w:spacing w:after="0"/>
        <w:ind w:left="243"/>
      </w:pPr>
      <w:r>
        <w:rPr>
          <w:b/>
          <w:sz w:val="36"/>
        </w:rPr>
        <w:t xml:space="preserve"> </w:t>
      </w:r>
    </w:p>
    <w:p w14:paraId="0445BF21" w14:textId="42597F8C" w:rsidR="00AB7245" w:rsidRDefault="00601FE5" w:rsidP="00601FE5">
      <w:pPr>
        <w:spacing w:after="0"/>
        <w:ind w:left="243"/>
      </w:pPr>
      <w:r>
        <w:rPr>
          <w:b/>
          <w:sz w:val="36"/>
        </w:rPr>
        <w:t xml:space="preserve">                  This page is intentionally Blank</w:t>
      </w:r>
    </w:p>
    <w:p w14:paraId="02C1FC2E" w14:textId="77777777" w:rsidR="00AB7245" w:rsidRDefault="00601FE5">
      <w:pPr>
        <w:spacing w:after="17"/>
        <w:ind w:left="243"/>
        <w:jc w:val="both"/>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66F4241C" w14:textId="77777777" w:rsidR="00AB7245" w:rsidRDefault="00601FE5">
      <w:pPr>
        <w:spacing w:after="17"/>
        <w:ind w:left="243"/>
        <w:jc w:val="both"/>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3F1A373E" w14:textId="77777777" w:rsidR="00AB7245" w:rsidRDefault="00601FE5">
      <w:pPr>
        <w:spacing w:after="17"/>
        <w:ind w:left="243"/>
        <w:jc w:val="both"/>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6BC613AC" w14:textId="55DB964E" w:rsidR="00AB7245" w:rsidRDefault="00601FE5">
      <w:pPr>
        <w:spacing w:after="17"/>
        <w:ind w:left="243"/>
        <w:jc w:val="both"/>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28ED98A2" w14:textId="642222B3" w:rsidR="00AB7245" w:rsidRDefault="00601FE5">
      <w:pPr>
        <w:tabs>
          <w:tab w:val="center" w:pos="243"/>
          <w:tab w:val="center" w:pos="963"/>
          <w:tab w:val="center" w:pos="2138"/>
        </w:tabs>
        <w:spacing w:after="27"/>
      </w:pPr>
      <w:r>
        <w:tab/>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p>
    <w:p w14:paraId="3E054F1A" w14:textId="77777777" w:rsidR="00AB7245" w:rsidRDefault="00AB7245">
      <w:pPr>
        <w:sectPr w:rsidR="00AB7245">
          <w:headerReference w:type="even" r:id="rId9"/>
          <w:headerReference w:type="default" r:id="rId10"/>
          <w:footerReference w:type="even" r:id="rId11"/>
          <w:footerReference w:type="default" r:id="rId12"/>
          <w:headerReference w:type="first" r:id="rId13"/>
          <w:footerReference w:type="first" r:id="rId14"/>
          <w:pgSz w:w="11906" w:h="16841"/>
          <w:pgMar w:top="241" w:right="1309" w:bottom="453" w:left="890" w:header="720" w:footer="720" w:gutter="0"/>
          <w:cols w:space="720"/>
        </w:sectPr>
      </w:pPr>
    </w:p>
    <w:p w14:paraId="6CB86086" w14:textId="77777777" w:rsidR="00AB7245" w:rsidRDefault="00601FE5">
      <w:pPr>
        <w:spacing w:after="0"/>
      </w:pPr>
      <w:r>
        <w:rPr>
          <w:b/>
          <w:sz w:val="28"/>
        </w:rPr>
        <w:lastRenderedPageBreak/>
        <w:t xml:space="preserve">Dexamfetamine Shared Care Guideline: Prescribing Agreement for Attention Deficit Hyperactivity Disorder in Children &amp; Young People (6-18 years) </w:t>
      </w:r>
    </w:p>
    <w:tbl>
      <w:tblPr>
        <w:tblStyle w:val="TableGrid"/>
        <w:tblW w:w="10186" w:type="dxa"/>
        <w:tblInd w:w="-557" w:type="dxa"/>
        <w:tblCellMar>
          <w:top w:w="48" w:type="dxa"/>
          <w:left w:w="108" w:type="dxa"/>
          <w:right w:w="60" w:type="dxa"/>
        </w:tblCellMar>
        <w:tblLook w:val="04A0" w:firstRow="1" w:lastRow="0" w:firstColumn="1" w:lastColumn="0" w:noHBand="0" w:noVBand="1"/>
      </w:tblPr>
      <w:tblGrid>
        <w:gridCol w:w="10186"/>
      </w:tblGrid>
      <w:tr w:rsidR="00AB7245" w14:paraId="36248E2C" w14:textId="77777777">
        <w:trPr>
          <w:trHeight w:val="7203"/>
        </w:trPr>
        <w:tc>
          <w:tcPr>
            <w:tcW w:w="10186" w:type="dxa"/>
            <w:tcBorders>
              <w:top w:val="single" w:sz="4" w:space="0" w:color="000000"/>
              <w:left w:val="single" w:sz="4" w:space="0" w:color="000000"/>
              <w:bottom w:val="single" w:sz="4" w:space="0" w:color="000000"/>
              <w:right w:val="single" w:sz="4" w:space="0" w:color="000000"/>
            </w:tcBorders>
          </w:tcPr>
          <w:p w14:paraId="785BEAD7" w14:textId="77777777" w:rsidR="00AB7245" w:rsidRDefault="00601FE5">
            <w:pPr>
              <w:ind w:right="47"/>
              <w:jc w:val="center"/>
            </w:pPr>
            <w:r>
              <w:rPr>
                <w:b/>
              </w:rPr>
              <w:t xml:space="preserve">NOTES to the GP </w:t>
            </w:r>
          </w:p>
          <w:p w14:paraId="794D252D" w14:textId="77777777" w:rsidR="00AB7245" w:rsidRDefault="00601FE5">
            <w:pPr>
              <w:spacing w:line="239" w:lineRule="auto"/>
              <w:jc w:val="both"/>
            </w:pPr>
            <w:r>
              <w:t xml:space="preserve">The expectation is that these guidelines should provide sufficient information to enable GPs to be confident to take clinical and legal responsibility for prescribing this medicine.  </w:t>
            </w:r>
          </w:p>
          <w:p w14:paraId="1F981EEB" w14:textId="77777777" w:rsidR="00AB7245" w:rsidRDefault="00601FE5">
            <w:pPr>
              <w:spacing w:after="218"/>
            </w:pPr>
            <w:r>
              <w:t xml:space="preserve"> </w:t>
            </w:r>
          </w:p>
          <w:p w14:paraId="29E6E2AE" w14:textId="77777777" w:rsidR="00AB7245" w:rsidRDefault="00601FE5">
            <w:r>
              <w:t xml:space="preserve">The questions below will help you confirm this:   </w:t>
            </w:r>
          </w:p>
          <w:p w14:paraId="199307BA" w14:textId="77777777" w:rsidR="00AB7245" w:rsidRDefault="00601FE5">
            <w:pPr>
              <w:numPr>
                <w:ilvl w:val="0"/>
                <w:numId w:val="1"/>
              </w:numPr>
              <w:ind w:hanging="360"/>
            </w:pPr>
            <w:r>
              <w:t xml:space="preserve">Is the patient’s condition predictable or stable? </w:t>
            </w:r>
          </w:p>
          <w:p w14:paraId="389C2E3B" w14:textId="77777777" w:rsidR="00AB7245" w:rsidRDefault="00601FE5">
            <w:pPr>
              <w:numPr>
                <w:ilvl w:val="0"/>
                <w:numId w:val="1"/>
              </w:numPr>
              <w:spacing w:after="14" w:line="240" w:lineRule="auto"/>
              <w:ind w:hanging="360"/>
            </w:pPr>
            <w:r>
              <w:t xml:space="preserve">Do you have the relevant knowledge, skills, and access to equipment to allow you to monitor treatment as indicated in this shared care prescribing guideline?   </w:t>
            </w:r>
          </w:p>
          <w:p w14:paraId="5AA66818" w14:textId="77777777" w:rsidR="00AB7245" w:rsidRDefault="00601FE5">
            <w:pPr>
              <w:numPr>
                <w:ilvl w:val="0"/>
                <w:numId w:val="1"/>
              </w:numPr>
              <w:ind w:hanging="360"/>
            </w:pPr>
            <w:r>
              <w:t xml:space="preserve">Have you been provided with relevant clinical details including monitoring data? </w:t>
            </w:r>
          </w:p>
          <w:p w14:paraId="3CF458AE" w14:textId="77777777" w:rsidR="00AB7245" w:rsidRDefault="00601FE5">
            <w:pPr>
              <w:spacing w:after="218"/>
            </w:pPr>
            <w:r>
              <w:t xml:space="preserve"> </w:t>
            </w:r>
          </w:p>
          <w:p w14:paraId="04FADDA3" w14:textId="77777777" w:rsidR="00AB7245" w:rsidRDefault="00601FE5">
            <w:pPr>
              <w:spacing w:after="200" w:line="275" w:lineRule="auto"/>
              <w:ind w:right="54"/>
              <w:jc w:val="both"/>
            </w:pPr>
            <w:r>
              <w:t xml:space="preserve">If you can answer YES to all these questions (after reading this shared care guideline), then it is appropriate for you to accept prescribing responsibility. Prescribe a maximum of 30 days at a time with a review date of every 6 months. Quantities should be supplied in line with pack size and local waste reduction program.  </w:t>
            </w:r>
          </w:p>
          <w:p w14:paraId="27156233" w14:textId="77777777" w:rsidR="00AB7245" w:rsidRDefault="00601FE5">
            <w:r>
              <w:t xml:space="preserve"> </w:t>
            </w:r>
          </w:p>
          <w:p w14:paraId="7A6509E7" w14:textId="77777777" w:rsidR="00AB7245" w:rsidRDefault="00601FE5">
            <w:pPr>
              <w:spacing w:after="1" w:line="239" w:lineRule="auto"/>
              <w:ind w:right="48"/>
              <w:jc w:val="both"/>
            </w:pPr>
            <w:r>
              <w:t xml:space="preserve">If the answer is NO to any of these questions, you should not accept prescribing responsibility.  You should write to the specialist prescriber within 14 days, outlining your reasons for NOT prescribing. If you do not have the confidence to prescribe, we suggest you discuss this with your local Trust/specialist service, who will be willing to provide training and support. If you still lack the confidence to accept clinical responsibility, you still have the right to decline. Your CCG pharmacist will assist you in making decisions about shared care. </w:t>
            </w:r>
          </w:p>
          <w:p w14:paraId="1139D8C9" w14:textId="77777777" w:rsidR="00AB7245" w:rsidRDefault="00601FE5">
            <w:pPr>
              <w:spacing w:after="218"/>
            </w:pPr>
            <w:r>
              <w:t xml:space="preserve"> </w:t>
            </w:r>
          </w:p>
          <w:p w14:paraId="733E3FDA" w14:textId="77777777" w:rsidR="00AB7245" w:rsidRDefault="00601FE5">
            <w:pPr>
              <w:ind w:left="2694" w:right="672" w:hanging="2694"/>
            </w:pPr>
            <w:r>
              <w:t xml:space="preserve">It would not normally be expected that a GP would decline to share prescribing on the basis of cost.  </w:t>
            </w:r>
            <w:r>
              <w:rPr>
                <w:b/>
              </w:rPr>
              <w:t>The patient’s best interests are always paramount</w:t>
            </w:r>
            <w:r>
              <w:t xml:space="preserve"> </w:t>
            </w:r>
          </w:p>
        </w:tc>
      </w:tr>
    </w:tbl>
    <w:p w14:paraId="336F111E" w14:textId="77777777" w:rsidR="00AB7245" w:rsidRDefault="00601FE5">
      <w:pPr>
        <w:spacing w:after="219"/>
        <w:ind w:left="237"/>
        <w:jc w:val="center"/>
      </w:pPr>
      <w:r>
        <w:rPr>
          <w:b/>
          <w:sz w:val="24"/>
        </w:rPr>
        <w:t xml:space="preserve"> </w:t>
      </w:r>
    </w:p>
    <w:p w14:paraId="2F9393B8" w14:textId="4B96CE96" w:rsidR="00601FE5" w:rsidRPr="00601FE5" w:rsidRDefault="00601FE5" w:rsidP="00601FE5">
      <w:pPr>
        <w:spacing w:after="221"/>
        <w:ind w:left="237"/>
        <w:jc w:val="center"/>
        <w:rPr>
          <w:b/>
          <w:sz w:val="24"/>
        </w:rPr>
      </w:pPr>
      <w:r>
        <w:rPr>
          <w:b/>
          <w:sz w:val="24"/>
        </w:rPr>
        <w:t xml:space="preserve"> </w:t>
      </w:r>
    </w:p>
    <w:p w14:paraId="1050C2FD" w14:textId="77777777" w:rsidR="00AB7245" w:rsidRDefault="00601FE5">
      <w:pPr>
        <w:spacing w:after="221"/>
        <w:ind w:left="237"/>
        <w:jc w:val="center"/>
      </w:pPr>
      <w:r>
        <w:rPr>
          <w:b/>
          <w:sz w:val="24"/>
        </w:rPr>
        <w:t xml:space="preserve"> </w:t>
      </w:r>
    </w:p>
    <w:p w14:paraId="055513DE" w14:textId="77777777" w:rsidR="00AB7245" w:rsidRDefault="00601FE5">
      <w:pPr>
        <w:spacing w:after="197"/>
        <w:ind w:left="237"/>
        <w:jc w:val="center"/>
      </w:pPr>
      <w:r>
        <w:rPr>
          <w:b/>
          <w:sz w:val="24"/>
        </w:rPr>
        <w:t xml:space="preserve"> </w:t>
      </w:r>
    </w:p>
    <w:p w14:paraId="2BE7E8B7" w14:textId="77777777" w:rsidR="00AB7245" w:rsidRDefault="00601FE5">
      <w:pPr>
        <w:spacing w:after="1"/>
        <w:ind w:left="-5" w:hanging="10"/>
      </w:pPr>
      <w:r>
        <w:rPr>
          <w:rFonts w:ascii="Arial" w:eastAsia="Arial" w:hAnsi="Arial" w:cs="Arial"/>
        </w:rPr>
        <w:t xml:space="preserve">Approved by: Integrated medicines committee (IMOC) </w:t>
      </w:r>
    </w:p>
    <w:p w14:paraId="7AD78FBD" w14:textId="77777777" w:rsidR="00AB7245" w:rsidRDefault="00601FE5">
      <w:pPr>
        <w:spacing w:after="1"/>
        <w:ind w:left="-5" w:hanging="10"/>
      </w:pPr>
      <w:r>
        <w:rPr>
          <w:rFonts w:ascii="Arial" w:eastAsia="Arial" w:hAnsi="Arial" w:cs="Arial"/>
        </w:rPr>
        <w:t>Approval date: 27</w:t>
      </w:r>
      <w:r>
        <w:rPr>
          <w:rFonts w:ascii="Arial" w:eastAsia="Arial" w:hAnsi="Arial" w:cs="Arial"/>
          <w:vertAlign w:val="superscript"/>
        </w:rPr>
        <w:t>th</w:t>
      </w:r>
      <w:r>
        <w:rPr>
          <w:rFonts w:ascii="Arial" w:eastAsia="Arial" w:hAnsi="Arial" w:cs="Arial"/>
        </w:rPr>
        <w:t xml:space="preserve"> November 2024   </w:t>
      </w:r>
    </w:p>
    <w:p w14:paraId="3AB24F01" w14:textId="18126C34" w:rsidR="00AB7245" w:rsidRDefault="00601FE5">
      <w:pPr>
        <w:spacing w:after="1"/>
        <w:ind w:left="-5" w:hanging="10"/>
      </w:pPr>
      <w:r>
        <w:rPr>
          <w:rFonts w:ascii="Arial" w:eastAsia="Arial" w:hAnsi="Arial" w:cs="Arial"/>
        </w:rPr>
        <w:t>Review Date: November 202</w:t>
      </w:r>
      <w:r w:rsidR="00130D08">
        <w:rPr>
          <w:rFonts w:ascii="Arial" w:eastAsia="Arial" w:hAnsi="Arial" w:cs="Arial"/>
        </w:rPr>
        <w:t>6</w:t>
      </w:r>
    </w:p>
    <w:p w14:paraId="658DB141" w14:textId="77777777" w:rsidR="00AB7245" w:rsidRDefault="00601FE5">
      <w:pPr>
        <w:spacing w:after="219"/>
        <w:ind w:left="237"/>
        <w:jc w:val="center"/>
        <w:rPr>
          <w:b/>
          <w:sz w:val="24"/>
        </w:rPr>
      </w:pPr>
      <w:r>
        <w:rPr>
          <w:b/>
          <w:sz w:val="24"/>
        </w:rPr>
        <w:t xml:space="preserve"> </w:t>
      </w:r>
    </w:p>
    <w:p w14:paraId="59402A1C" w14:textId="77777777" w:rsidR="00601FE5" w:rsidRDefault="00601FE5" w:rsidP="00601FE5">
      <w:pPr>
        <w:spacing w:after="219"/>
        <w:rPr>
          <w:b/>
          <w:sz w:val="24"/>
        </w:rPr>
      </w:pPr>
    </w:p>
    <w:p w14:paraId="540E3658" w14:textId="37F81A0A" w:rsidR="00AB7245" w:rsidRDefault="00AB7245" w:rsidP="00601FE5">
      <w:pPr>
        <w:spacing w:after="222"/>
      </w:pPr>
    </w:p>
    <w:p w14:paraId="4047A88F" w14:textId="77777777" w:rsidR="00AB7245" w:rsidRDefault="00AB7245">
      <w:pPr>
        <w:spacing w:after="0"/>
        <w:ind w:left="-1419" w:right="10306"/>
      </w:pPr>
    </w:p>
    <w:tbl>
      <w:tblPr>
        <w:tblStyle w:val="TableGrid"/>
        <w:tblpPr w:leftFromText="180" w:rightFromText="180" w:vertAnchor="page" w:horzAnchor="margin" w:tblpXSpec="center" w:tblpY="1431"/>
        <w:tblW w:w="10914" w:type="dxa"/>
        <w:tblInd w:w="0" w:type="dxa"/>
        <w:tblCellMar>
          <w:top w:w="53" w:type="dxa"/>
          <w:left w:w="106" w:type="dxa"/>
          <w:right w:w="96" w:type="dxa"/>
        </w:tblCellMar>
        <w:tblLook w:val="04A0" w:firstRow="1" w:lastRow="0" w:firstColumn="1" w:lastColumn="0" w:noHBand="0" w:noVBand="1"/>
      </w:tblPr>
      <w:tblGrid>
        <w:gridCol w:w="10914"/>
      </w:tblGrid>
      <w:tr w:rsidR="00AB7245" w14:paraId="37455CAC" w14:textId="77777777" w:rsidTr="00E54116">
        <w:trPr>
          <w:trHeight w:val="757"/>
        </w:trPr>
        <w:tc>
          <w:tcPr>
            <w:tcW w:w="10914" w:type="dxa"/>
            <w:tcBorders>
              <w:top w:val="single" w:sz="4" w:space="0" w:color="000000"/>
              <w:left w:val="single" w:sz="4" w:space="0" w:color="000000"/>
              <w:bottom w:val="single" w:sz="4" w:space="0" w:color="000000"/>
              <w:right w:val="single" w:sz="4" w:space="0" w:color="000000"/>
            </w:tcBorders>
            <w:shd w:val="clear" w:color="auto" w:fill="DBE5F1"/>
          </w:tcPr>
          <w:p w14:paraId="422C444F" w14:textId="0A31C80E" w:rsidR="00AB7245" w:rsidRDefault="00601FE5" w:rsidP="00E54116">
            <w:pPr>
              <w:spacing w:after="80"/>
            </w:pPr>
            <w:r>
              <w:rPr>
                <w:b/>
                <w:sz w:val="24"/>
              </w:rPr>
              <w:lastRenderedPageBreak/>
              <w:t>Dexamfetamine for attention deficit hyperactivity disorder (ADHD) in in Children &amp; Young People  (6-18 years)</w:t>
            </w:r>
            <w:r>
              <w:rPr>
                <w:b/>
              </w:rPr>
              <w:t xml:space="preserve"> </w:t>
            </w:r>
          </w:p>
        </w:tc>
      </w:tr>
      <w:tr w:rsidR="00AB7245" w14:paraId="55190965" w14:textId="77777777" w:rsidTr="00E54116">
        <w:trPr>
          <w:trHeight w:val="12128"/>
        </w:trPr>
        <w:tc>
          <w:tcPr>
            <w:tcW w:w="10914" w:type="dxa"/>
            <w:tcBorders>
              <w:top w:val="single" w:sz="4" w:space="0" w:color="000000"/>
              <w:left w:val="single" w:sz="4" w:space="0" w:color="000000"/>
              <w:bottom w:val="single" w:sz="4" w:space="0" w:color="000000"/>
              <w:right w:val="single" w:sz="4" w:space="0" w:color="000000"/>
            </w:tcBorders>
          </w:tcPr>
          <w:p w14:paraId="7B010161" w14:textId="77777777" w:rsidR="00AB7245" w:rsidRDefault="00601FE5" w:rsidP="00E54116">
            <w:pPr>
              <w:spacing w:after="84"/>
            </w:pPr>
            <w:r>
              <w:rPr>
                <w:b/>
                <w:u w:val="single" w:color="000000"/>
              </w:rPr>
              <w:t>Specialist prescriber responsibilities</w:t>
            </w:r>
            <w:r>
              <w:rPr>
                <w:b/>
              </w:rPr>
              <w:t xml:space="preserve"> </w:t>
            </w:r>
          </w:p>
          <w:p w14:paraId="709EF0B4" w14:textId="77777777" w:rsidR="00AB7245" w:rsidRDefault="00601FE5" w:rsidP="00E54116">
            <w:pPr>
              <w:numPr>
                <w:ilvl w:val="0"/>
                <w:numId w:val="2"/>
              </w:numPr>
              <w:spacing w:after="46" w:line="240" w:lineRule="auto"/>
              <w:ind w:hanging="360"/>
            </w:pPr>
            <w:r>
              <w:t>Assess the patient and provide diagnosis; ensure that this diagnosis is within scope of this shared care protocol (</w:t>
            </w:r>
            <w:r>
              <w:rPr>
                <w:color w:val="0000FF"/>
                <w:u w:val="single" w:color="0000FF"/>
              </w:rPr>
              <w:t>section 2</w:t>
            </w:r>
            <w:r>
              <w:t xml:space="preserve">) and communicated to primary care. </w:t>
            </w:r>
          </w:p>
          <w:p w14:paraId="1C851D02" w14:textId="77777777" w:rsidR="00AB7245" w:rsidRDefault="00601FE5" w:rsidP="00E54116">
            <w:pPr>
              <w:numPr>
                <w:ilvl w:val="0"/>
                <w:numId w:val="2"/>
              </w:numPr>
              <w:spacing w:after="44" w:line="275" w:lineRule="auto"/>
              <w:ind w:hanging="360"/>
            </w:pPr>
            <w:r>
              <w:t xml:space="preserve">Use a shared decision-making approach; discuss the benefits and risks of the treatment with the patient and/or their carer and provide the appropriate counselling (see </w:t>
            </w:r>
            <w:r>
              <w:rPr>
                <w:color w:val="0000FF"/>
                <w:u w:val="single" w:color="0000FF"/>
              </w:rPr>
              <w:t xml:space="preserve">section 11), </w:t>
            </w:r>
            <w:r>
              <w:t xml:space="preserve">to enable the patient to reach an informed decision. Obtain and document patient consent. Provide an appropriate patient information leaflet. </w:t>
            </w:r>
            <w:hyperlink r:id="rId15">
              <w:r>
                <w:rPr>
                  <w:color w:val="0000FF"/>
                  <w:u w:val="single" w:color="0000FF"/>
                </w:rPr>
                <w:t>https://www.choiceandmedication.org/swlstg</w:t>
              </w:r>
            </w:hyperlink>
            <w:hyperlink r:id="rId16">
              <w:r>
                <w:rPr>
                  <w:color w:val="0000FF"/>
                  <w:u w:val="single" w:color="0000FF"/>
                </w:rPr>
                <w:t>-</w:t>
              </w:r>
            </w:hyperlink>
            <w:hyperlink r:id="rId17">
              <w:r>
                <w:rPr>
                  <w:color w:val="0000FF"/>
                  <w:u w:val="single" w:color="0000FF"/>
                </w:rPr>
                <w:t>tr/printable</w:t>
              </w:r>
            </w:hyperlink>
            <w:hyperlink r:id="rId18">
              <w:r>
                <w:rPr>
                  <w:color w:val="0000FF"/>
                  <w:u w:val="single" w:color="0000FF"/>
                </w:rPr>
                <w:t>-</w:t>
              </w:r>
            </w:hyperlink>
            <w:hyperlink r:id="rId19">
              <w:r>
                <w:rPr>
                  <w:color w:val="0000FF"/>
                  <w:u w:val="single" w:color="0000FF"/>
                </w:rPr>
                <w:t>leaflets/patient</w:t>
              </w:r>
            </w:hyperlink>
            <w:hyperlink r:id="rId20">
              <w:r>
                <w:rPr>
                  <w:color w:val="0000FF"/>
                  <w:u w:val="single" w:color="0000FF"/>
                </w:rPr>
                <w:t>-</w:t>
              </w:r>
            </w:hyperlink>
            <w:hyperlink r:id="rId21">
              <w:r>
                <w:rPr>
                  <w:color w:val="0000FF"/>
                  <w:u w:val="single" w:color="0000FF"/>
                </w:rPr>
                <w:t>information</w:t>
              </w:r>
            </w:hyperlink>
            <w:hyperlink r:id="rId22">
              <w:r>
                <w:rPr>
                  <w:color w:val="0000FF"/>
                  <w:u w:val="single" w:color="0000FF"/>
                </w:rPr>
                <w:t>-</w:t>
              </w:r>
            </w:hyperlink>
            <w:hyperlink r:id="rId23">
              <w:r>
                <w:rPr>
                  <w:color w:val="0000FF"/>
                  <w:u w:val="single" w:color="0000FF"/>
                </w:rPr>
                <w:t>leaflets/41/ALL/</w:t>
              </w:r>
            </w:hyperlink>
            <w:hyperlink r:id="rId24">
              <w:r>
                <w:t xml:space="preserve"> </w:t>
              </w:r>
            </w:hyperlink>
          </w:p>
          <w:p w14:paraId="39B693B1" w14:textId="77777777" w:rsidR="00AB7245" w:rsidRDefault="00601FE5" w:rsidP="00E54116">
            <w:pPr>
              <w:numPr>
                <w:ilvl w:val="0"/>
                <w:numId w:val="2"/>
              </w:numPr>
              <w:spacing w:after="46" w:line="240" w:lineRule="auto"/>
              <w:ind w:hanging="360"/>
            </w:pPr>
            <w:r>
              <w:t xml:space="preserve">Ensure the patient and/or their carer understands that treatment may be stopped if they do not attend for monitoring and treatment review. </w:t>
            </w:r>
          </w:p>
          <w:p w14:paraId="2C4CCF75" w14:textId="77777777" w:rsidR="00AB7245" w:rsidRDefault="00601FE5" w:rsidP="00E54116">
            <w:pPr>
              <w:numPr>
                <w:ilvl w:val="0"/>
                <w:numId w:val="2"/>
              </w:numPr>
              <w:ind w:hanging="360"/>
            </w:pPr>
            <w:r>
              <w:t xml:space="preserve">Assess for contraindications and cautions (see </w:t>
            </w:r>
            <w:r>
              <w:rPr>
                <w:color w:val="0000FF"/>
                <w:u w:val="single" w:color="0000FF"/>
              </w:rPr>
              <w:t>section 4</w:t>
            </w:r>
            <w:r>
              <w:t xml:space="preserve">) and interactions (see </w:t>
            </w:r>
            <w:r>
              <w:rPr>
                <w:color w:val="0000FF"/>
                <w:u w:val="single" w:color="0000FF"/>
              </w:rPr>
              <w:t>section 7</w:t>
            </w:r>
            <w:r>
              <w:t xml:space="preserve">). </w:t>
            </w:r>
          </w:p>
          <w:p w14:paraId="19BF9366" w14:textId="77777777" w:rsidR="00AB7245" w:rsidRDefault="00601FE5" w:rsidP="00E54116">
            <w:pPr>
              <w:numPr>
                <w:ilvl w:val="0"/>
                <w:numId w:val="2"/>
              </w:numPr>
              <w:ind w:hanging="360"/>
            </w:pPr>
            <w:r>
              <w:t xml:space="preserve">Conduct required baseline investigations and initial monitoring (see </w:t>
            </w:r>
            <w:r>
              <w:rPr>
                <w:color w:val="0000FF"/>
                <w:u w:val="single" w:color="0000FF"/>
              </w:rPr>
              <w:t>section 8</w:t>
            </w:r>
            <w:r>
              <w:t xml:space="preserve">). </w:t>
            </w:r>
          </w:p>
          <w:p w14:paraId="65866600" w14:textId="77777777" w:rsidR="00AB7245" w:rsidRDefault="00601FE5" w:rsidP="00E54116">
            <w:pPr>
              <w:numPr>
                <w:ilvl w:val="0"/>
                <w:numId w:val="2"/>
              </w:numPr>
              <w:spacing w:after="46" w:line="240" w:lineRule="auto"/>
              <w:ind w:hanging="360"/>
            </w:pPr>
            <w:r>
              <w:t xml:space="preserve">Initiate and optimise treatment as outlined in </w:t>
            </w:r>
            <w:r>
              <w:rPr>
                <w:color w:val="0000FF"/>
                <w:u w:val="single" w:color="0000FF"/>
              </w:rPr>
              <w:t>section 5</w:t>
            </w:r>
            <w:r>
              <w:t xml:space="preserve">. Prescribe the maintenance treatment for at least 4 weeks and until optimised. </w:t>
            </w:r>
          </w:p>
          <w:p w14:paraId="700405CF" w14:textId="77777777" w:rsidR="00AB7245" w:rsidRDefault="00601FE5" w:rsidP="00E54116">
            <w:pPr>
              <w:numPr>
                <w:ilvl w:val="0"/>
                <w:numId w:val="2"/>
              </w:numPr>
              <w:spacing w:after="46" w:line="239" w:lineRule="auto"/>
              <w:ind w:hanging="360"/>
            </w:pPr>
            <w:r>
              <w:t>Once treatment is optimised, complete the shared care documentation and send to patient’s GP practice detailing the diagnosis, current and ongoing dose, any relevant test results and when the next monitoring is required. Include contact information (</w:t>
            </w:r>
            <w:r>
              <w:rPr>
                <w:color w:val="0000FF"/>
                <w:u w:val="single" w:color="0000FF"/>
              </w:rPr>
              <w:t>section 13</w:t>
            </w:r>
            <w:r>
              <w:t xml:space="preserve">).  </w:t>
            </w:r>
          </w:p>
          <w:p w14:paraId="655FC10C" w14:textId="77777777" w:rsidR="00AB7245" w:rsidRDefault="00601FE5" w:rsidP="00E54116">
            <w:pPr>
              <w:numPr>
                <w:ilvl w:val="0"/>
                <w:numId w:val="2"/>
              </w:numPr>
              <w:spacing w:after="43" w:line="240" w:lineRule="auto"/>
              <w:ind w:hanging="360"/>
            </w:pPr>
            <w:r>
              <w:t xml:space="preserve">Prescribe sufficient medication to enable transfer to primary care, including where there are unforeseen delays to transfer of care. Prescribe in line with controlled drug prescription requirements (section 6). </w:t>
            </w:r>
          </w:p>
          <w:p w14:paraId="257DC419" w14:textId="77777777" w:rsidR="00AB7245" w:rsidRDefault="00601FE5" w:rsidP="00E54116">
            <w:pPr>
              <w:numPr>
                <w:ilvl w:val="0"/>
                <w:numId w:val="2"/>
              </w:numPr>
              <w:spacing w:after="46" w:line="239" w:lineRule="auto"/>
              <w:ind w:hanging="360"/>
            </w:pPr>
            <w:r>
              <w:t xml:space="preserve">Conduct the scheduled reviews and monitoring in </w:t>
            </w:r>
            <w:r>
              <w:rPr>
                <w:color w:val="0000FF"/>
                <w:u w:val="single" w:color="0000FF"/>
              </w:rPr>
              <w:t>section 8</w:t>
            </w:r>
            <w:r>
              <w:t xml:space="preserve"> and communicate the results to primary care. After a review, advise primary care whether treatment should be continued, confirm the ongoing dose, and whether the ongoing monitoring outlined in </w:t>
            </w:r>
            <w:r>
              <w:rPr>
                <w:color w:val="0000FF"/>
                <w:u w:val="single" w:color="0000FF"/>
              </w:rPr>
              <w:t>section 9</w:t>
            </w:r>
            <w:r>
              <w:t xml:space="preserve"> remains appropriate. </w:t>
            </w:r>
          </w:p>
          <w:p w14:paraId="64D8CBA5" w14:textId="77777777" w:rsidR="00AB7245" w:rsidRDefault="00601FE5" w:rsidP="00E54116">
            <w:pPr>
              <w:numPr>
                <w:ilvl w:val="0"/>
                <w:numId w:val="2"/>
              </w:numPr>
              <w:spacing w:after="46" w:line="240" w:lineRule="auto"/>
              <w:ind w:hanging="360"/>
            </w:pPr>
            <w:r>
              <w:t xml:space="preserve">Ensure the patient and/or their carer understands that treatment may be stopped if they do not attend for monitoring and treatment review. </w:t>
            </w:r>
          </w:p>
          <w:p w14:paraId="6C096D9A" w14:textId="77777777" w:rsidR="00AB7245" w:rsidRDefault="00601FE5" w:rsidP="00E54116">
            <w:pPr>
              <w:numPr>
                <w:ilvl w:val="0"/>
                <w:numId w:val="2"/>
              </w:numPr>
              <w:spacing w:after="47" w:line="238" w:lineRule="auto"/>
              <w:ind w:hanging="360"/>
            </w:pPr>
            <w:r>
              <w:t xml:space="preserve">Determine the duration of treatment and frequency of review. After each review, advise primary care whether treatment should be continued, confirm the ongoing dose, and whether the ongoing monitoring outlined in section 9 remains appropriate. Trial discontinuations should be managed by the specialist. </w:t>
            </w:r>
          </w:p>
          <w:p w14:paraId="40BEA608" w14:textId="77777777" w:rsidR="00AB7245" w:rsidRDefault="00601FE5" w:rsidP="00E54116">
            <w:pPr>
              <w:numPr>
                <w:ilvl w:val="0"/>
                <w:numId w:val="2"/>
              </w:numPr>
              <w:ind w:hanging="360"/>
            </w:pPr>
            <w:r>
              <w:t xml:space="preserve">Reassume prescribing responsibilities if a woman becomes or wishes to become pregnant. </w:t>
            </w:r>
          </w:p>
          <w:p w14:paraId="6CF448C3" w14:textId="77777777" w:rsidR="00AB7245" w:rsidRDefault="00601FE5" w:rsidP="00E54116">
            <w:pPr>
              <w:numPr>
                <w:ilvl w:val="0"/>
                <w:numId w:val="2"/>
              </w:numPr>
              <w:spacing w:after="12"/>
              <w:ind w:hanging="360"/>
            </w:pPr>
            <w:r>
              <w:t xml:space="preserve">Provide advice to primary care on the management of adverse effects if required. </w:t>
            </w:r>
          </w:p>
          <w:p w14:paraId="72984218" w14:textId="2C1FA2FA" w:rsidR="00AB7245" w:rsidRDefault="00AB7245" w:rsidP="00E54116">
            <w:pPr>
              <w:spacing w:after="38"/>
            </w:pPr>
          </w:p>
          <w:p w14:paraId="562C8A3A" w14:textId="77777777" w:rsidR="00AB7245" w:rsidRDefault="00601FE5" w:rsidP="00E54116">
            <w:pPr>
              <w:spacing w:after="81"/>
            </w:pPr>
            <w:r>
              <w:rPr>
                <w:b/>
                <w:u w:val="single" w:color="000000"/>
              </w:rPr>
              <w:t>Primary care responsibilities</w:t>
            </w:r>
            <w:r>
              <w:rPr>
                <w:b/>
              </w:rPr>
              <w:t xml:space="preserve"> </w:t>
            </w:r>
          </w:p>
          <w:p w14:paraId="05BFC87D" w14:textId="77777777" w:rsidR="00AB7245" w:rsidRDefault="00601FE5" w:rsidP="00E54116">
            <w:pPr>
              <w:numPr>
                <w:ilvl w:val="0"/>
                <w:numId w:val="2"/>
              </w:numPr>
              <w:spacing w:after="46" w:line="240" w:lineRule="auto"/>
              <w:ind w:hanging="360"/>
            </w:pPr>
            <w:r>
              <w:t xml:space="preserve">Respond to the request from the specialist for shared care in writing. It is asked that this be undertaken within 14 days of the request being made, where possible. </w:t>
            </w:r>
          </w:p>
          <w:p w14:paraId="297B08BA" w14:textId="77777777" w:rsidR="00AB7245" w:rsidRDefault="00601FE5" w:rsidP="00E54116">
            <w:pPr>
              <w:numPr>
                <w:ilvl w:val="0"/>
                <w:numId w:val="2"/>
              </w:numPr>
              <w:spacing w:after="46" w:line="240" w:lineRule="auto"/>
              <w:ind w:hanging="360"/>
            </w:pPr>
            <w:r>
              <w:t xml:space="preserve">If accepted, prescribe ongoing treatment as detailed in the specialist’s request and as per </w:t>
            </w:r>
            <w:r>
              <w:rPr>
                <w:color w:val="0000FF"/>
              </w:rPr>
              <w:t>section 5</w:t>
            </w:r>
            <w:r>
              <w:t xml:space="preserve"> taking into account any potential drug interactions in </w:t>
            </w:r>
            <w:r>
              <w:rPr>
                <w:color w:val="0000FF"/>
              </w:rPr>
              <w:t>section 7</w:t>
            </w:r>
            <w:r>
              <w:t xml:space="preserve">. </w:t>
            </w:r>
          </w:p>
          <w:p w14:paraId="700A8C94" w14:textId="77777777" w:rsidR="00AB7245" w:rsidRDefault="00601FE5" w:rsidP="00E54116">
            <w:pPr>
              <w:numPr>
                <w:ilvl w:val="0"/>
                <w:numId w:val="2"/>
              </w:numPr>
              <w:ind w:hanging="360"/>
            </w:pPr>
            <w:r>
              <w:t>Prescribe in line with controlled drug prescription requirements (</w:t>
            </w:r>
            <w:r>
              <w:rPr>
                <w:color w:val="0000FF"/>
              </w:rPr>
              <w:t>section 6</w:t>
            </w:r>
            <w:r>
              <w:t xml:space="preserve">). </w:t>
            </w:r>
          </w:p>
          <w:p w14:paraId="5FBFEEC4" w14:textId="77777777" w:rsidR="00AB7245" w:rsidRDefault="00601FE5" w:rsidP="00E54116">
            <w:pPr>
              <w:numPr>
                <w:ilvl w:val="0"/>
                <w:numId w:val="2"/>
              </w:numPr>
              <w:ind w:hanging="360"/>
            </w:pPr>
            <w:r>
              <w:t xml:space="preserve">Adjust the dose of dexamfetamine prescribed as advised by the specialist. </w:t>
            </w:r>
          </w:p>
          <w:p w14:paraId="6137CFB6" w14:textId="77777777" w:rsidR="00AB7245" w:rsidRDefault="00601FE5" w:rsidP="00E54116">
            <w:pPr>
              <w:numPr>
                <w:ilvl w:val="0"/>
                <w:numId w:val="2"/>
              </w:numPr>
              <w:spacing w:line="258" w:lineRule="auto"/>
              <w:ind w:hanging="360"/>
            </w:pPr>
            <w:r>
              <w:t xml:space="preserve">Conduct the required monitoring as outlined in </w:t>
            </w:r>
            <w:r>
              <w:rPr>
                <w:color w:val="0000FF"/>
              </w:rPr>
              <w:t>section 9</w:t>
            </w:r>
            <w:r>
              <w:t xml:space="preserve">. Communicate any abnormal results to the specialist.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Assess for possible interactions with dexamfetamine when starting new medicines (see </w:t>
            </w:r>
            <w:r>
              <w:rPr>
                <w:color w:val="0000FF"/>
              </w:rPr>
              <w:t>section 7</w:t>
            </w:r>
            <w:r>
              <w:t xml:space="preserve">) </w:t>
            </w:r>
          </w:p>
          <w:p w14:paraId="35285248" w14:textId="77777777" w:rsidR="00AB7245" w:rsidRDefault="00601FE5" w:rsidP="00E54116">
            <w:pPr>
              <w:numPr>
                <w:ilvl w:val="0"/>
                <w:numId w:val="2"/>
              </w:numPr>
              <w:ind w:hanging="360"/>
            </w:pPr>
            <w:r>
              <w:t xml:space="preserve">Manage adverse effects as detailed in </w:t>
            </w:r>
            <w:r>
              <w:rPr>
                <w:color w:val="0000FF"/>
              </w:rPr>
              <w:t>section 10</w:t>
            </w:r>
            <w:r>
              <w:t xml:space="preserve"> and discuss with specialist team when required. </w:t>
            </w:r>
          </w:p>
          <w:p w14:paraId="66E973D6" w14:textId="77777777" w:rsidR="00AB7245" w:rsidRDefault="00601FE5" w:rsidP="00E54116">
            <w:pPr>
              <w:numPr>
                <w:ilvl w:val="0"/>
                <w:numId w:val="2"/>
              </w:numPr>
              <w:spacing w:after="44" w:line="240" w:lineRule="auto"/>
              <w:ind w:hanging="360"/>
            </w:pPr>
            <w:r>
              <w:t xml:space="preserve">Stop dexamfetamine and make an urgent referral for appropriate care if cerebral ischaemia, new or worsening seizures, or serotonin syndrome are suspected. </w:t>
            </w:r>
          </w:p>
          <w:p w14:paraId="250DD739" w14:textId="77777777" w:rsidR="00AB7245" w:rsidRDefault="00601FE5" w:rsidP="00E54116">
            <w:pPr>
              <w:numPr>
                <w:ilvl w:val="0"/>
                <w:numId w:val="2"/>
              </w:numPr>
              <w:ind w:hanging="360"/>
            </w:pPr>
            <w:r>
              <w:lastRenderedPageBreak/>
              <w:t xml:space="preserve">Refer the management back to the specialist if the patient becomes or plans to become pregnant. </w:t>
            </w:r>
          </w:p>
          <w:p w14:paraId="61029EC1" w14:textId="77777777" w:rsidR="00E54116" w:rsidRDefault="00601FE5" w:rsidP="00E54116">
            <w:pPr>
              <w:numPr>
                <w:ilvl w:val="0"/>
                <w:numId w:val="2"/>
              </w:numPr>
              <w:ind w:hanging="360"/>
            </w:pPr>
            <w:r>
              <w:t>Stop treatment as advised by the specialist. Trial discontinuations should be managed by the specialist.</w:t>
            </w:r>
          </w:p>
          <w:p w14:paraId="3C9143EE" w14:textId="77777777" w:rsidR="00E54116" w:rsidRDefault="00E54116" w:rsidP="00E54116">
            <w:pPr>
              <w:spacing w:after="81"/>
            </w:pPr>
            <w:r>
              <w:rPr>
                <w:b/>
                <w:u w:val="single" w:color="000000"/>
              </w:rPr>
              <w:t>Patient and/or carer responsibilities</w:t>
            </w:r>
            <w:r>
              <w:rPr>
                <w:b/>
              </w:rPr>
              <w:t xml:space="preserve"> </w:t>
            </w:r>
          </w:p>
          <w:p w14:paraId="2BE7D7EE" w14:textId="77777777" w:rsidR="00E54116" w:rsidRDefault="00E54116" w:rsidP="00E54116">
            <w:pPr>
              <w:numPr>
                <w:ilvl w:val="0"/>
                <w:numId w:val="3"/>
              </w:numPr>
              <w:spacing w:after="46" w:line="240" w:lineRule="auto"/>
              <w:ind w:hanging="360"/>
            </w:pPr>
            <w:r>
              <w:t xml:space="preserve">Attend regularly for monitoring and review appointments with primary care and specialist and keep contact details up to date with both prescribers. Be aware that medicines may be stopped if they do not attend. </w:t>
            </w:r>
          </w:p>
          <w:p w14:paraId="78539076" w14:textId="77777777" w:rsidR="00E54116" w:rsidRDefault="00E54116" w:rsidP="00E54116">
            <w:pPr>
              <w:numPr>
                <w:ilvl w:val="0"/>
                <w:numId w:val="3"/>
              </w:numPr>
              <w:spacing w:after="46" w:line="240" w:lineRule="auto"/>
              <w:ind w:hanging="360"/>
            </w:pPr>
            <w:r>
              <w:t xml:space="preserve">Report adverse effects to their primary care prescriber. Seek immediate medical attention if they develop any symptoms as detailed in </w:t>
            </w:r>
            <w:r>
              <w:rPr>
                <w:color w:val="0000FF"/>
                <w:u w:val="single" w:color="0000FF"/>
              </w:rPr>
              <w:t>section 11</w:t>
            </w:r>
            <w:r>
              <w:t xml:space="preserve">. </w:t>
            </w:r>
          </w:p>
          <w:p w14:paraId="38D9F840" w14:textId="77777777" w:rsidR="00E54116" w:rsidRDefault="00E54116" w:rsidP="00E54116">
            <w:pPr>
              <w:numPr>
                <w:ilvl w:val="0"/>
                <w:numId w:val="3"/>
              </w:numPr>
              <w:spacing w:after="44" w:line="240" w:lineRule="auto"/>
              <w:ind w:hanging="360"/>
            </w:pPr>
            <w:r>
              <w:t xml:space="preserve">Report the use of any over the counter (OTC) medications to their primary care prescriber and be aware they should discuss the use of dexamfetamine with their pharmacist before purchasing any OTC medicines. </w:t>
            </w:r>
          </w:p>
          <w:p w14:paraId="1D1592FB" w14:textId="77777777" w:rsidR="00E54116" w:rsidRDefault="00E54116" w:rsidP="00E54116">
            <w:pPr>
              <w:numPr>
                <w:ilvl w:val="0"/>
                <w:numId w:val="3"/>
              </w:numPr>
              <w:spacing w:after="46" w:line="240" w:lineRule="auto"/>
              <w:ind w:hanging="360"/>
            </w:pPr>
            <w:r>
              <w:t xml:space="preserve">Dexamfetamine is subject to drug driving laws.  Not to drive, cycle or operate machines if dexamfetamine affects their ability to do so safely, e.g. by causing dizziness, drowsiness and visual disturbances and to inform the DVLA if their ability to drive safely is affected. See </w:t>
            </w:r>
            <w:hyperlink r:id="rId25">
              <w:r>
                <w:rPr>
                  <w:color w:val="0000FF"/>
                  <w:u w:val="single" w:color="0000FF"/>
                </w:rPr>
                <w:t>https://www.gov.uk/adhd</w:t>
              </w:r>
            </w:hyperlink>
            <w:hyperlink r:id="rId26">
              <w:r>
                <w:rPr>
                  <w:color w:val="0000FF"/>
                  <w:u w:val="single" w:color="0000FF"/>
                </w:rPr>
                <w:t>-</w:t>
              </w:r>
            </w:hyperlink>
            <w:hyperlink r:id="rId27">
              <w:r>
                <w:rPr>
                  <w:color w:val="0000FF"/>
                  <w:u w:val="single" w:color="0000FF"/>
                </w:rPr>
                <w:t>and</w:t>
              </w:r>
            </w:hyperlink>
            <w:hyperlink r:id="rId28">
              <w:r>
                <w:rPr>
                  <w:color w:val="0000FF"/>
                  <w:u w:val="single" w:color="0000FF"/>
                </w:rPr>
                <w:t>-</w:t>
              </w:r>
            </w:hyperlink>
            <w:hyperlink r:id="rId29">
              <w:r>
                <w:rPr>
                  <w:color w:val="0000FF"/>
                  <w:u w:val="single" w:color="0000FF"/>
                </w:rPr>
                <w:t>driving</w:t>
              </w:r>
            </w:hyperlink>
            <w:hyperlink r:id="rId30">
              <w:r>
                <w:t xml:space="preserve"> </w:t>
              </w:r>
            </w:hyperlink>
            <w:r>
              <w:t xml:space="preserve">and </w:t>
            </w:r>
            <w:r>
              <w:rPr>
                <w:color w:val="0000FF"/>
                <w:u w:val="single" w:color="0000FF"/>
              </w:rPr>
              <w:t>section 11</w:t>
            </w:r>
            <w:r>
              <w:t xml:space="preserve">. </w:t>
            </w:r>
          </w:p>
          <w:p w14:paraId="5FB477F4" w14:textId="77777777" w:rsidR="00E54116" w:rsidRDefault="00E54116" w:rsidP="00E54116">
            <w:pPr>
              <w:numPr>
                <w:ilvl w:val="0"/>
                <w:numId w:val="3"/>
              </w:numPr>
              <w:spacing w:after="160"/>
              <w:ind w:hanging="360"/>
            </w:pPr>
            <w:r>
              <w:t xml:space="preserve">Avoid alcohol while during treatment, as it may make some side effects worse. Avoid recreational drugs.  </w:t>
            </w:r>
          </w:p>
          <w:p w14:paraId="296AC480" w14:textId="77777777" w:rsidR="00E54116" w:rsidRDefault="00E54116" w:rsidP="00E54116">
            <w:pPr>
              <w:numPr>
                <w:ilvl w:val="0"/>
                <w:numId w:val="3"/>
              </w:numPr>
              <w:spacing w:after="44" w:line="240" w:lineRule="auto"/>
              <w:ind w:hanging="360"/>
            </w:pPr>
            <w:r>
              <w:t xml:space="preserve">Dexamfetamine is a schedule 2 controlled drug. Patients may be required to prove their identity when collecting prescriptions and should store dexamfetamine safely and securely. It must not be shared with anyone else. </w:t>
            </w:r>
          </w:p>
          <w:p w14:paraId="00013BD2" w14:textId="77777777" w:rsidR="00E54116" w:rsidRDefault="00E54116" w:rsidP="00E54116">
            <w:pPr>
              <w:numPr>
                <w:ilvl w:val="0"/>
                <w:numId w:val="3"/>
              </w:numPr>
              <w:spacing w:after="281" w:line="240" w:lineRule="auto"/>
              <w:ind w:hanging="360"/>
            </w:pPr>
            <w:r>
              <w:t xml:space="preserve">Patients of childbearing potential should take a pregnancy test if they think they could be pregnant and inform the specialist or GP immediately if they become pregnant or wish to become pregnant. </w:t>
            </w:r>
          </w:p>
          <w:p w14:paraId="4A60882F" w14:textId="77777777" w:rsidR="00E54116" w:rsidRDefault="00E54116" w:rsidP="00E54116">
            <w:r>
              <w:rPr>
                <w:b/>
                <w:u w:val="single" w:color="000000"/>
              </w:rPr>
              <w:t>ADHD resources for children and young people, parents/carers and primary care professionals</w:t>
            </w:r>
            <w:r>
              <w:rPr>
                <w:b/>
              </w:rPr>
              <w:t xml:space="preserve">  </w:t>
            </w:r>
          </w:p>
          <w:p w14:paraId="745542F2" w14:textId="77777777" w:rsidR="00E54116" w:rsidRDefault="00E54116" w:rsidP="00E54116">
            <w:pPr>
              <w:spacing w:line="239" w:lineRule="auto"/>
            </w:pPr>
            <w:r>
              <w:t xml:space="preserve">Working with the ADHD Foundation, we have launched new set of booklets for children, teenagers and their parents and carers. There are three separate booklets, each of which has a different focus: </w:t>
            </w:r>
          </w:p>
          <w:p w14:paraId="05F63DBF" w14:textId="77777777" w:rsidR="00E54116" w:rsidRDefault="00E54116" w:rsidP="00E54116">
            <w:pPr>
              <w:numPr>
                <w:ilvl w:val="0"/>
                <w:numId w:val="3"/>
              </w:numPr>
              <w:spacing w:after="160" w:line="240" w:lineRule="auto"/>
              <w:ind w:hanging="360"/>
            </w:pPr>
            <w:r>
              <w:t xml:space="preserve">The children’s booklet is an interactive guide with 20 fun activities for children to help them focus, manage their emotions, and succeed </w:t>
            </w:r>
          </w:p>
          <w:p w14:paraId="52AB775E" w14:textId="77777777" w:rsidR="00E54116" w:rsidRDefault="00E54116" w:rsidP="00E54116">
            <w:pPr>
              <w:numPr>
                <w:ilvl w:val="0"/>
                <w:numId w:val="3"/>
              </w:numPr>
              <w:spacing w:after="160" w:line="239" w:lineRule="auto"/>
              <w:ind w:hanging="360"/>
            </w:pPr>
            <w:r>
              <w:t xml:space="preserve">The teenager’s booklet is a guide and workbook with information and activities to support teenagers living with ADHD </w:t>
            </w:r>
          </w:p>
          <w:p w14:paraId="170F26B8" w14:textId="77777777" w:rsidR="00E54116" w:rsidRDefault="00E54116" w:rsidP="00E54116">
            <w:pPr>
              <w:numPr>
                <w:ilvl w:val="0"/>
                <w:numId w:val="3"/>
              </w:numPr>
              <w:spacing w:after="160" w:line="239" w:lineRule="auto"/>
              <w:ind w:hanging="360"/>
            </w:pPr>
            <w:r>
              <w:t xml:space="preserve">The parents/carers booklet is an information and resource guide for parents and carers of children and young people with ADHD and may also be useful for health professionals including those working in primary care.  </w:t>
            </w:r>
          </w:p>
          <w:p w14:paraId="55CAEC6F" w14:textId="77777777" w:rsidR="00AB7245" w:rsidRDefault="00E54116" w:rsidP="00E54116">
            <w:pPr>
              <w:rPr>
                <w:color w:val="0000FF"/>
                <w:u w:val="single" w:color="0000FF"/>
              </w:rPr>
            </w:pPr>
            <w:r>
              <w:t xml:space="preserve">All three booklets are available to share and download on our website: </w:t>
            </w:r>
            <w:hyperlink r:id="rId31">
              <w:r>
                <w:rPr>
                  <w:color w:val="0000FF"/>
                  <w:u w:val="single" w:color="0000FF"/>
                </w:rPr>
                <w:t>https://www.transformationpartnersinhealthandcare.nhs.uk/cyp</w:t>
              </w:r>
            </w:hyperlink>
            <w:hyperlink r:id="rId32">
              <w:r>
                <w:rPr>
                  <w:color w:val="0000FF"/>
                  <w:u w:val="single" w:color="0000FF"/>
                </w:rPr>
                <w:t>-</w:t>
              </w:r>
            </w:hyperlink>
            <w:hyperlink r:id="rId33">
              <w:r>
                <w:rPr>
                  <w:color w:val="0000FF"/>
                  <w:u w:val="single" w:color="0000FF"/>
                </w:rPr>
                <w:t>adhd</w:t>
              </w:r>
            </w:hyperlink>
            <w:hyperlink r:id="rId34">
              <w:r>
                <w:rPr>
                  <w:color w:val="0000FF"/>
                  <w:u w:val="single" w:color="0000FF"/>
                </w:rPr>
                <w:t>-</w:t>
              </w:r>
            </w:hyperlink>
            <w:hyperlink r:id="rId35">
              <w:r>
                <w:rPr>
                  <w:color w:val="0000FF"/>
                  <w:u w:val="single" w:color="0000FF"/>
                </w:rPr>
                <w:t>resources</w:t>
              </w:r>
            </w:hyperlink>
            <w:hyperlink r:id="rId36">
              <w:r>
                <w:t xml:space="preserve"> </w:t>
              </w:r>
            </w:hyperlink>
            <w:r w:rsidR="00601FE5">
              <w:t xml:space="preserve">  </w:t>
            </w:r>
          </w:p>
          <w:p w14:paraId="16364FA1" w14:textId="77777777" w:rsidR="00E54116" w:rsidRPr="00E54116" w:rsidRDefault="00E54116" w:rsidP="00E54116"/>
          <w:p w14:paraId="6C36FCBB" w14:textId="77777777" w:rsidR="00E54116" w:rsidRPr="00E54116" w:rsidRDefault="00E54116" w:rsidP="00E54116"/>
          <w:p w14:paraId="1A3C77CD" w14:textId="4CA73BCD" w:rsidR="00E54116" w:rsidRDefault="00E54116" w:rsidP="00E54116">
            <w:pPr>
              <w:rPr>
                <w:u w:val="single" w:color="0000FF"/>
              </w:rPr>
            </w:pPr>
          </w:p>
          <w:p w14:paraId="1D3E62AF" w14:textId="77777777" w:rsidR="00E54116" w:rsidRDefault="00E54116" w:rsidP="00E54116">
            <w:pPr>
              <w:rPr>
                <w:u w:val="single" w:color="0000FF"/>
              </w:rPr>
            </w:pPr>
          </w:p>
          <w:p w14:paraId="6467B05B" w14:textId="77777777" w:rsidR="00E54116" w:rsidRDefault="00E54116" w:rsidP="00E54116">
            <w:pPr>
              <w:rPr>
                <w:u w:val="single" w:color="0000FF"/>
              </w:rPr>
            </w:pPr>
          </w:p>
          <w:p w14:paraId="15C5F743" w14:textId="77777777" w:rsidR="00E54116" w:rsidRDefault="00E54116" w:rsidP="00E54116">
            <w:pPr>
              <w:rPr>
                <w:u w:val="single" w:color="0000FF"/>
              </w:rPr>
            </w:pPr>
          </w:p>
          <w:p w14:paraId="5D85A1BB" w14:textId="77777777" w:rsidR="00E54116" w:rsidRDefault="00E54116" w:rsidP="00E54116">
            <w:pPr>
              <w:rPr>
                <w:u w:val="single" w:color="0000FF"/>
              </w:rPr>
            </w:pPr>
          </w:p>
          <w:p w14:paraId="41CB883C" w14:textId="77777777" w:rsidR="00E54116" w:rsidRDefault="00E54116" w:rsidP="00E54116">
            <w:pPr>
              <w:rPr>
                <w:u w:val="single" w:color="0000FF"/>
              </w:rPr>
            </w:pPr>
          </w:p>
          <w:p w14:paraId="3608AE2C" w14:textId="77777777" w:rsidR="00E54116" w:rsidRDefault="00E54116" w:rsidP="00E54116">
            <w:pPr>
              <w:rPr>
                <w:color w:val="0000FF"/>
                <w:u w:val="single" w:color="0000FF"/>
              </w:rPr>
            </w:pPr>
          </w:p>
          <w:p w14:paraId="46C6F3EA" w14:textId="77777777" w:rsidR="00E54116" w:rsidRPr="00E54116" w:rsidRDefault="00E54116" w:rsidP="00E54116"/>
          <w:p w14:paraId="57943306" w14:textId="77777777" w:rsidR="00E54116" w:rsidRDefault="00E54116" w:rsidP="00E54116">
            <w:pPr>
              <w:rPr>
                <w:color w:val="0000FF"/>
                <w:u w:val="single" w:color="0000FF"/>
              </w:rPr>
            </w:pPr>
          </w:p>
          <w:p w14:paraId="32DD2482" w14:textId="77777777" w:rsidR="00E54116" w:rsidRDefault="00E54116" w:rsidP="00E54116">
            <w:pPr>
              <w:rPr>
                <w:color w:val="0000FF"/>
                <w:u w:val="single" w:color="0000FF"/>
              </w:rPr>
            </w:pPr>
          </w:p>
          <w:p w14:paraId="1F067090" w14:textId="20ECA793" w:rsidR="00E54116" w:rsidRPr="00E54116" w:rsidRDefault="00E54116" w:rsidP="00E54116">
            <w:pPr>
              <w:tabs>
                <w:tab w:val="left" w:pos="1931"/>
              </w:tabs>
            </w:pPr>
            <w:r>
              <w:tab/>
            </w:r>
          </w:p>
        </w:tc>
      </w:tr>
    </w:tbl>
    <w:p w14:paraId="3C8A53AA" w14:textId="77777777" w:rsidR="00AB7245" w:rsidRDefault="00AB7245">
      <w:pPr>
        <w:spacing w:after="0"/>
        <w:ind w:left="-1419" w:right="10306"/>
      </w:pPr>
    </w:p>
    <w:tbl>
      <w:tblPr>
        <w:tblStyle w:val="TableGrid"/>
        <w:tblW w:w="10914" w:type="dxa"/>
        <w:tblInd w:w="-922" w:type="dxa"/>
        <w:tblCellMar>
          <w:top w:w="50" w:type="dxa"/>
          <w:left w:w="106" w:type="dxa"/>
          <w:right w:w="115" w:type="dxa"/>
        </w:tblCellMar>
        <w:tblLook w:val="04A0" w:firstRow="1" w:lastRow="0" w:firstColumn="1" w:lastColumn="0" w:noHBand="0" w:noVBand="1"/>
      </w:tblPr>
      <w:tblGrid>
        <w:gridCol w:w="10914"/>
      </w:tblGrid>
      <w:tr w:rsidR="00AB7245" w14:paraId="48F2274C" w14:textId="77777777">
        <w:trPr>
          <w:trHeight w:val="416"/>
        </w:trPr>
        <w:tc>
          <w:tcPr>
            <w:tcW w:w="10914" w:type="dxa"/>
            <w:tcBorders>
              <w:top w:val="single" w:sz="4" w:space="0" w:color="000000"/>
              <w:left w:val="single" w:sz="4" w:space="0" w:color="000000"/>
              <w:bottom w:val="nil"/>
              <w:right w:val="single" w:sz="4" w:space="0" w:color="000000"/>
            </w:tcBorders>
            <w:shd w:val="clear" w:color="auto" w:fill="F2F2F2"/>
          </w:tcPr>
          <w:p w14:paraId="7C46F356" w14:textId="77777777" w:rsidR="00AB7245" w:rsidRDefault="00601FE5">
            <w:pPr>
              <w:tabs>
                <w:tab w:val="center" w:pos="712"/>
                <w:tab w:val="center" w:pos="2160"/>
                <w:tab w:val="center" w:pos="2881"/>
                <w:tab w:val="center" w:pos="3601"/>
                <w:tab w:val="center" w:pos="4321"/>
                <w:tab w:val="center" w:pos="5041"/>
                <w:tab w:val="center" w:pos="5761"/>
                <w:tab w:val="center" w:pos="6481"/>
                <w:tab w:val="center" w:pos="7202"/>
                <w:tab w:val="center" w:pos="7922"/>
                <w:tab w:val="center" w:pos="9439"/>
              </w:tabs>
            </w:pPr>
            <w:r>
              <w:lastRenderedPageBreak/>
              <w:tab/>
            </w:r>
            <w:r>
              <w:rPr>
                <w:b/>
                <w:sz w:val="24"/>
              </w:rPr>
              <w:t xml:space="preserve">1. Background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t xml:space="preserve"> </w:t>
            </w:r>
          </w:p>
        </w:tc>
      </w:tr>
      <w:tr w:rsidR="00AB7245" w14:paraId="2E0ED5D8" w14:textId="77777777">
        <w:trPr>
          <w:trHeight w:val="4604"/>
        </w:trPr>
        <w:tc>
          <w:tcPr>
            <w:tcW w:w="10914" w:type="dxa"/>
            <w:tcBorders>
              <w:top w:val="nil"/>
              <w:left w:val="single" w:sz="4" w:space="0" w:color="000000"/>
              <w:bottom w:val="single" w:sz="4" w:space="0" w:color="000000"/>
              <w:right w:val="single" w:sz="4" w:space="0" w:color="000000"/>
            </w:tcBorders>
          </w:tcPr>
          <w:p w14:paraId="0CDA6E99" w14:textId="77777777" w:rsidR="00AB7245" w:rsidRDefault="00601FE5">
            <w:pPr>
              <w:spacing w:after="60" w:line="239" w:lineRule="auto"/>
            </w:pPr>
            <w:r>
              <w:t xml:space="preserve">Dexamfetamine sulphate is a sympathomimetic amine with central stimulant and anorectic activity indicated for the treatment of attention deficit hyperactivity disorder (ADHD). It may be offered as an alternative treatment in patients who have been appropriately diagnosed and whose symptoms are responding to Lisdexamfetamine but are unable to tolerate the medicine’s longer effect profile (see NICE Guidance NG87 Attention deficit hyperactivity disorder: diagnosis and management). NICE recommends that people with ADHD have a comprehensive, holistic shared treatment plan that addresses psychological, behavioural, and occupational or educational needs. </w:t>
            </w:r>
          </w:p>
          <w:p w14:paraId="32D18AD8" w14:textId="77777777" w:rsidR="00AB7245" w:rsidRDefault="00601FE5">
            <w:pPr>
              <w:spacing w:after="38"/>
            </w:pPr>
            <w:r>
              <w:t xml:space="preserve"> </w:t>
            </w:r>
          </w:p>
          <w:p w14:paraId="2BC86134" w14:textId="77777777" w:rsidR="00AB7245" w:rsidRDefault="00601FE5">
            <w:pPr>
              <w:spacing w:after="60" w:line="239" w:lineRule="auto"/>
            </w:pPr>
            <w:r>
              <w:t xml:space="preserve">Dexamfetamine is a schedule 2 controlled substance; all legal requirements for prescribing controlled drugs should be followed. See NICE Guidance NG46 Controlled drugs: safe use and management. Where a person with ADHD is treated by a Child and Adolescent Mental Health Service (CAMHS) but is approaching their 18th birthday, it is expected that CAMHS will refer to the appropriate adult service if need for ongoing treatment is anticipated.  </w:t>
            </w:r>
          </w:p>
          <w:p w14:paraId="4145CE79" w14:textId="77777777" w:rsidR="00AB7245" w:rsidRDefault="00601FE5">
            <w:r>
              <w:t xml:space="preserve">Long-term usefulness of dexamfetamine for extended periods (over 12 months) should be periodically re-evaluated by a healthcare professional with expertise in ADHD for the individual patient with trial periods off medication to assess the patient's functioning without pharmacotherapy. It is recommended a trial discontinuation at least once yearly to assess the patient’s condition. Improvement may be sustained when the medicinal product is either temporarily or permanently discontinued. </w:t>
            </w:r>
          </w:p>
        </w:tc>
      </w:tr>
      <w:tr w:rsidR="00AB7245" w14:paraId="36693824" w14:textId="77777777">
        <w:trPr>
          <w:trHeight w:val="418"/>
        </w:trPr>
        <w:tc>
          <w:tcPr>
            <w:tcW w:w="10914" w:type="dxa"/>
            <w:tcBorders>
              <w:top w:val="single" w:sz="4" w:space="0" w:color="000000"/>
              <w:left w:val="single" w:sz="4" w:space="0" w:color="000000"/>
              <w:bottom w:val="nil"/>
              <w:right w:val="single" w:sz="4" w:space="0" w:color="000000"/>
            </w:tcBorders>
            <w:shd w:val="clear" w:color="auto" w:fill="F2F2F2"/>
          </w:tcPr>
          <w:p w14:paraId="0A2E89CD" w14:textId="77777777" w:rsidR="00AB7245" w:rsidRDefault="00601FE5">
            <w:pPr>
              <w:tabs>
                <w:tab w:val="center" w:pos="668"/>
                <w:tab w:val="center" w:pos="2160"/>
                <w:tab w:val="center" w:pos="2881"/>
                <w:tab w:val="center" w:pos="3601"/>
                <w:tab w:val="center" w:pos="4321"/>
                <w:tab w:val="center" w:pos="5041"/>
                <w:tab w:val="center" w:pos="5761"/>
                <w:tab w:val="center" w:pos="6481"/>
                <w:tab w:val="center" w:pos="7202"/>
                <w:tab w:val="center" w:pos="7922"/>
                <w:tab w:val="center" w:pos="9439"/>
              </w:tabs>
            </w:pPr>
            <w:r>
              <w:tab/>
            </w:r>
            <w:r>
              <w:rPr>
                <w:b/>
                <w:sz w:val="24"/>
              </w:rPr>
              <w:t xml:space="preserve">2. Indications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tc>
      </w:tr>
    </w:tbl>
    <w:p w14:paraId="7D9B9F88" w14:textId="77777777" w:rsidR="00AB7245" w:rsidRDefault="00AB7245">
      <w:pPr>
        <w:spacing w:after="0"/>
        <w:ind w:left="-1419" w:right="10306"/>
      </w:pPr>
    </w:p>
    <w:tbl>
      <w:tblPr>
        <w:tblStyle w:val="TableGrid"/>
        <w:tblW w:w="10914" w:type="dxa"/>
        <w:tblInd w:w="-922" w:type="dxa"/>
        <w:tblCellMar>
          <w:top w:w="43" w:type="dxa"/>
          <w:left w:w="106" w:type="dxa"/>
          <w:bottom w:w="46" w:type="dxa"/>
          <w:right w:w="267" w:type="dxa"/>
        </w:tblCellMar>
        <w:tblLook w:val="04A0" w:firstRow="1" w:lastRow="0" w:firstColumn="1" w:lastColumn="0" w:noHBand="0" w:noVBand="1"/>
      </w:tblPr>
      <w:tblGrid>
        <w:gridCol w:w="10914"/>
      </w:tblGrid>
      <w:tr w:rsidR="00AB7245" w14:paraId="3B1AAD61" w14:textId="77777777">
        <w:trPr>
          <w:trHeight w:val="1822"/>
        </w:trPr>
        <w:tc>
          <w:tcPr>
            <w:tcW w:w="10914" w:type="dxa"/>
            <w:tcBorders>
              <w:top w:val="nil"/>
              <w:left w:val="single" w:sz="4" w:space="0" w:color="000000"/>
              <w:bottom w:val="single" w:sz="4" w:space="0" w:color="000000"/>
              <w:right w:val="single" w:sz="4" w:space="0" w:color="000000"/>
            </w:tcBorders>
          </w:tcPr>
          <w:p w14:paraId="5644182B" w14:textId="77777777" w:rsidR="00AB7245" w:rsidRDefault="00601FE5">
            <w:pPr>
              <w:spacing w:after="142" w:line="239" w:lineRule="auto"/>
            </w:pPr>
            <w:r>
              <w:t xml:space="preserve">Dexamfetamine is indicated for attention-deficit/hyperactivity disorder (ADHD) in children and adolescents aged 6 to 17 years when response to previous methylphenidate treatment is considered clinically inadequate as part of a comprehensive treatment programme A comprehensive treatment programme typically includes psychological, educational, and social measures. </w:t>
            </w:r>
          </w:p>
          <w:p w14:paraId="0D601BE4" w14:textId="77777777" w:rsidR="00AB7245" w:rsidRDefault="00601FE5">
            <w:r>
              <w:t xml:space="preserve">To be considered if methylphenidate is not successful or tolerated and have responded to Lisdexamfetamine but cannot tolerate the longer effect profile </w:t>
            </w:r>
          </w:p>
        </w:tc>
      </w:tr>
      <w:tr w:rsidR="00AB7245" w14:paraId="31319F02" w14:textId="77777777">
        <w:trPr>
          <w:trHeight w:val="418"/>
        </w:trPr>
        <w:tc>
          <w:tcPr>
            <w:tcW w:w="10914" w:type="dxa"/>
            <w:tcBorders>
              <w:top w:val="single" w:sz="4" w:space="0" w:color="000000"/>
              <w:left w:val="single" w:sz="4" w:space="0" w:color="000000"/>
              <w:bottom w:val="nil"/>
              <w:right w:val="single" w:sz="4" w:space="0" w:color="000000"/>
            </w:tcBorders>
            <w:shd w:val="clear" w:color="auto" w:fill="F2F2F2"/>
          </w:tcPr>
          <w:p w14:paraId="097A3AE2" w14:textId="77777777" w:rsidR="00AB7245" w:rsidRDefault="00601FE5">
            <w:pPr>
              <w:tabs>
                <w:tab w:val="center" w:pos="1480"/>
                <w:tab w:val="center" w:pos="3601"/>
                <w:tab w:val="center" w:pos="4321"/>
                <w:tab w:val="center" w:pos="5041"/>
                <w:tab w:val="center" w:pos="5761"/>
                <w:tab w:val="center" w:pos="6481"/>
                <w:tab w:val="center" w:pos="7202"/>
                <w:tab w:val="center" w:pos="7922"/>
                <w:tab w:val="center" w:pos="9439"/>
              </w:tabs>
            </w:pPr>
            <w:r>
              <w:tab/>
            </w:r>
            <w:r>
              <w:rPr>
                <w:b/>
                <w:sz w:val="24"/>
              </w:rPr>
              <w:t xml:space="preserve">3. Locally agreed off-label use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sz w:val="16"/>
              </w:rPr>
              <w:t xml:space="preserve"> </w:t>
            </w:r>
          </w:p>
        </w:tc>
      </w:tr>
      <w:tr w:rsidR="00AB7245" w14:paraId="443704BF" w14:textId="77777777">
        <w:trPr>
          <w:trHeight w:val="487"/>
        </w:trPr>
        <w:tc>
          <w:tcPr>
            <w:tcW w:w="10914" w:type="dxa"/>
            <w:tcBorders>
              <w:top w:val="nil"/>
              <w:left w:val="single" w:sz="4" w:space="0" w:color="000000"/>
              <w:bottom w:val="single" w:sz="4" w:space="0" w:color="000000"/>
              <w:right w:val="single" w:sz="4" w:space="0" w:color="000000"/>
            </w:tcBorders>
            <w:vAlign w:val="bottom"/>
          </w:tcPr>
          <w:p w14:paraId="57ADDE53" w14:textId="77777777" w:rsidR="00AB7245" w:rsidRDefault="00601FE5">
            <w:pPr>
              <w:ind w:left="720"/>
            </w:pPr>
            <w:r>
              <w:t xml:space="preserve">Not applicable </w:t>
            </w:r>
          </w:p>
        </w:tc>
      </w:tr>
      <w:tr w:rsidR="00AB7245" w14:paraId="5EAB23BA" w14:textId="77777777">
        <w:trPr>
          <w:trHeight w:val="1062"/>
        </w:trPr>
        <w:tc>
          <w:tcPr>
            <w:tcW w:w="10914" w:type="dxa"/>
            <w:tcBorders>
              <w:top w:val="single" w:sz="4" w:space="0" w:color="000000"/>
              <w:left w:val="single" w:sz="4" w:space="0" w:color="000000"/>
              <w:bottom w:val="nil"/>
              <w:right w:val="single" w:sz="4" w:space="0" w:color="000000"/>
            </w:tcBorders>
            <w:shd w:val="clear" w:color="auto" w:fill="F2F2F2"/>
          </w:tcPr>
          <w:p w14:paraId="0DBDF120" w14:textId="77777777" w:rsidR="00AB7245" w:rsidRDefault="00601FE5">
            <w:pPr>
              <w:tabs>
                <w:tab w:val="center" w:pos="1665"/>
                <w:tab w:val="center" w:pos="4321"/>
                <w:tab w:val="center" w:pos="5041"/>
                <w:tab w:val="center" w:pos="5761"/>
                <w:tab w:val="center" w:pos="6481"/>
                <w:tab w:val="center" w:pos="7202"/>
                <w:tab w:val="center" w:pos="7922"/>
                <w:tab w:val="center" w:pos="9439"/>
              </w:tabs>
              <w:spacing w:after="36"/>
            </w:pPr>
            <w:r>
              <w:tab/>
            </w:r>
            <w:r>
              <w:rPr>
                <w:b/>
                <w:sz w:val="24"/>
              </w:rPr>
              <w:t xml:space="preserve">4. Contraindications and cautions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4AD81504" w14:textId="77777777" w:rsidR="00AB7245" w:rsidRDefault="00601FE5">
            <w:r>
              <w:rPr>
                <w:sz w:val="24"/>
              </w:rPr>
              <w:t xml:space="preserve">This information does not replace the Summary of Product Characteristics (SPC) and should be read in conjunction with it. Please see </w:t>
            </w:r>
            <w:hyperlink r:id="rId37">
              <w:r>
                <w:rPr>
                  <w:color w:val="0000FF"/>
                  <w:sz w:val="24"/>
                  <w:u w:val="single" w:color="0000FF"/>
                </w:rPr>
                <w:t>BNF</w:t>
              </w:r>
            </w:hyperlink>
            <w:hyperlink r:id="rId38">
              <w:r>
                <w:rPr>
                  <w:sz w:val="24"/>
                </w:rPr>
                <w:t xml:space="preserve"> </w:t>
              </w:r>
            </w:hyperlink>
            <w:r>
              <w:rPr>
                <w:sz w:val="24"/>
              </w:rPr>
              <w:t xml:space="preserve">&amp; </w:t>
            </w:r>
            <w:hyperlink r:id="rId39">
              <w:r>
                <w:rPr>
                  <w:color w:val="0000FF"/>
                  <w:sz w:val="24"/>
                  <w:u w:val="single" w:color="0000FF"/>
                </w:rPr>
                <w:t>SPC</w:t>
              </w:r>
            </w:hyperlink>
            <w:hyperlink r:id="rId40">
              <w:r>
                <w:rPr>
                  <w:sz w:val="24"/>
                </w:rPr>
                <w:t xml:space="preserve"> </w:t>
              </w:r>
            </w:hyperlink>
            <w:r>
              <w:rPr>
                <w:sz w:val="24"/>
              </w:rPr>
              <w:t xml:space="preserve">for comprehensive information. </w:t>
            </w:r>
          </w:p>
        </w:tc>
      </w:tr>
      <w:tr w:rsidR="00AB7245" w14:paraId="674151E5" w14:textId="77777777">
        <w:trPr>
          <w:trHeight w:val="9333"/>
        </w:trPr>
        <w:tc>
          <w:tcPr>
            <w:tcW w:w="10914" w:type="dxa"/>
            <w:tcBorders>
              <w:top w:val="nil"/>
              <w:left w:val="single" w:sz="4" w:space="0" w:color="000000"/>
              <w:bottom w:val="single" w:sz="4" w:space="0" w:color="000000"/>
              <w:right w:val="single" w:sz="4" w:space="0" w:color="000000"/>
            </w:tcBorders>
          </w:tcPr>
          <w:p w14:paraId="66867846" w14:textId="77777777" w:rsidR="00AB7245" w:rsidRDefault="00601FE5">
            <w:pPr>
              <w:spacing w:after="84"/>
            </w:pPr>
            <w:r>
              <w:rPr>
                <w:b/>
              </w:rPr>
              <w:lastRenderedPageBreak/>
              <w:t xml:space="preserve">Contraindications: </w:t>
            </w:r>
          </w:p>
          <w:p w14:paraId="4FC1103D" w14:textId="77777777" w:rsidR="00AB7245" w:rsidRDefault="00601FE5">
            <w:pPr>
              <w:numPr>
                <w:ilvl w:val="0"/>
                <w:numId w:val="4"/>
              </w:numPr>
              <w:spacing w:after="36"/>
              <w:ind w:hanging="360"/>
            </w:pPr>
            <w:r>
              <w:t xml:space="preserve">Known hypersensitivity to the active substance, any of the excipients, or sympathomimetic amines.  </w:t>
            </w:r>
          </w:p>
          <w:p w14:paraId="3C98C2D6" w14:textId="77777777" w:rsidR="00AB7245" w:rsidRDefault="00601FE5">
            <w:pPr>
              <w:numPr>
                <w:ilvl w:val="0"/>
                <w:numId w:val="4"/>
              </w:numPr>
              <w:spacing w:after="40"/>
              <w:ind w:hanging="360"/>
            </w:pPr>
            <w:r>
              <w:t xml:space="preserve">Glaucoma </w:t>
            </w:r>
          </w:p>
          <w:p w14:paraId="4B775AF1" w14:textId="77777777" w:rsidR="00AB7245" w:rsidRDefault="00601FE5">
            <w:pPr>
              <w:numPr>
                <w:ilvl w:val="0"/>
                <w:numId w:val="4"/>
              </w:numPr>
              <w:spacing w:after="39"/>
              <w:ind w:hanging="360"/>
            </w:pPr>
            <w:r>
              <w:t xml:space="preserve">Phaeochromocytoma </w:t>
            </w:r>
          </w:p>
          <w:p w14:paraId="3CE8A92A" w14:textId="77777777" w:rsidR="00AB7245" w:rsidRDefault="00601FE5">
            <w:pPr>
              <w:numPr>
                <w:ilvl w:val="0"/>
                <w:numId w:val="4"/>
              </w:numPr>
              <w:spacing w:after="47" w:line="275" w:lineRule="auto"/>
              <w:ind w:hanging="360"/>
            </w:pPr>
            <w:r>
              <w:t xml:space="preserve">Certain pre-existing cardiovascular disorders constitute contraindications unless specialist cardiac advice is obtained and documented. These include structural cardiac abnormalities and/or moderate or severe hypertension, heart failure, arterial occlusive disease, angina, haemodynamically significant congenital heart disease, cardiomyopathies, myocardial infarction, potentially life-threatening arrhythmias and channelopathies (disorders caused by the dysfunction of ion channels) </w:t>
            </w:r>
          </w:p>
          <w:p w14:paraId="44AE9363" w14:textId="77777777" w:rsidR="00AB7245" w:rsidRDefault="00601FE5">
            <w:pPr>
              <w:numPr>
                <w:ilvl w:val="0"/>
                <w:numId w:val="4"/>
              </w:numPr>
              <w:spacing w:after="37"/>
              <w:ind w:hanging="360"/>
            </w:pPr>
            <w:r>
              <w:t xml:space="preserve">Advanced arteriosclerosis </w:t>
            </w:r>
          </w:p>
          <w:p w14:paraId="785922B7" w14:textId="77777777" w:rsidR="00AB7245" w:rsidRDefault="00601FE5">
            <w:pPr>
              <w:numPr>
                <w:ilvl w:val="0"/>
                <w:numId w:val="4"/>
              </w:numPr>
              <w:spacing w:after="39"/>
              <w:ind w:hanging="360"/>
            </w:pPr>
            <w:r>
              <w:t xml:space="preserve">Concomitant use of monoamine oxidase inhibitors (MAOI) or within 14 days of MAOI treatment </w:t>
            </w:r>
          </w:p>
          <w:p w14:paraId="0E95B9F3" w14:textId="77777777" w:rsidR="00AB7245" w:rsidRDefault="00601FE5">
            <w:pPr>
              <w:numPr>
                <w:ilvl w:val="0"/>
                <w:numId w:val="4"/>
              </w:numPr>
              <w:spacing w:after="39"/>
              <w:ind w:hanging="360"/>
            </w:pPr>
            <w:r>
              <w:t xml:space="preserve">Hyperthyroidism or thyrotoxicosis. </w:t>
            </w:r>
          </w:p>
          <w:p w14:paraId="210B4F4F" w14:textId="77777777" w:rsidR="00AB7245" w:rsidRDefault="00601FE5">
            <w:pPr>
              <w:numPr>
                <w:ilvl w:val="0"/>
                <w:numId w:val="4"/>
              </w:numPr>
              <w:spacing w:after="45" w:line="275" w:lineRule="auto"/>
              <w:ind w:hanging="360"/>
            </w:pPr>
            <w:r>
              <w:t xml:space="preserve">Severe depression, anorexia nervosa/anorexic disorders, suicidal ideation, hyperexcitability, psychotic symptoms, severe and episodic (Type I) Bipolar (affective) Disorder (that is not well-controlled), schizophrenia, psychopathic/borderline personality disorder. </w:t>
            </w:r>
          </w:p>
          <w:p w14:paraId="49EE4DBC" w14:textId="77777777" w:rsidR="00AB7245" w:rsidRDefault="00601FE5">
            <w:pPr>
              <w:numPr>
                <w:ilvl w:val="0"/>
                <w:numId w:val="4"/>
              </w:numPr>
              <w:spacing w:after="40"/>
              <w:ind w:hanging="360"/>
            </w:pPr>
            <w:r>
              <w:t xml:space="preserve">Gilles de la Tourette syndrome or similar dystonia </w:t>
            </w:r>
          </w:p>
          <w:p w14:paraId="5628FC70" w14:textId="77777777" w:rsidR="00AB7245" w:rsidRDefault="00601FE5">
            <w:pPr>
              <w:numPr>
                <w:ilvl w:val="0"/>
                <w:numId w:val="4"/>
              </w:numPr>
              <w:spacing w:line="290" w:lineRule="auto"/>
              <w:ind w:hanging="360"/>
            </w:pPr>
            <w:r>
              <w:t xml:space="preserve">Cerebrovascular disorders (cerebral aneurysm, vascular abnormalities including vasculitis or stroke)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Porphyria </w:t>
            </w:r>
          </w:p>
          <w:p w14:paraId="7D69380A" w14:textId="77777777" w:rsidR="00AB7245" w:rsidRDefault="00601FE5">
            <w:pPr>
              <w:numPr>
                <w:ilvl w:val="0"/>
                <w:numId w:val="4"/>
              </w:numPr>
              <w:spacing w:after="39"/>
              <w:ind w:hanging="360"/>
            </w:pPr>
            <w:r>
              <w:t xml:space="preserve">History of drug abuse or alcohol abuse </w:t>
            </w:r>
          </w:p>
          <w:p w14:paraId="4897D24A" w14:textId="77777777" w:rsidR="00AB7245" w:rsidRDefault="00601FE5">
            <w:pPr>
              <w:numPr>
                <w:ilvl w:val="0"/>
                <w:numId w:val="4"/>
              </w:numPr>
              <w:ind w:hanging="360"/>
            </w:pPr>
            <w:r>
              <w:t xml:space="preserve">Pregnancy (see </w:t>
            </w:r>
            <w:r>
              <w:rPr>
                <w:color w:val="0000FF"/>
                <w:u w:val="single" w:color="0000FF"/>
              </w:rPr>
              <w:t>section 12</w:t>
            </w:r>
            <w:r>
              <w:t xml:space="preserve">) </w:t>
            </w:r>
          </w:p>
          <w:p w14:paraId="036B4810" w14:textId="77777777" w:rsidR="00AB7245" w:rsidRDefault="00601FE5">
            <w:pPr>
              <w:spacing w:after="79"/>
              <w:ind w:left="720"/>
            </w:pPr>
            <w:r>
              <w:t xml:space="preserve"> </w:t>
            </w:r>
          </w:p>
          <w:p w14:paraId="45B845DC" w14:textId="77777777" w:rsidR="00AB7245" w:rsidRDefault="00601FE5">
            <w:pPr>
              <w:spacing w:after="84"/>
            </w:pPr>
            <w:r>
              <w:rPr>
                <w:b/>
              </w:rPr>
              <w:t xml:space="preserve">Cautions: </w:t>
            </w:r>
          </w:p>
          <w:p w14:paraId="495CDDAA" w14:textId="77777777" w:rsidR="00AB7245" w:rsidRDefault="00601FE5">
            <w:pPr>
              <w:numPr>
                <w:ilvl w:val="0"/>
                <w:numId w:val="4"/>
              </w:numPr>
              <w:spacing w:after="37"/>
              <w:ind w:hanging="360"/>
            </w:pPr>
            <w:r>
              <w:t xml:space="preserve">History of epilepsy (discontinue if seizures occur)  </w:t>
            </w:r>
          </w:p>
          <w:p w14:paraId="0AB0AD4F" w14:textId="77777777" w:rsidR="00AB7245" w:rsidRDefault="00601FE5">
            <w:pPr>
              <w:numPr>
                <w:ilvl w:val="0"/>
                <w:numId w:val="4"/>
              </w:numPr>
              <w:spacing w:after="39"/>
              <w:ind w:hanging="360"/>
            </w:pPr>
            <w:r>
              <w:t xml:space="preserve">Mild hypertension, history of cardiovascular disease, or concomitant medications that elevate blood pressure. </w:t>
            </w:r>
          </w:p>
          <w:p w14:paraId="36F56E6A" w14:textId="77777777" w:rsidR="00AB7245" w:rsidRDefault="00601FE5">
            <w:pPr>
              <w:numPr>
                <w:ilvl w:val="0"/>
                <w:numId w:val="4"/>
              </w:numPr>
              <w:spacing w:after="39"/>
              <w:ind w:hanging="360"/>
            </w:pPr>
            <w:r>
              <w:t xml:space="preserve">susceptibility to angle-closure glaucoma  </w:t>
            </w:r>
          </w:p>
          <w:p w14:paraId="0099B3A0" w14:textId="77777777" w:rsidR="00AB7245" w:rsidRDefault="00601FE5">
            <w:pPr>
              <w:numPr>
                <w:ilvl w:val="0"/>
                <w:numId w:val="4"/>
              </w:numPr>
              <w:spacing w:after="48" w:line="274" w:lineRule="auto"/>
              <w:ind w:hanging="360"/>
            </w:pPr>
            <w:r>
              <w:t xml:space="preserve">Psychiatric and neuropsychiatric symptoms or disorders, including manic or psychotic symptoms, aggressive or hostile behaviour, tics, anxiety/agitation, or bipolar disorder. </w:t>
            </w:r>
          </w:p>
          <w:p w14:paraId="238CAFCF" w14:textId="77777777" w:rsidR="00AB7245" w:rsidRDefault="00601FE5">
            <w:pPr>
              <w:numPr>
                <w:ilvl w:val="0"/>
                <w:numId w:val="4"/>
              </w:numPr>
              <w:ind w:hanging="360"/>
            </w:pPr>
            <w:r>
              <w:t xml:space="preserve">Depressive symptoms: patients should be screened for risk of bipolar disorder, including psychiatric and family histories. </w:t>
            </w:r>
          </w:p>
        </w:tc>
      </w:tr>
    </w:tbl>
    <w:p w14:paraId="4FEF9E49" w14:textId="77777777" w:rsidR="00AB7245" w:rsidRDefault="00AB7245">
      <w:pPr>
        <w:spacing w:after="0"/>
        <w:ind w:left="-1419" w:right="10306"/>
      </w:pPr>
    </w:p>
    <w:tbl>
      <w:tblPr>
        <w:tblStyle w:val="TableGrid"/>
        <w:tblW w:w="10914" w:type="dxa"/>
        <w:tblInd w:w="-922" w:type="dxa"/>
        <w:tblCellMar>
          <w:top w:w="55" w:type="dxa"/>
          <w:left w:w="106" w:type="dxa"/>
          <w:bottom w:w="60" w:type="dxa"/>
          <w:right w:w="98" w:type="dxa"/>
        </w:tblCellMar>
        <w:tblLook w:val="04A0" w:firstRow="1" w:lastRow="0" w:firstColumn="1" w:lastColumn="0" w:noHBand="0" w:noVBand="1"/>
      </w:tblPr>
      <w:tblGrid>
        <w:gridCol w:w="2749"/>
        <w:gridCol w:w="8165"/>
      </w:tblGrid>
      <w:tr w:rsidR="00AB7245" w14:paraId="4B5F2F60" w14:textId="77777777">
        <w:trPr>
          <w:trHeight w:val="1638"/>
        </w:trPr>
        <w:tc>
          <w:tcPr>
            <w:tcW w:w="10914" w:type="dxa"/>
            <w:gridSpan w:val="2"/>
            <w:tcBorders>
              <w:top w:val="nil"/>
              <w:left w:val="single" w:sz="4" w:space="0" w:color="000000"/>
              <w:bottom w:val="single" w:sz="4" w:space="0" w:color="000000"/>
              <w:right w:val="single" w:sz="4" w:space="0" w:color="000000"/>
            </w:tcBorders>
          </w:tcPr>
          <w:p w14:paraId="369841D1" w14:textId="77777777" w:rsidR="00AB7245" w:rsidRDefault="00601FE5">
            <w:pPr>
              <w:numPr>
                <w:ilvl w:val="0"/>
                <w:numId w:val="5"/>
              </w:numPr>
              <w:spacing w:after="39"/>
              <w:ind w:hanging="360"/>
            </w:pPr>
            <w:r>
              <w:t xml:space="preserve">Renal and hepatic insufficiency (due to lack of data). </w:t>
            </w:r>
          </w:p>
          <w:p w14:paraId="0A21CCF7" w14:textId="77777777" w:rsidR="00AB7245" w:rsidRDefault="00601FE5">
            <w:pPr>
              <w:numPr>
                <w:ilvl w:val="0"/>
                <w:numId w:val="5"/>
              </w:numPr>
              <w:spacing w:after="39"/>
              <w:ind w:hanging="360"/>
            </w:pPr>
            <w:r>
              <w:t xml:space="preserve">Family history of sudden cardiac or unexplained death or malignant arrhythmia </w:t>
            </w:r>
          </w:p>
          <w:p w14:paraId="4DC0D1A2" w14:textId="77777777" w:rsidR="00AB7245" w:rsidRDefault="00601FE5">
            <w:pPr>
              <w:numPr>
                <w:ilvl w:val="0"/>
                <w:numId w:val="5"/>
              </w:numPr>
              <w:spacing w:after="37"/>
              <w:ind w:hanging="360"/>
            </w:pPr>
            <w:r>
              <w:t xml:space="preserve">Breast-feeding (see </w:t>
            </w:r>
            <w:r>
              <w:rPr>
                <w:color w:val="0000FF"/>
                <w:u w:val="single" w:color="0000FF"/>
              </w:rPr>
              <w:t>section 12</w:t>
            </w:r>
            <w:r>
              <w:t xml:space="preserve">) </w:t>
            </w:r>
          </w:p>
          <w:p w14:paraId="79370CA3" w14:textId="77777777" w:rsidR="00AB7245" w:rsidRDefault="00601FE5">
            <w:pPr>
              <w:numPr>
                <w:ilvl w:val="0"/>
                <w:numId w:val="5"/>
              </w:numPr>
              <w:spacing w:after="12"/>
              <w:ind w:hanging="360"/>
            </w:pPr>
            <w:r>
              <w:t xml:space="preserve">Potential for abuse, misuse, or diversion. </w:t>
            </w:r>
          </w:p>
          <w:p w14:paraId="4FECD2C8" w14:textId="77777777" w:rsidR="00AB7245" w:rsidRDefault="00601FE5">
            <w:r>
              <w:rPr>
                <w:b/>
              </w:rPr>
              <w:t xml:space="preserve"> </w:t>
            </w:r>
          </w:p>
        </w:tc>
      </w:tr>
      <w:tr w:rsidR="00AB7245" w14:paraId="069CEC0A" w14:textId="77777777">
        <w:trPr>
          <w:trHeight w:val="416"/>
        </w:trPr>
        <w:tc>
          <w:tcPr>
            <w:tcW w:w="10914" w:type="dxa"/>
            <w:gridSpan w:val="2"/>
            <w:tcBorders>
              <w:top w:val="single" w:sz="4" w:space="0" w:color="000000"/>
              <w:left w:val="single" w:sz="4" w:space="0" w:color="000000"/>
              <w:bottom w:val="nil"/>
              <w:right w:val="single" w:sz="4" w:space="0" w:color="000000"/>
            </w:tcBorders>
            <w:shd w:val="clear" w:color="auto" w:fill="F2F2F2"/>
          </w:tcPr>
          <w:p w14:paraId="1DA96539" w14:textId="77777777" w:rsidR="00AB7245" w:rsidRDefault="00601FE5">
            <w:pPr>
              <w:tabs>
                <w:tab w:val="center" w:pos="1856"/>
                <w:tab w:val="center" w:pos="4321"/>
                <w:tab w:val="center" w:pos="5041"/>
                <w:tab w:val="center" w:pos="5761"/>
                <w:tab w:val="center" w:pos="6481"/>
                <w:tab w:val="center" w:pos="7202"/>
                <w:tab w:val="center" w:pos="7922"/>
                <w:tab w:val="center" w:pos="9439"/>
              </w:tabs>
            </w:pPr>
            <w:r>
              <w:tab/>
            </w:r>
            <w:r>
              <w:rPr>
                <w:b/>
                <w:sz w:val="24"/>
              </w:rPr>
              <w:t xml:space="preserve">5. Initiation and ongoing dose regime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tc>
      </w:tr>
      <w:tr w:rsidR="00AB7245" w14:paraId="212F0BE4" w14:textId="77777777">
        <w:trPr>
          <w:trHeight w:val="8583"/>
        </w:trPr>
        <w:tc>
          <w:tcPr>
            <w:tcW w:w="10914" w:type="dxa"/>
            <w:gridSpan w:val="2"/>
            <w:tcBorders>
              <w:top w:val="nil"/>
              <w:left w:val="single" w:sz="4" w:space="0" w:color="000000"/>
              <w:bottom w:val="single" w:sz="4" w:space="0" w:color="000000"/>
              <w:right w:val="single" w:sz="4" w:space="0" w:color="000000"/>
            </w:tcBorders>
          </w:tcPr>
          <w:p w14:paraId="4D17F52D" w14:textId="3F347337" w:rsidR="00AB7245" w:rsidRDefault="00601FE5">
            <w:pPr>
              <w:numPr>
                <w:ilvl w:val="0"/>
                <w:numId w:val="6"/>
              </w:numPr>
              <w:spacing w:after="43" w:line="240" w:lineRule="auto"/>
              <w:ind w:hanging="360"/>
            </w:pPr>
            <w:r>
              <w:lastRenderedPageBreak/>
              <w:t xml:space="preserve">Transfer of monitoring and prescribing to primary care is after at least </w:t>
            </w:r>
            <w:r w:rsidRPr="00204FCE">
              <w:rPr>
                <w:b/>
                <w:bCs/>
              </w:rPr>
              <w:t>12 weeks</w:t>
            </w:r>
            <w:r>
              <w:t xml:space="preserve">, and when the patient’s dose has been optimised and with satisfactory investigation results for at least 4 weeks.  </w:t>
            </w:r>
          </w:p>
          <w:p w14:paraId="2B25AC5F" w14:textId="77777777" w:rsidR="00AB7245" w:rsidRDefault="00601FE5">
            <w:pPr>
              <w:numPr>
                <w:ilvl w:val="0"/>
                <w:numId w:val="6"/>
              </w:numPr>
              <w:spacing w:after="46" w:line="240" w:lineRule="auto"/>
              <w:ind w:hanging="360"/>
            </w:pPr>
            <w:r>
              <w:t xml:space="preserve">The duration of treatment &amp; frequency of review will be determined by the specialist, based on clinical response and tolerability. </w:t>
            </w:r>
          </w:p>
          <w:p w14:paraId="5F527700" w14:textId="77777777" w:rsidR="00AB7245" w:rsidRDefault="00601FE5">
            <w:pPr>
              <w:numPr>
                <w:ilvl w:val="0"/>
                <w:numId w:val="6"/>
              </w:numPr>
              <w:spacing w:after="60" w:line="240" w:lineRule="auto"/>
              <w:ind w:hanging="360"/>
            </w:pPr>
            <w:r>
              <w:t xml:space="preserve">All dose or formulation adjustments will be the responsibility of the initiating specialist unless directions have been discussed and agreed with the primary care clinician. </w:t>
            </w:r>
          </w:p>
          <w:p w14:paraId="79AC2791" w14:textId="77777777" w:rsidR="00AB7245" w:rsidRDefault="00601FE5">
            <w:pPr>
              <w:spacing w:line="293" w:lineRule="auto"/>
              <w:ind w:right="4106"/>
              <w:jc w:val="both"/>
            </w:pPr>
            <w:r>
              <w:t>Termination of treatment will be</w:t>
            </w:r>
            <w:r>
              <w:rPr>
                <w:b/>
              </w:rPr>
              <w:t xml:space="preserve"> </w:t>
            </w:r>
            <w:r>
              <w:t>the responsibility of the specialist.</w:t>
            </w:r>
            <w:r>
              <w:rPr>
                <w:b/>
              </w:rPr>
              <w:t xml:space="preserve"> </w:t>
            </w:r>
            <w:r>
              <w:rPr>
                <w:b/>
                <w:u w:val="single" w:color="000000"/>
              </w:rPr>
              <w:t>Initial stabilisation:</w:t>
            </w:r>
            <w:r>
              <w:rPr>
                <w:b/>
              </w:rPr>
              <w:t xml:space="preserve"> </w:t>
            </w:r>
          </w:p>
          <w:p w14:paraId="5C76ED72" w14:textId="77777777" w:rsidR="00AB7245" w:rsidRDefault="00601FE5">
            <w:pPr>
              <w:spacing w:after="60" w:line="239" w:lineRule="auto"/>
            </w:pPr>
            <w:r>
              <w:rPr>
                <w:b/>
              </w:rPr>
              <w:t>ADHD</w:t>
            </w:r>
            <w:r>
              <w:t xml:space="preserve">: 5 mg once or twice daily (e.g., at breakfast and lunch). Can be started at 2.5 mg 2–3 times a day, increased in steps of 5 mg once weekly if required, increased if necessary up to 1 mg/kg daily. </w:t>
            </w:r>
          </w:p>
          <w:p w14:paraId="59800D59" w14:textId="77777777" w:rsidR="00AB7245" w:rsidRDefault="00601FE5">
            <w:pPr>
              <w:spacing w:after="38"/>
            </w:pPr>
            <w:r>
              <w:t xml:space="preserve">Dexamfetamine must be prescribed by the initiating specialist during initiation and dose stabilisation. </w:t>
            </w:r>
          </w:p>
          <w:p w14:paraId="208CEE7E" w14:textId="77777777" w:rsidR="00AB7245" w:rsidRDefault="00601FE5">
            <w:pPr>
              <w:spacing w:after="36"/>
            </w:pPr>
            <w:r>
              <w:t xml:space="preserve"> </w:t>
            </w:r>
          </w:p>
          <w:p w14:paraId="59A62579" w14:textId="77777777" w:rsidR="00AB7245" w:rsidRDefault="00601FE5">
            <w:pPr>
              <w:spacing w:after="38"/>
            </w:pPr>
            <w:r>
              <w:rPr>
                <w:b/>
              </w:rPr>
              <w:t>The loading period</w:t>
            </w:r>
            <w:r>
              <w:t xml:space="preserve"> </w:t>
            </w:r>
            <w:r>
              <w:rPr>
                <w:b/>
              </w:rPr>
              <w:t>must be prescribed by the initiating specialist.</w:t>
            </w:r>
            <w:r>
              <w:t xml:space="preserve"> </w:t>
            </w:r>
          </w:p>
          <w:p w14:paraId="55F87AA8" w14:textId="77777777" w:rsidR="00AB7245" w:rsidRDefault="00601FE5">
            <w:pPr>
              <w:spacing w:after="38"/>
            </w:pPr>
            <w:r>
              <w:rPr>
                <w:b/>
                <w:u w:val="single" w:color="000000"/>
              </w:rPr>
              <w:t>Maintenance dose (following initial stabilisation):</w:t>
            </w:r>
            <w:r>
              <w:rPr>
                <w:b/>
              </w:rPr>
              <w:t xml:space="preserve"> </w:t>
            </w:r>
          </w:p>
          <w:p w14:paraId="388667DB" w14:textId="77777777" w:rsidR="00AB7245" w:rsidRDefault="00601FE5">
            <w:pPr>
              <w:spacing w:after="60" w:line="239" w:lineRule="auto"/>
              <w:jc w:val="both"/>
            </w:pPr>
            <w:r>
              <w:t xml:space="preserve">Increased, if necessary, by weekly increments of 5 mg in the daily dose according to tolerability and degree of efficacy observed.  Maintenance dose to be given in 2–4 divided doses. </w:t>
            </w:r>
          </w:p>
          <w:p w14:paraId="174B1AD2" w14:textId="77777777" w:rsidR="00AB7245" w:rsidRDefault="00601FE5">
            <w:pPr>
              <w:spacing w:after="38"/>
            </w:pPr>
            <w:r>
              <w:t xml:space="preserve"> </w:t>
            </w:r>
          </w:p>
          <w:p w14:paraId="3750B119" w14:textId="77777777" w:rsidR="00AB7245" w:rsidRDefault="00601FE5">
            <w:pPr>
              <w:spacing w:after="60" w:line="239" w:lineRule="auto"/>
            </w:pPr>
            <w:r>
              <w:t xml:space="preserve">The maximum daily dose in children and adolescents is usually 20 mg, although doses of 40 mg may in rare cases be necessary. </w:t>
            </w:r>
          </w:p>
          <w:p w14:paraId="2DA6D883" w14:textId="77777777" w:rsidR="00AB7245" w:rsidRDefault="00601FE5">
            <w:pPr>
              <w:spacing w:after="38"/>
            </w:pPr>
            <w:r>
              <w:rPr>
                <w:b/>
              </w:rPr>
              <w:t xml:space="preserve">The initial maintenance dose must be prescribed by the initiating specialist. </w:t>
            </w:r>
          </w:p>
          <w:p w14:paraId="74CCD78D" w14:textId="77777777" w:rsidR="00AB7245" w:rsidRDefault="00601FE5">
            <w:pPr>
              <w:spacing w:after="38"/>
            </w:pPr>
            <w:r>
              <w:rPr>
                <w:b/>
              </w:rPr>
              <w:t xml:space="preserve"> </w:t>
            </w:r>
          </w:p>
          <w:p w14:paraId="717644BD" w14:textId="77777777" w:rsidR="00AB7245" w:rsidRDefault="00601FE5">
            <w:pPr>
              <w:spacing w:after="36"/>
            </w:pPr>
            <w:r>
              <w:rPr>
                <w:b/>
                <w:u w:val="single" w:color="000000"/>
              </w:rPr>
              <w:t>Conditions requiring dose adjustment:</w:t>
            </w:r>
            <w:r>
              <w:rPr>
                <w:b/>
              </w:rPr>
              <w:t xml:space="preserve"> </w:t>
            </w:r>
          </w:p>
          <w:p w14:paraId="61380510" w14:textId="77777777" w:rsidR="00AB7245" w:rsidRDefault="00601FE5">
            <w:pPr>
              <w:spacing w:after="60" w:line="239" w:lineRule="auto"/>
            </w:pPr>
            <w:r>
              <w:t xml:space="preserve">Consider trial periods of stopping medication or reducing the dose when assessment of the overall balance of benefits and harms suggests this may be appropriate. This should be undertaken and supervised by the specialist who will advise the patient and primary care prescriber of the outcome. </w:t>
            </w:r>
          </w:p>
          <w:p w14:paraId="3D272123" w14:textId="77777777" w:rsidR="00AB7245" w:rsidRDefault="00601FE5">
            <w:r>
              <w:t>Treatment must be stopped if the symptoms do not improve after appropriate dosage adjustment over a one-month period. If paradoxical aggravation of symptoms or other serious adverse events occur, the dosage should be reduced or discontinued.</w:t>
            </w:r>
            <w:r>
              <w:rPr>
                <w:b/>
              </w:rPr>
              <w:t xml:space="preserve"> </w:t>
            </w:r>
          </w:p>
        </w:tc>
      </w:tr>
      <w:tr w:rsidR="00AB7245" w14:paraId="702CF378" w14:textId="77777777">
        <w:trPr>
          <w:trHeight w:val="420"/>
        </w:trPr>
        <w:tc>
          <w:tcPr>
            <w:tcW w:w="10914" w:type="dxa"/>
            <w:gridSpan w:val="2"/>
            <w:tcBorders>
              <w:top w:val="single" w:sz="4" w:space="0" w:color="000000"/>
              <w:left w:val="single" w:sz="4" w:space="0" w:color="000000"/>
              <w:bottom w:val="single" w:sz="4" w:space="0" w:color="000000"/>
              <w:right w:val="single" w:sz="4" w:space="0" w:color="000000"/>
            </w:tcBorders>
            <w:shd w:val="clear" w:color="auto" w:fill="F2F2F2"/>
          </w:tcPr>
          <w:p w14:paraId="24E7EAF1" w14:textId="77777777" w:rsidR="00AB7245" w:rsidRDefault="00601FE5">
            <w:pPr>
              <w:tabs>
                <w:tab w:val="center" w:pos="1290"/>
                <w:tab w:val="center" w:pos="2881"/>
                <w:tab w:val="center" w:pos="3601"/>
                <w:tab w:val="center" w:pos="4321"/>
                <w:tab w:val="center" w:pos="5041"/>
                <w:tab w:val="center" w:pos="5761"/>
                <w:tab w:val="center" w:pos="6481"/>
                <w:tab w:val="center" w:pos="7202"/>
                <w:tab w:val="center" w:pos="7922"/>
                <w:tab w:val="center" w:pos="9439"/>
              </w:tabs>
            </w:pPr>
            <w:r>
              <w:tab/>
            </w:r>
            <w:r>
              <w:rPr>
                <w:b/>
                <w:sz w:val="24"/>
              </w:rPr>
              <w:t xml:space="preserve">6. Pharmaceutical aspects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t xml:space="preserve"> </w:t>
            </w:r>
          </w:p>
        </w:tc>
      </w:tr>
      <w:tr w:rsidR="00AB7245" w14:paraId="62C65A67" w14:textId="77777777">
        <w:trPr>
          <w:trHeight w:val="400"/>
        </w:trPr>
        <w:tc>
          <w:tcPr>
            <w:tcW w:w="2749" w:type="dxa"/>
            <w:tcBorders>
              <w:top w:val="single" w:sz="4" w:space="0" w:color="000000"/>
              <w:left w:val="single" w:sz="4" w:space="0" w:color="000000"/>
              <w:bottom w:val="single" w:sz="4" w:space="0" w:color="000000"/>
              <w:right w:val="single" w:sz="4" w:space="0" w:color="000000"/>
            </w:tcBorders>
          </w:tcPr>
          <w:p w14:paraId="07852D38" w14:textId="77777777" w:rsidR="00AB7245" w:rsidRDefault="00601FE5">
            <w:r>
              <w:t>Route of administration:</w:t>
            </w:r>
            <w:r>
              <w:rPr>
                <w:b/>
              </w:rPr>
              <w:t xml:space="preserve"> </w:t>
            </w:r>
          </w:p>
        </w:tc>
        <w:tc>
          <w:tcPr>
            <w:tcW w:w="8165" w:type="dxa"/>
            <w:tcBorders>
              <w:top w:val="single" w:sz="4" w:space="0" w:color="000000"/>
              <w:left w:val="single" w:sz="4" w:space="0" w:color="000000"/>
              <w:bottom w:val="single" w:sz="4" w:space="0" w:color="000000"/>
              <w:right w:val="single" w:sz="4" w:space="0" w:color="000000"/>
            </w:tcBorders>
          </w:tcPr>
          <w:p w14:paraId="1B24831B" w14:textId="77777777" w:rsidR="00AB7245" w:rsidRDefault="00601FE5">
            <w:pPr>
              <w:ind w:left="2"/>
            </w:pPr>
            <w:r>
              <w:t xml:space="preserve">Oral </w:t>
            </w:r>
          </w:p>
        </w:tc>
      </w:tr>
      <w:tr w:rsidR="00AB7245" w14:paraId="32EDD298" w14:textId="77777777">
        <w:trPr>
          <w:trHeight w:val="1239"/>
        </w:trPr>
        <w:tc>
          <w:tcPr>
            <w:tcW w:w="2749" w:type="dxa"/>
            <w:tcBorders>
              <w:top w:val="single" w:sz="4" w:space="0" w:color="000000"/>
              <w:left w:val="single" w:sz="4" w:space="0" w:color="000000"/>
              <w:bottom w:val="single" w:sz="4" w:space="0" w:color="000000"/>
              <w:right w:val="single" w:sz="4" w:space="0" w:color="000000"/>
            </w:tcBorders>
            <w:vAlign w:val="center"/>
          </w:tcPr>
          <w:p w14:paraId="6E871913" w14:textId="77777777" w:rsidR="00AB7245" w:rsidRDefault="00601FE5">
            <w:r>
              <w:t>Formulation:</w:t>
            </w:r>
            <w:r>
              <w:rPr>
                <w:b/>
              </w:rPr>
              <w:t xml:space="preserve"> </w:t>
            </w:r>
          </w:p>
        </w:tc>
        <w:tc>
          <w:tcPr>
            <w:tcW w:w="8165" w:type="dxa"/>
            <w:tcBorders>
              <w:top w:val="single" w:sz="4" w:space="0" w:color="000000"/>
              <w:left w:val="single" w:sz="4" w:space="0" w:color="000000"/>
              <w:bottom w:val="single" w:sz="4" w:space="0" w:color="000000"/>
              <w:right w:val="single" w:sz="4" w:space="0" w:color="000000"/>
            </w:tcBorders>
            <w:vAlign w:val="bottom"/>
          </w:tcPr>
          <w:p w14:paraId="4FD9F12D" w14:textId="77777777" w:rsidR="00AB7245" w:rsidRDefault="00601FE5">
            <w:pPr>
              <w:spacing w:after="130"/>
              <w:ind w:left="2"/>
            </w:pPr>
            <w:r>
              <w:t>Dexamfetamine sulfate 5mg, 10mg and 20mg immediate release tablets (Amfexa®</w:t>
            </w:r>
            <w:r>
              <w:rPr>
                <w:rFonts w:ascii="Arial" w:eastAsia="Arial" w:hAnsi="Arial" w:cs="Arial"/>
              </w:rPr>
              <w:t>▼</w:t>
            </w:r>
            <w:r>
              <w:t xml:space="preserve">) </w:t>
            </w:r>
          </w:p>
          <w:p w14:paraId="77062E2D" w14:textId="77777777" w:rsidR="00AB7245" w:rsidRDefault="00601FE5">
            <w:pPr>
              <w:spacing w:after="38"/>
              <w:ind w:left="2"/>
            </w:pPr>
            <w:r>
              <w:t xml:space="preserve">Dexamfetamine sulfate 5mg immediate release tablets  </w:t>
            </w:r>
          </w:p>
          <w:p w14:paraId="43266497" w14:textId="77777777" w:rsidR="00AB7245" w:rsidRDefault="00601FE5">
            <w:pPr>
              <w:ind w:left="2"/>
            </w:pPr>
            <w:r>
              <w:t xml:space="preserve">Please note licensed indications vary by manufacturer. See </w:t>
            </w:r>
            <w:hyperlink r:id="rId41">
              <w:r>
                <w:rPr>
                  <w:color w:val="0000FF"/>
                  <w:u w:val="single" w:color="0000FF"/>
                </w:rPr>
                <w:t>SPCs</w:t>
              </w:r>
            </w:hyperlink>
            <w:hyperlink r:id="rId42">
              <w:r>
                <w:t xml:space="preserve"> </w:t>
              </w:r>
            </w:hyperlink>
            <w:r>
              <w:t>for full details</w:t>
            </w:r>
            <w:r>
              <w:rPr>
                <w:b/>
              </w:rPr>
              <w:t xml:space="preserve"> </w:t>
            </w:r>
          </w:p>
        </w:tc>
      </w:tr>
    </w:tbl>
    <w:p w14:paraId="68B4CD9C" w14:textId="77777777" w:rsidR="00AB7245" w:rsidRDefault="00AB7245">
      <w:pPr>
        <w:spacing w:after="0"/>
        <w:ind w:left="-1419" w:right="10306"/>
      </w:pPr>
    </w:p>
    <w:tbl>
      <w:tblPr>
        <w:tblStyle w:val="TableGrid"/>
        <w:tblW w:w="10914" w:type="dxa"/>
        <w:tblInd w:w="-922" w:type="dxa"/>
        <w:tblCellMar>
          <w:top w:w="108" w:type="dxa"/>
          <w:left w:w="106" w:type="dxa"/>
          <w:bottom w:w="47" w:type="dxa"/>
          <w:right w:w="166" w:type="dxa"/>
        </w:tblCellMar>
        <w:tblLook w:val="04A0" w:firstRow="1" w:lastRow="0" w:firstColumn="1" w:lastColumn="0" w:noHBand="0" w:noVBand="1"/>
      </w:tblPr>
      <w:tblGrid>
        <w:gridCol w:w="2749"/>
        <w:gridCol w:w="8165"/>
      </w:tblGrid>
      <w:tr w:rsidR="00AB7245" w14:paraId="17B0BF89" w14:textId="77777777">
        <w:trPr>
          <w:trHeight w:val="1867"/>
        </w:trPr>
        <w:tc>
          <w:tcPr>
            <w:tcW w:w="2749" w:type="dxa"/>
            <w:tcBorders>
              <w:top w:val="single" w:sz="4" w:space="0" w:color="000000"/>
              <w:left w:val="single" w:sz="4" w:space="0" w:color="000000"/>
              <w:bottom w:val="single" w:sz="4" w:space="0" w:color="000000"/>
              <w:right w:val="single" w:sz="4" w:space="0" w:color="000000"/>
            </w:tcBorders>
            <w:vAlign w:val="center"/>
          </w:tcPr>
          <w:p w14:paraId="7B40C2F1" w14:textId="77777777" w:rsidR="00AB7245" w:rsidRDefault="00601FE5">
            <w:r>
              <w:lastRenderedPageBreak/>
              <w:t>Administration details:</w:t>
            </w:r>
            <w:r>
              <w:rPr>
                <w:b/>
              </w:rPr>
              <w:t xml:space="preserve"> </w:t>
            </w:r>
          </w:p>
        </w:tc>
        <w:tc>
          <w:tcPr>
            <w:tcW w:w="8165" w:type="dxa"/>
            <w:tcBorders>
              <w:top w:val="single" w:sz="4" w:space="0" w:color="000000"/>
              <w:left w:val="single" w:sz="4" w:space="0" w:color="000000"/>
              <w:bottom w:val="single" w:sz="4" w:space="0" w:color="000000"/>
              <w:right w:val="single" w:sz="4" w:space="0" w:color="000000"/>
            </w:tcBorders>
            <w:vAlign w:val="bottom"/>
          </w:tcPr>
          <w:p w14:paraId="7E839F9E" w14:textId="77777777" w:rsidR="00AB7245" w:rsidRDefault="00601FE5">
            <w:pPr>
              <w:spacing w:after="129"/>
              <w:ind w:left="2"/>
            </w:pPr>
            <w:r>
              <w:t xml:space="preserve">Tablets can be halved. </w:t>
            </w:r>
          </w:p>
          <w:p w14:paraId="1A8F6B35" w14:textId="77777777" w:rsidR="00AB7245" w:rsidRDefault="00601FE5">
            <w:pPr>
              <w:spacing w:line="321" w:lineRule="auto"/>
              <w:ind w:left="2"/>
              <w:jc w:val="both"/>
            </w:pPr>
            <w:r>
              <w:t xml:space="preserve">Dexamfetamine should not be taken too late after lunch time to avoid disturbances of sleep. </w:t>
            </w:r>
          </w:p>
          <w:p w14:paraId="0B109F02" w14:textId="77777777" w:rsidR="00AB7245" w:rsidRDefault="00601FE5">
            <w:pPr>
              <w:ind w:left="2"/>
            </w:pPr>
            <w:r>
              <w:t xml:space="preserve">If a dose is missed, then the next scheduled dose should be taken as usual; </w:t>
            </w:r>
            <w:r>
              <w:rPr>
                <w:u w:val="single" w:color="000000"/>
              </w:rPr>
              <w:t>a double</w:t>
            </w:r>
            <w:r>
              <w:t xml:space="preserve"> </w:t>
            </w:r>
            <w:r>
              <w:rPr>
                <w:u w:val="single" w:color="000000"/>
              </w:rPr>
              <w:t>dose should not be taken to make up for a missed dose</w:t>
            </w:r>
            <w:r>
              <w:t>.</w:t>
            </w:r>
            <w:r>
              <w:rPr>
                <w:b/>
              </w:rPr>
              <w:t xml:space="preserve"> </w:t>
            </w:r>
          </w:p>
        </w:tc>
      </w:tr>
      <w:tr w:rsidR="00AB7245" w14:paraId="5401FAA5" w14:textId="77777777">
        <w:trPr>
          <w:trHeight w:val="2999"/>
        </w:trPr>
        <w:tc>
          <w:tcPr>
            <w:tcW w:w="2749" w:type="dxa"/>
            <w:tcBorders>
              <w:top w:val="single" w:sz="4" w:space="0" w:color="000000"/>
              <w:left w:val="single" w:sz="4" w:space="0" w:color="000000"/>
              <w:bottom w:val="single" w:sz="4" w:space="0" w:color="000000"/>
              <w:right w:val="single" w:sz="4" w:space="0" w:color="000000"/>
            </w:tcBorders>
            <w:vAlign w:val="center"/>
          </w:tcPr>
          <w:p w14:paraId="72B099E6" w14:textId="77777777" w:rsidR="00AB7245" w:rsidRDefault="00601FE5">
            <w:r>
              <w:t>Other important information:</w:t>
            </w:r>
            <w:r>
              <w:rPr>
                <w:b/>
              </w:rPr>
              <w:t xml:space="preserve"> </w:t>
            </w:r>
          </w:p>
        </w:tc>
        <w:tc>
          <w:tcPr>
            <w:tcW w:w="8165" w:type="dxa"/>
            <w:tcBorders>
              <w:top w:val="single" w:sz="4" w:space="0" w:color="000000"/>
              <w:left w:val="single" w:sz="4" w:space="0" w:color="000000"/>
              <w:bottom w:val="single" w:sz="4" w:space="0" w:color="000000"/>
              <w:right w:val="single" w:sz="4" w:space="0" w:color="000000"/>
            </w:tcBorders>
          </w:tcPr>
          <w:p w14:paraId="7C0CF00E" w14:textId="77777777" w:rsidR="00AB7245" w:rsidRDefault="00601FE5">
            <w:pPr>
              <w:spacing w:after="61" w:line="239" w:lineRule="auto"/>
              <w:ind w:left="2"/>
            </w:pPr>
            <w:r>
              <w:t xml:space="preserve">Dexamfetamine is a schedule 2 controlled drug and is subject to </w:t>
            </w:r>
            <w:hyperlink r:id="rId43">
              <w:r>
                <w:rPr>
                  <w:color w:val="0000FF"/>
                  <w:u w:val="single" w:color="0000FF"/>
                </w:rPr>
                <w:t>legal prescription</w:t>
              </w:r>
            </w:hyperlink>
            <w:hyperlink r:id="rId44">
              <w:r>
                <w:rPr>
                  <w:color w:val="0000FF"/>
                </w:rPr>
                <w:t xml:space="preserve"> </w:t>
              </w:r>
            </w:hyperlink>
            <w:hyperlink r:id="rId45">
              <w:r>
                <w:rPr>
                  <w:color w:val="0000FF"/>
                  <w:u w:val="single" w:color="0000FF"/>
                </w:rPr>
                <w:t>requirements</w:t>
              </w:r>
            </w:hyperlink>
            <w:hyperlink r:id="rId46">
              <w:r>
                <w:t>.</w:t>
              </w:r>
            </w:hyperlink>
            <w:r>
              <w:t xml:space="preserve"> It has the potential for misuse and diversion. </w:t>
            </w:r>
          </w:p>
          <w:p w14:paraId="176251AF" w14:textId="77777777" w:rsidR="00AB7245" w:rsidRDefault="00601FE5">
            <w:pPr>
              <w:spacing w:after="60" w:line="239" w:lineRule="auto"/>
              <w:ind w:left="2"/>
            </w:pPr>
            <w:r>
              <w:t xml:space="preserve">Patients should be advised to avoid alcohol which may exacerbate the central nervous system (CNS) side-effects of dexamfetamine. Dexamfetamine is subject to additional monitoring by the Medicines and Healthcare products Regulatory Agency (MHRA) and healthcare professionals are encouraged to report any suspected adverse reactions. </w:t>
            </w:r>
          </w:p>
          <w:p w14:paraId="31E45F25" w14:textId="77777777" w:rsidR="00AB7245" w:rsidRDefault="00601FE5">
            <w:pPr>
              <w:spacing w:after="60" w:line="239" w:lineRule="auto"/>
              <w:ind w:left="2"/>
            </w:pPr>
            <w:r>
              <w:t xml:space="preserve">Amphetamines can cause a significant elevation in plasma corticosteroid levels. This increase is greatest in the evening. Amphetamines may interfere with urinary steroid determinations. </w:t>
            </w:r>
          </w:p>
          <w:p w14:paraId="2122ED9A" w14:textId="77777777" w:rsidR="00AB7245" w:rsidRDefault="00601FE5">
            <w:pPr>
              <w:ind w:left="2"/>
            </w:pPr>
            <w:r>
              <w:rPr>
                <w:b/>
              </w:rPr>
              <w:t xml:space="preserve"> </w:t>
            </w:r>
          </w:p>
        </w:tc>
      </w:tr>
      <w:tr w:rsidR="00AB7245" w14:paraId="7CE4A4C0" w14:textId="77777777">
        <w:trPr>
          <w:trHeight w:val="1062"/>
        </w:trPr>
        <w:tc>
          <w:tcPr>
            <w:tcW w:w="10914" w:type="dxa"/>
            <w:gridSpan w:val="2"/>
            <w:tcBorders>
              <w:top w:val="single" w:sz="4" w:space="0" w:color="000000"/>
              <w:left w:val="single" w:sz="4" w:space="0" w:color="000000"/>
              <w:bottom w:val="nil"/>
              <w:right w:val="single" w:sz="4" w:space="0" w:color="000000"/>
            </w:tcBorders>
            <w:shd w:val="clear" w:color="auto" w:fill="F2F2F2"/>
          </w:tcPr>
          <w:p w14:paraId="6AF973A4" w14:textId="77777777" w:rsidR="00AB7245" w:rsidRDefault="00601FE5">
            <w:pPr>
              <w:tabs>
                <w:tab w:val="center" w:pos="1745"/>
                <w:tab w:val="center" w:pos="4321"/>
                <w:tab w:val="center" w:pos="5041"/>
                <w:tab w:val="center" w:pos="5761"/>
                <w:tab w:val="center" w:pos="6481"/>
                <w:tab w:val="center" w:pos="7202"/>
                <w:tab w:val="center" w:pos="7922"/>
                <w:tab w:val="center" w:pos="9439"/>
              </w:tabs>
              <w:spacing w:after="42"/>
            </w:pPr>
            <w:r>
              <w:tab/>
            </w:r>
            <w:r>
              <w:rPr>
                <w:b/>
                <w:sz w:val="24"/>
              </w:rPr>
              <w:t xml:space="preserve">7. Significant medicine interactions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7ED64366" w14:textId="77777777" w:rsidR="00AB7245" w:rsidRDefault="00601FE5">
            <w:r>
              <w:t xml:space="preserve">The following list is not exhaustive. Please see </w:t>
            </w:r>
            <w:hyperlink r:id="rId47">
              <w:r>
                <w:rPr>
                  <w:color w:val="0000FF"/>
                  <w:sz w:val="24"/>
                  <w:u w:val="single" w:color="0000FF"/>
                </w:rPr>
                <w:t>BNF</w:t>
              </w:r>
            </w:hyperlink>
            <w:hyperlink r:id="rId48">
              <w:r>
                <w:rPr>
                  <w:color w:val="0000FF"/>
                  <w:sz w:val="24"/>
                </w:rPr>
                <w:t xml:space="preserve"> </w:t>
              </w:r>
            </w:hyperlink>
            <w:r>
              <w:rPr>
                <w:sz w:val="24"/>
              </w:rPr>
              <w:t xml:space="preserve">or </w:t>
            </w:r>
            <w:hyperlink r:id="rId49">
              <w:r>
                <w:rPr>
                  <w:color w:val="0000FF"/>
                  <w:sz w:val="24"/>
                  <w:u w:val="single" w:color="0000FF"/>
                </w:rPr>
                <w:t>SPC</w:t>
              </w:r>
            </w:hyperlink>
            <w:hyperlink r:id="rId50">
              <w:r>
                <w:rPr>
                  <w:sz w:val="24"/>
                </w:rPr>
                <w:t xml:space="preserve"> </w:t>
              </w:r>
            </w:hyperlink>
            <w:r>
              <w:rPr>
                <w:sz w:val="24"/>
              </w:rPr>
              <w:t xml:space="preserve">for comprehensive information and recommended management. </w:t>
            </w:r>
          </w:p>
        </w:tc>
      </w:tr>
      <w:tr w:rsidR="00AB7245" w14:paraId="03E896CA" w14:textId="77777777">
        <w:trPr>
          <w:trHeight w:val="6836"/>
        </w:trPr>
        <w:tc>
          <w:tcPr>
            <w:tcW w:w="10914" w:type="dxa"/>
            <w:gridSpan w:val="2"/>
            <w:tcBorders>
              <w:top w:val="nil"/>
              <w:left w:val="single" w:sz="4" w:space="0" w:color="000000"/>
              <w:bottom w:val="single" w:sz="4" w:space="0" w:color="000000"/>
              <w:right w:val="single" w:sz="4" w:space="0" w:color="000000"/>
            </w:tcBorders>
          </w:tcPr>
          <w:p w14:paraId="6A914DF6" w14:textId="77777777" w:rsidR="00AB7245" w:rsidRDefault="00601FE5">
            <w:pPr>
              <w:numPr>
                <w:ilvl w:val="0"/>
                <w:numId w:val="7"/>
              </w:numPr>
              <w:spacing w:after="48" w:line="274" w:lineRule="auto"/>
              <w:ind w:hanging="360"/>
            </w:pPr>
            <w:r>
              <w:rPr>
                <w:b/>
              </w:rPr>
              <w:lastRenderedPageBreak/>
              <w:t>Mono-amine oxidase inhibitors (MAOIs) and other sympathomimetics</w:t>
            </w:r>
            <w:r>
              <w:t xml:space="preserve"> (e.g., rasagiline, selegiline, safinamide) – additive hypertensive effect </w:t>
            </w:r>
          </w:p>
          <w:p w14:paraId="6368CC14" w14:textId="77777777" w:rsidR="00AB7245" w:rsidRDefault="00601FE5">
            <w:pPr>
              <w:numPr>
                <w:ilvl w:val="0"/>
                <w:numId w:val="7"/>
              </w:numPr>
              <w:spacing w:after="53"/>
              <w:ind w:hanging="360"/>
            </w:pPr>
            <w:r>
              <w:rPr>
                <w:b/>
              </w:rPr>
              <w:t>Clonidine</w:t>
            </w:r>
            <w:r>
              <w:t xml:space="preserve"> – increased duration of action of dexamfetamine, reduced antihypertensive action of clonidine. </w:t>
            </w:r>
          </w:p>
          <w:p w14:paraId="466A02D1" w14:textId="77777777" w:rsidR="00AB7245" w:rsidRDefault="00601FE5">
            <w:pPr>
              <w:spacing w:after="122"/>
            </w:pPr>
            <w:r>
              <w:rPr>
                <w:b/>
              </w:rPr>
              <w:t xml:space="preserve">Other clinically significant interactions </w:t>
            </w:r>
          </w:p>
          <w:p w14:paraId="6BFAE6D0" w14:textId="77777777" w:rsidR="00AB7245" w:rsidRDefault="00601FE5">
            <w:pPr>
              <w:numPr>
                <w:ilvl w:val="0"/>
                <w:numId w:val="7"/>
              </w:numPr>
              <w:spacing w:after="44" w:line="276" w:lineRule="auto"/>
              <w:ind w:hanging="360"/>
            </w:pPr>
            <w:r>
              <w:rPr>
                <w:b/>
              </w:rPr>
              <w:t>Coumarin anticoagulants, anticonvulsants, selective serotonin reuptake inhibitors (SSRIs) and tricyclic antidepressants (TCAs)</w:t>
            </w:r>
            <w:r>
              <w:t>:</w:t>
            </w:r>
            <w:r>
              <w:rPr>
                <w:b/>
              </w:rPr>
              <w:t xml:space="preserve"> </w:t>
            </w:r>
            <w:r>
              <w:t xml:space="preserve">metabolism may be inhibited by dexamfetamine. Dose adjustment may be required when starting or stopping dexamfetamine.  </w:t>
            </w:r>
          </w:p>
          <w:p w14:paraId="1375A011" w14:textId="77777777" w:rsidR="00AB7245" w:rsidRDefault="00601FE5">
            <w:pPr>
              <w:numPr>
                <w:ilvl w:val="0"/>
                <w:numId w:val="7"/>
              </w:numPr>
              <w:spacing w:line="291" w:lineRule="auto"/>
              <w:ind w:hanging="360"/>
            </w:pPr>
            <w:r>
              <w:rPr>
                <w:b/>
              </w:rPr>
              <w:t>SSRIs (e.g., fluoxetine, paroxetine)</w:t>
            </w:r>
            <w:r>
              <w:t xml:space="preserve">: may increase exposure to dexamfetamine. Risk of serotonin syndrome.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Serotonergic drugs, bupropion, tapentadol, tramadol: </w:t>
            </w:r>
            <w:r>
              <w:t xml:space="preserve">Risk of serotonin syndrome </w:t>
            </w:r>
          </w:p>
          <w:p w14:paraId="228A723C" w14:textId="77777777" w:rsidR="00AB7245" w:rsidRDefault="00601FE5">
            <w:pPr>
              <w:numPr>
                <w:ilvl w:val="0"/>
                <w:numId w:val="7"/>
              </w:numPr>
              <w:spacing w:after="39"/>
              <w:ind w:hanging="360"/>
            </w:pPr>
            <w:r>
              <w:rPr>
                <w:b/>
              </w:rPr>
              <w:t>TCAs and nabilone</w:t>
            </w:r>
            <w:r>
              <w:t xml:space="preserve">:  may increase risk of cardiovascular adverse events.  </w:t>
            </w:r>
          </w:p>
          <w:p w14:paraId="344D3B45" w14:textId="77777777" w:rsidR="00AB7245" w:rsidRDefault="00601FE5">
            <w:pPr>
              <w:numPr>
                <w:ilvl w:val="0"/>
                <w:numId w:val="7"/>
              </w:numPr>
              <w:spacing w:after="44" w:line="276" w:lineRule="auto"/>
              <w:ind w:hanging="360"/>
            </w:pPr>
            <w:r>
              <w:rPr>
                <w:b/>
              </w:rPr>
              <w:t>Anticonvulsants (e.g., phenobarbital, phenytoin, primidone)</w:t>
            </w:r>
            <w:r>
              <w:t xml:space="preserve">: Metabolism may be inhibited, and absorption may be delayed by dexamfetamine. Dose adjustment may be required when stopping or starting dexamfetamine.  </w:t>
            </w:r>
          </w:p>
          <w:p w14:paraId="11E786E2" w14:textId="77777777" w:rsidR="00AB7245" w:rsidRDefault="00601FE5">
            <w:pPr>
              <w:numPr>
                <w:ilvl w:val="0"/>
                <w:numId w:val="7"/>
              </w:numPr>
              <w:spacing w:after="44" w:line="276" w:lineRule="auto"/>
              <w:ind w:hanging="360"/>
            </w:pPr>
            <w:r>
              <w:rPr>
                <w:b/>
              </w:rPr>
              <w:t xml:space="preserve">Antacids </w:t>
            </w:r>
            <w:r>
              <w:t>(e.g., sodium bicarbonate)</w:t>
            </w:r>
            <w:r>
              <w:rPr>
                <w:b/>
              </w:rPr>
              <w:t xml:space="preserve"> and urinary alkalinizing agents </w:t>
            </w:r>
            <w:r>
              <w:t xml:space="preserve">(e.g. acetazolamide, some thiazides): may increase exposure to dexamfetamine  </w:t>
            </w:r>
          </w:p>
          <w:p w14:paraId="7A2E4425" w14:textId="77777777" w:rsidR="00AB7245" w:rsidRDefault="00601FE5">
            <w:pPr>
              <w:numPr>
                <w:ilvl w:val="0"/>
                <w:numId w:val="7"/>
              </w:numPr>
              <w:spacing w:after="46" w:line="276" w:lineRule="auto"/>
              <w:ind w:hanging="360"/>
            </w:pPr>
            <w:r>
              <w:rPr>
                <w:b/>
              </w:rPr>
              <w:t xml:space="preserve">Gastrointestinal acidifying agents </w:t>
            </w:r>
            <w:r>
              <w:t xml:space="preserve">(e.g., ascorbic acid, fruit juices) and </w:t>
            </w:r>
            <w:r>
              <w:rPr>
                <w:b/>
              </w:rPr>
              <w:t xml:space="preserve">urinary acidifying agents </w:t>
            </w:r>
            <w:r>
              <w:t xml:space="preserve">(e.g., ammonium chloride, sodium acid phosphate): may reduce exposure to dexamfetamine </w:t>
            </w:r>
          </w:p>
          <w:p w14:paraId="5BF93A8C" w14:textId="77777777" w:rsidR="00AB7245" w:rsidRDefault="00601FE5">
            <w:pPr>
              <w:numPr>
                <w:ilvl w:val="0"/>
                <w:numId w:val="7"/>
              </w:numPr>
              <w:spacing w:after="37"/>
              <w:ind w:hanging="360"/>
            </w:pPr>
            <w:r>
              <w:rPr>
                <w:b/>
              </w:rPr>
              <w:t xml:space="preserve">Antihistamines: </w:t>
            </w:r>
            <w:r>
              <w:t xml:space="preserve">sedative effect may be counteracted  </w:t>
            </w:r>
          </w:p>
          <w:p w14:paraId="0347F77D" w14:textId="77777777" w:rsidR="00AB7245" w:rsidRDefault="00601FE5">
            <w:pPr>
              <w:numPr>
                <w:ilvl w:val="0"/>
                <w:numId w:val="7"/>
              </w:numPr>
              <w:spacing w:after="39"/>
              <w:ind w:hanging="360"/>
            </w:pPr>
            <w:r>
              <w:rPr>
                <w:b/>
              </w:rPr>
              <w:t>Antihypertensives, including guanethidine</w:t>
            </w:r>
            <w:r>
              <w:t xml:space="preserve">: effects may be reduced by dexamfetamine. </w:t>
            </w:r>
          </w:p>
          <w:p w14:paraId="7AEE15BA" w14:textId="77777777" w:rsidR="00AB7245" w:rsidRDefault="00601FE5">
            <w:pPr>
              <w:numPr>
                <w:ilvl w:val="0"/>
                <w:numId w:val="7"/>
              </w:numPr>
              <w:spacing w:after="37"/>
              <w:ind w:hanging="360"/>
            </w:pPr>
            <w:r>
              <w:rPr>
                <w:b/>
              </w:rPr>
              <w:t>Beta-blockers (e.g., propranolol)</w:t>
            </w:r>
            <w:r>
              <w:t xml:space="preserve">: risk of severe hypertonia. May reduce effects of dexamfetamine. </w:t>
            </w:r>
          </w:p>
          <w:p w14:paraId="1AC47DEE" w14:textId="77777777" w:rsidR="00AB7245" w:rsidRDefault="00601FE5">
            <w:pPr>
              <w:numPr>
                <w:ilvl w:val="0"/>
                <w:numId w:val="7"/>
              </w:numPr>
              <w:spacing w:after="39"/>
              <w:ind w:hanging="360"/>
            </w:pPr>
            <w:r>
              <w:rPr>
                <w:b/>
              </w:rPr>
              <w:t>Lithium, phenothiazines, haloperidol</w:t>
            </w:r>
            <w:r>
              <w:t xml:space="preserve">: may reduce the effects of dexamfetamine.  </w:t>
            </w:r>
          </w:p>
          <w:p w14:paraId="7F1FD984" w14:textId="77777777" w:rsidR="00AB7245" w:rsidRDefault="00601FE5">
            <w:pPr>
              <w:numPr>
                <w:ilvl w:val="0"/>
                <w:numId w:val="7"/>
              </w:numPr>
              <w:ind w:hanging="360"/>
            </w:pPr>
            <w:r>
              <w:rPr>
                <w:b/>
              </w:rPr>
              <w:t>Disulfiram</w:t>
            </w:r>
            <w:r>
              <w:t xml:space="preserve">: may inhibit metabolism and excretion of dexamfetamine </w:t>
            </w:r>
          </w:p>
        </w:tc>
      </w:tr>
    </w:tbl>
    <w:p w14:paraId="0CED8459" w14:textId="77777777" w:rsidR="00AB7245" w:rsidRDefault="00AB7245">
      <w:pPr>
        <w:spacing w:after="0"/>
        <w:ind w:left="-1419" w:right="10306"/>
      </w:pPr>
    </w:p>
    <w:tbl>
      <w:tblPr>
        <w:tblStyle w:val="TableGrid"/>
        <w:tblW w:w="10914" w:type="dxa"/>
        <w:tblInd w:w="-922" w:type="dxa"/>
        <w:tblCellMar>
          <w:top w:w="55" w:type="dxa"/>
          <w:left w:w="106" w:type="dxa"/>
          <w:right w:w="50" w:type="dxa"/>
        </w:tblCellMar>
        <w:tblLook w:val="04A0" w:firstRow="1" w:lastRow="0" w:firstColumn="1" w:lastColumn="0" w:noHBand="0" w:noVBand="1"/>
      </w:tblPr>
      <w:tblGrid>
        <w:gridCol w:w="10914"/>
      </w:tblGrid>
      <w:tr w:rsidR="00AB7245" w14:paraId="0379B866" w14:textId="77777777">
        <w:trPr>
          <w:trHeight w:val="3246"/>
        </w:trPr>
        <w:tc>
          <w:tcPr>
            <w:tcW w:w="10914" w:type="dxa"/>
            <w:tcBorders>
              <w:top w:val="nil"/>
              <w:left w:val="single" w:sz="4" w:space="0" w:color="000000"/>
              <w:bottom w:val="single" w:sz="4" w:space="0" w:color="000000"/>
              <w:right w:val="single" w:sz="4" w:space="0" w:color="000000"/>
            </w:tcBorders>
          </w:tcPr>
          <w:p w14:paraId="0EFB1052" w14:textId="77777777" w:rsidR="00AB7245" w:rsidRDefault="00601FE5">
            <w:pPr>
              <w:numPr>
                <w:ilvl w:val="0"/>
                <w:numId w:val="8"/>
              </w:numPr>
              <w:spacing w:after="46" w:line="276" w:lineRule="auto"/>
              <w:ind w:hanging="360"/>
            </w:pPr>
            <w:r>
              <w:rPr>
                <w:b/>
              </w:rPr>
              <w:t>Opioids</w:t>
            </w:r>
            <w:r>
              <w:t xml:space="preserve">: analgesic effects may be increased and the depressant effects (e.g. respiratory depression) may be decreased by dexamfetamine </w:t>
            </w:r>
          </w:p>
          <w:p w14:paraId="50ADBFED" w14:textId="77777777" w:rsidR="00AB7245" w:rsidRDefault="00601FE5">
            <w:pPr>
              <w:numPr>
                <w:ilvl w:val="0"/>
                <w:numId w:val="8"/>
              </w:numPr>
              <w:spacing w:after="48" w:line="274" w:lineRule="auto"/>
              <w:ind w:hanging="360"/>
            </w:pPr>
            <w:r>
              <w:rPr>
                <w:b/>
              </w:rPr>
              <w:t>Halogenated anaesthetics:</w:t>
            </w:r>
            <w:r>
              <w:t xml:space="preserve"> risk of sudden blood pressure increase during surgery. Avoid dexamfetamine on the day of planned surgery.  </w:t>
            </w:r>
          </w:p>
          <w:p w14:paraId="34A8D265" w14:textId="77777777" w:rsidR="00AB7245" w:rsidRDefault="00601FE5">
            <w:pPr>
              <w:numPr>
                <w:ilvl w:val="0"/>
                <w:numId w:val="8"/>
              </w:numPr>
              <w:spacing w:after="48" w:line="274" w:lineRule="auto"/>
              <w:ind w:hanging="360"/>
            </w:pPr>
            <w:r>
              <w:rPr>
                <w:b/>
              </w:rPr>
              <w:t>Cytochrome P450 (CYP450) substrates, inducers, or inhibitors</w:t>
            </w:r>
            <w:r>
              <w:t xml:space="preserve">: use with caution; role of CYP450 in dexamfetamine metabolism is not known. </w:t>
            </w:r>
          </w:p>
          <w:p w14:paraId="4B9C4ABA" w14:textId="77777777" w:rsidR="00AB7245" w:rsidRDefault="00601FE5">
            <w:pPr>
              <w:numPr>
                <w:ilvl w:val="0"/>
                <w:numId w:val="8"/>
              </w:numPr>
              <w:spacing w:after="39"/>
              <w:ind w:hanging="360"/>
            </w:pPr>
            <w:r>
              <w:rPr>
                <w:b/>
              </w:rPr>
              <w:t>Alcohol:</w:t>
            </w:r>
            <w:r>
              <w:t xml:space="preserve"> may exacerbate adverse CNS effects of dexamfetamine </w:t>
            </w:r>
          </w:p>
          <w:p w14:paraId="45EB99D6" w14:textId="77777777" w:rsidR="00AB7245" w:rsidRDefault="00601FE5">
            <w:pPr>
              <w:numPr>
                <w:ilvl w:val="0"/>
                <w:numId w:val="8"/>
              </w:numPr>
              <w:spacing w:after="37"/>
              <w:ind w:hanging="360"/>
            </w:pPr>
            <w:r>
              <w:rPr>
                <w:b/>
              </w:rPr>
              <w:t xml:space="preserve">Apraclonidine: </w:t>
            </w:r>
            <w:r>
              <w:t>effects decreased by dexamfetamine.</w:t>
            </w:r>
            <w:r>
              <w:rPr>
                <w:b/>
              </w:rPr>
              <w:t xml:space="preserve"> </w:t>
            </w:r>
          </w:p>
          <w:p w14:paraId="7A797F87" w14:textId="77777777" w:rsidR="00AB7245" w:rsidRDefault="00601FE5">
            <w:pPr>
              <w:numPr>
                <w:ilvl w:val="0"/>
                <w:numId w:val="8"/>
              </w:numPr>
              <w:spacing w:after="53"/>
              <w:ind w:hanging="360"/>
            </w:pPr>
            <w:r>
              <w:rPr>
                <w:b/>
              </w:rPr>
              <w:t>Ritonavir, tipranavir:</w:t>
            </w:r>
            <w:r>
              <w:t xml:space="preserve"> may increase exposure to dexamfetamine. </w:t>
            </w:r>
          </w:p>
          <w:p w14:paraId="221E679D" w14:textId="77777777" w:rsidR="00AB7245" w:rsidRDefault="00601FE5">
            <w:r>
              <w:rPr>
                <w:b/>
              </w:rPr>
              <w:t xml:space="preserve"> </w:t>
            </w:r>
          </w:p>
        </w:tc>
      </w:tr>
      <w:tr w:rsidR="00AB7245" w14:paraId="28730495" w14:textId="77777777">
        <w:trPr>
          <w:trHeight w:val="1307"/>
        </w:trPr>
        <w:tc>
          <w:tcPr>
            <w:tcW w:w="10914" w:type="dxa"/>
            <w:tcBorders>
              <w:top w:val="single" w:sz="4" w:space="0" w:color="000000"/>
              <w:left w:val="single" w:sz="4" w:space="0" w:color="000000"/>
              <w:bottom w:val="nil"/>
              <w:right w:val="single" w:sz="4" w:space="0" w:color="000000"/>
            </w:tcBorders>
            <w:shd w:val="clear" w:color="auto" w:fill="F2F2F2"/>
          </w:tcPr>
          <w:p w14:paraId="6FA3C3AB" w14:textId="77777777" w:rsidR="00AB7245" w:rsidRDefault="00601FE5">
            <w:pPr>
              <w:spacing w:after="17"/>
            </w:pPr>
            <w:r>
              <w:rPr>
                <w:b/>
                <w:sz w:val="24"/>
              </w:rPr>
              <w:t xml:space="preserve">8. Baseline investigations, initial monitoring, and ongoing monitoring to be undertaken by specialist </w:t>
            </w:r>
          </w:p>
          <w:p w14:paraId="7896742C" w14:textId="77777777" w:rsidR="00AB7245" w:rsidRDefault="00601FE5">
            <w:pPr>
              <w:spacing w:after="45" w:line="239" w:lineRule="auto"/>
            </w:pPr>
            <w:r>
              <w:t xml:space="preserve">Monitoring at baseline and during initiation is the responsibility of the specialist; only once the patient is optimised on the chosen medication with no anticipated further changes expected in immediate future will prescribing and </w:t>
            </w:r>
          </w:p>
          <w:p w14:paraId="3EF3C255" w14:textId="77777777" w:rsidR="00AB7245" w:rsidRDefault="00601FE5">
            <w:pPr>
              <w:tabs>
                <w:tab w:val="center" w:pos="1907"/>
                <w:tab w:val="center" w:pos="4321"/>
                <w:tab w:val="center" w:pos="5041"/>
                <w:tab w:val="center" w:pos="5761"/>
                <w:tab w:val="center" w:pos="6481"/>
                <w:tab w:val="center" w:pos="7999"/>
              </w:tabs>
            </w:pPr>
            <w:r>
              <w:tab/>
              <w:t xml:space="preserve">monitoring be transferred to primary care. </w:t>
            </w: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rPr>
              <w:t xml:space="preserve"> </w:t>
            </w:r>
          </w:p>
        </w:tc>
      </w:tr>
      <w:tr w:rsidR="00AB7245" w14:paraId="4CCD6F8F" w14:textId="77777777">
        <w:trPr>
          <w:trHeight w:val="8524"/>
        </w:trPr>
        <w:tc>
          <w:tcPr>
            <w:tcW w:w="10914" w:type="dxa"/>
            <w:tcBorders>
              <w:top w:val="nil"/>
              <w:left w:val="single" w:sz="4" w:space="0" w:color="000000"/>
              <w:bottom w:val="single" w:sz="4" w:space="0" w:color="000000"/>
              <w:right w:val="single" w:sz="4" w:space="0" w:color="000000"/>
            </w:tcBorders>
          </w:tcPr>
          <w:p w14:paraId="5F838977" w14:textId="77777777" w:rsidR="00AB7245" w:rsidRDefault="00601FE5">
            <w:pPr>
              <w:spacing w:after="84"/>
            </w:pPr>
            <w:r>
              <w:rPr>
                <w:b/>
              </w:rPr>
              <w:lastRenderedPageBreak/>
              <w:t xml:space="preserve">Baseline investigations: </w:t>
            </w:r>
          </w:p>
          <w:p w14:paraId="543D830E" w14:textId="77777777" w:rsidR="00AB7245" w:rsidRDefault="00601FE5">
            <w:pPr>
              <w:numPr>
                <w:ilvl w:val="0"/>
                <w:numId w:val="9"/>
              </w:numPr>
              <w:spacing w:after="108" w:line="238" w:lineRule="auto"/>
              <w:ind w:hanging="360"/>
            </w:pPr>
            <w:r>
              <w:rPr>
                <w:b/>
              </w:rPr>
              <w:t xml:space="preserve">A </w:t>
            </w:r>
            <w:r>
              <w:t xml:space="preserve">medical history and cardiovascular assessment, taking into account conditions that may be contraindications, risk of pregnancy (where applicable), and to ensure the patient meets the criteria for ADHD and that pharmacological treatment is required. </w:t>
            </w:r>
          </w:p>
          <w:p w14:paraId="56D98E58" w14:textId="77777777" w:rsidR="00AB7245" w:rsidRDefault="00601FE5">
            <w:pPr>
              <w:numPr>
                <w:ilvl w:val="0"/>
                <w:numId w:val="9"/>
              </w:numPr>
              <w:spacing w:after="58"/>
              <w:ind w:hanging="360"/>
            </w:pPr>
            <w:r>
              <w:t xml:space="preserve">A risk assessment for substance misuse and drug diversion </w:t>
            </w:r>
          </w:p>
          <w:p w14:paraId="7336B323" w14:textId="77777777" w:rsidR="00AB7245" w:rsidRDefault="00601FE5">
            <w:pPr>
              <w:numPr>
                <w:ilvl w:val="0"/>
                <w:numId w:val="9"/>
              </w:numPr>
              <w:spacing w:after="58"/>
              <w:ind w:hanging="360"/>
            </w:pPr>
            <w:r>
              <w:t xml:space="preserve">Blood pressure (BP) and heart rate </w:t>
            </w:r>
          </w:p>
          <w:p w14:paraId="14833882" w14:textId="77777777" w:rsidR="00AB7245" w:rsidRDefault="00601FE5">
            <w:pPr>
              <w:numPr>
                <w:ilvl w:val="0"/>
                <w:numId w:val="9"/>
              </w:numPr>
              <w:spacing w:after="58"/>
              <w:ind w:hanging="360"/>
            </w:pPr>
            <w:r>
              <w:t xml:space="preserve">Height, weight and body mass index (BMI) </w:t>
            </w:r>
          </w:p>
          <w:p w14:paraId="091B9132" w14:textId="77777777" w:rsidR="00AB7245" w:rsidRDefault="00601FE5">
            <w:pPr>
              <w:numPr>
                <w:ilvl w:val="0"/>
                <w:numId w:val="9"/>
              </w:numPr>
              <w:spacing w:after="5" w:line="326" w:lineRule="auto"/>
              <w:ind w:hanging="360"/>
            </w:pPr>
            <w:r>
              <w:t xml:space="preserve">Arrange for electrocardiogram (ECG), only if the patient has any of the following: </w:t>
            </w:r>
            <w:r>
              <w:rPr>
                <w:rFonts w:ascii="Courier New" w:eastAsia="Courier New" w:hAnsi="Courier New" w:cs="Courier New"/>
              </w:rPr>
              <w:t>o</w:t>
            </w:r>
            <w:r>
              <w:rPr>
                <w:rFonts w:ascii="Arial" w:eastAsia="Arial" w:hAnsi="Arial" w:cs="Arial"/>
              </w:rPr>
              <w:t xml:space="preserve"> </w:t>
            </w:r>
            <w:r>
              <w:t xml:space="preserve">History of congenital heart disease or previous cardiac surgery </w:t>
            </w:r>
            <w:r>
              <w:rPr>
                <w:rFonts w:ascii="Courier New" w:eastAsia="Courier New" w:hAnsi="Courier New" w:cs="Courier New"/>
              </w:rPr>
              <w:t>o</w:t>
            </w:r>
            <w:r>
              <w:rPr>
                <w:rFonts w:ascii="Arial" w:eastAsia="Arial" w:hAnsi="Arial" w:cs="Arial"/>
              </w:rPr>
              <w:t xml:space="preserve"> </w:t>
            </w:r>
            <w:r>
              <w:t xml:space="preserve">Sudden death in a first-degree relative under 40 years suggesting a cardiac disease. </w:t>
            </w:r>
          </w:p>
          <w:p w14:paraId="019DE6F6" w14:textId="77777777" w:rsidR="00AB7245" w:rsidRDefault="00601FE5">
            <w:pPr>
              <w:numPr>
                <w:ilvl w:val="1"/>
                <w:numId w:val="9"/>
              </w:numPr>
              <w:spacing w:line="330" w:lineRule="auto"/>
              <w:ind w:right="4320"/>
            </w:pPr>
            <w:r>
              <w:t xml:space="preserve">Shortness of breath on exertion compared with peers. </w:t>
            </w:r>
            <w:r>
              <w:rPr>
                <w:rFonts w:ascii="Courier New" w:eastAsia="Courier New" w:hAnsi="Courier New" w:cs="Courier New"/>
              </w:rPr>
              <w:t>o</w:t>
            </w:r>
            <w:r>
              <w:rPr>
                <w:rFonts w:ascii="Arial" w:eastAsia="Arial" w:hAnsi="Arial" w:cs="Arial"/>
              </w:rPr>
              <w:t xml:space="preserve"> </w:t>
            </w:r>
            <w:r>
              <w:t xml:space="preserve">Fainting on exertion or in response to fright or noise </w:t>
            </w:r>
            <w:r>
              <w:rPr>
                <w:rFonts w:ascii="Courier New" w:eastAsia="Courier New" w:hAnsi="Courier New" w:cs="Courier New"/>
              </w:rPr>
              <w:t>o</w:t>
            </w:r>
            <w:r>
              <w:rPr>
                <w:rFonts w:ascii="Arial" w:eastAsia="Arial" w:hAnsi="Arial" w:cs="Arial"/>
              </w:rPr>
              <w:t xml:space="preserve"> </w:t>
            </w:r>
            <w:r>
              <w:t xml:space="preserve">Palpitations </w:t>
            </w:r>
          </w:p>
          <w:p w14:paraId="21B21CE6" w14:textId="77777777" w:rsidR="00AB7245" w:rsidRDefault="00601FE5">
            <w:pPr>
              <w:numPr>
                <w:ilvl w:val="1"/>
                <w:numId w:val="9"/>
              </w:numPr>
              <w:spacing w:line="330" w:lineRule="auto"/>
              <w:ind w:right="4320"/>
            </w:pPr>
            <w:r>
              <w:t xml:space="preserve">Chest pain suggestive of cardiac origin </w:t>
            </w:r>
            <w:r>
              <w:rPr>
                <w:rFonts w:ascii="Courier New" w:eastAsia="Courier New" w:hAnsi="Courier New" w:cs="Courier New"/>
              </w:rPr>
              <w:t>o</w:t>
            </w:r>
            <w:r>
              <w:rPr>
                <w:rFonts w:ascii="Arial" w:eastAsia="Arial" w:hAnsi="Arial" w:cs="Arial"/>
              </w:rPr>
              <w:t xml:space="preserve"> </w:t>
            </w:r>
            <w:r>
              <w:t xml:space="preserve">Signs of heart failure, heart murmur or hypertension </w:t>
            </w:r>
            <w:r>
              <w:rPr>
                <w:rFonts w:ascii="Courier New" w:eastAsia="Courier New" w:hAnsi="Courier New" w:cs="Courier New"/>
              </w:rPr>
              <w:t>o</w:t>
            </w:r>
            <w:r>
              <w:rPr>
                <w:rFonts w:ascii="Arial" w:eastAsia="Arial" w:hAnsi="Arial" w:cs="Arial"/>
              </w:rPr>
              <w:t xml:space="preserve"> </w:t>
            </w:r>
            <w:r>
              <w:t xml:space="preserve">Current treatment with a medicine that may increase cardiac risk. </w:t>
            </w:r>
          </w:p>
          <w:p w14:paraId="490B5981" w14:textId="77777777" w:rsidR="00AB7245" w:rsidRDefault="00601FE5">
            <w:pPr>
              <w:spacing w:after="35"/>
            </w:pPr>
            <w:r>
              <w:rPr>
                <w:b/>
              </w:rPr>
              <w:t xml:space="preserve"> </w:t>
            </w:r>
          </w:p>
          <w:p w14:paraId="537586D0" w14:textId="77777777" w:rsidR="00AB7245" w:rsidRDefault="00601FE5">
            <w:pPr>
              <w:spacing w:after="84"/>
            </w:pPr>
            <w:r>
              <w:rPr>
                <w:b/>
              </w:rPr>
              <w:t xml:space="preserve">Initial monitoring: </w:t>
            </w:r>
          </w:p>
          <w:p w14:paraId="5EC1ACBB" w14:textId="77777777" w:rsidR="00AB7245" w:rsidRDefault="00601FE5">
            <w:pPr>
              <w:numPr>
                <w:ilvl w:val="0"/>
                <w:numId w:val="9"/>
              </w:numPr>
              <w:spacing w:after="39"/>
              <w:ind w:hanging="360"/>
            </w:pPr>
            <w:r>
              <w:t xml:space="preserve">Before every change of dose: assess heart rate, blood pressure, and weight.  </w:t>
            </w:r>
          </w:p>
          <w:p w14:paraId="470C739A" w14:textId="77777777" w:rsidR="00AB7245" w:rsidRDefault="00601FE5">
            <w:pPr>
              <w:numPr>
                <w:ilvl w:val="0"/>
                <w:numId w:val="9"/>
              </w:numPr>
              <w:spacing w:after="39"/>
              <w:ind w:hanging="360"/>
            </w:pPr>
            <w:r>
              <w:t xml:space="preserve">After every change of dose: assess heart rate and blood pressure, and any new or worsening psychiatric symptoms.  </w:t>
            </w:r>
          </w:p>
          <w:p w14:paraId="43BBA37A" w14:textId="77777777" w:rsidR="00AB7245" w:rsidRDefault="00601FE5">
            <w:pPr>
              <w:numPr>
                <w:ilvl w:val="0"/>
                <w:numId w:val="9"/>
              </w:numPr>
              <w:spacing w:after="50"/>
              <w:ind w:hanging="360"/>
            </w:pPr>
            <w:r>
              <w:t xml:space="preserve">Assessment of symptom improvement. Discontinue if no improvement is observed after one month.  </w:t>
            </w:r>
          </w:p>
          <w:p w14:paraId="107B5292" w14:textId="77777777" w:rsidR="00AB7245" w:rsidRDefault="00601FE5">
            <w:pPr>
              <w:spacing w:after="38"/>
            </w:pPr>
            <w:r>
              <w:rPr>
                <w:b/>
              </w:rPr>
              <w:t xml:space="preserve"> </w:t>
            </w:r>
          </w:p>
          <w:p w14:paraId="661B56F2" w14:textId="77777777" w:rsidR="00AB7245" w:rsidRDefault="00601FE5">
            <w:pPr>
              <w:spacing w:after="38"/>
            </w:pPr>
            <w:r>
              <w:rPr>
                <w:b/>
              </w:rPr>
              <w:t xml:space="preserve">Ongoing monitoring: </w:t>
            </w:r>
          </w:p>
          <w:p w14:paraId="41E36CB0" w14:textId="77777777" w:rsidR="00AB7245" w:rsidRDefault="00601FE5">
            <w: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w:t>
            </w:r>
          </w:p>
        </w:tc>
      </w:tr>
    </w:tbl>
    <w:p w14:paraId="003D8FB4" w14:textId="77777777" w:rsidR="00AB7245" w:rsidRDefault="00AB7245">
      <w:pPr>
        <w:sectPr w:rsidR="00AB7245">
          <w:headerReference w:type="even" r:id="rId51"/>
          <w:headerReference w:type="default" r:id="rId52"/>
          <w:footerReference w:type="even" r:id="rId53"/>
          <w:footerReference w:type="default" r:id="rId54"/>
          <w:headerReference w:type="first" r:id="rId55"/>
          <w:footerReference w:type="first" r:id="rId56"/>
          <w:pgSz w:w="11906" w:h="16838"/>
          <w:pgMar w:top="2148" w:right="1601" w:bottom="1570" w:left="1419" w:header="709" w:footer="709" w:gutter="0"/>
          <w:cols w:space="720"/>
        </w:sectPr>
      </w:pPr>
    </w:p>
    <w:p w14:paraId="54BE9C32" w14:textId="77777777" w:rsidR="00AB7245" w:rsidRDefault="00AB7245">
      <w:pPr>
        <w:spacing w:after="0"/>
        <w:ind w:left="-1440" w:right="10466"/>
      </w:pPr>
    </w:p>
    <w:tbl>
      <w:tblPr>
        <w:tblStyle w:val="TableGrid"/>
        <w:tblW w:w="10914" w:type="dxa"/>
        <w:tblInd w:w="-943" w:type="dxa"/>
        <w:tblCellMar>
          <w:top w:w="43" w:type="dxa"/>
          <w:left w:w="106" w:type="dxa"/>
          <w:bottom w:w="64" w:type="dxa"/>
          <w:right w:w="79" w:type="dxa"/>
        </w:tblCellMar>
        <w:tblLook w:val="04A0" w:firstRow="1" w:lastRow="0" w:firstColumn="1" w:lastColumn="0" w:noHBand="0" w:noVBand="1"/>
      </w:tblPr>
      <w:tblGrid>
        <w:gridCol w:w="5233"/>
        <w:gridCol w:w="5681"/>
      </w:tblGrid>
      <w:tr w:rsidR="00AB7245" w14:paraId="2D0D56DE" w14:textId="77777777">
        <w:trPr>
          <w:trHeight w:val="1879"/>
        </w:trPr>
        <w:tc>
          <w:tcPr>
            <w:tcW w:w="10914" w:type="dxa"/>
            <w:gridSpan w:val="2"/>
            <w:tcBorders>
              <w:top w:val="nil"/>
              <w:left w:val="single" w:sz="4" w:space="0" w:color="000000"/>
              <w:bottom w:val="single" w:sz="4" w:space="0" w:color="000000"/>
              <w:right w:val="single" w:sz="4" w:space="0" w:color="000000"/>
            </w:tcBorders>
          </w:tcPr>
          <w:p w14:paraId="2F7AFFA9" w14:textId="77777777" w:rsidR="00AB7245" w:rsidRDefault="00601FE5">
            <w:pPr>
              <w:spacing w:after="60" w:line="276" w:lineRule="auto"/>
            </w:pPr>
            <w:r>
              <w:t xml:space="preserve">Consider trial periods of stopping medication or reducing the dose when assessment of the overall balance of benefits and harms suggests this may be appropriate. If continuing medication, document the reasons why. </w:t>
            </w:r>
          </w:p>
          <w:p w14:paraId="1CAEC1ED" w14:textId="77777777" w:rsidR="00AB7245" w:rsidRDefault="00601FE5">
            <w:pPr>
              <w:spacing w:after="58" w:line="239" w:lineRule="auto"/>
            </w:pPr>
            <w:r>
              <w:t xml:space="preserve">Review outcomes should be communicated to the primary care prescriber in writing, with any urgent changes also communicated by telephone. </w:t>
            </w:r>
          </w:p>
          <w:p w14:paraId="7752582B" w14:textId="77777777" w:rsidR="00AB7245" w:rsidRDefault="00601FE5">
            <w:r>
              <w:t xml:space="preserve">When a patient is reviewed, advise primary care whether treatment should be continued, confirm the ongoing dose, and whether the ongoing monitoring outlined in </w:t>
            </w:r>
            <w:r>
              <w:rPr>
                <w:color w:val="0000FF"/>
                <w:u w:val="single" w:color="0000FF"/>
              </w:rPr>
              <w:t>section 9</w:t>
            </w:r>
            <w:r>
              <w:t xml:space="preserve"> remains appropriate. </w:t>
            </w:r>
          </w:p>
        </w:tc>
      </w:tr>
      <w:tr w:rsidR="00AB7245" w14:paraId="345983F2" w14:textId="77777777">
        <w:trPr>
          <w:trHeight w:val="776"/>
        </w:trPr>
        <w:tc>
          <w:tcPr>
            <w:tcW w:w="1091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319DA21" w14:textId="64C2F1D3" w:rsidR="00204FCE" w:rsidRPr="00204FCE" w:rsidRDefault="00601FE5" w:rsidP="00204FCE">
            <w:pPr>
              <w:ind w:right="89"/>
              <w:rPr>
                <w:b/>
                <w:sz w:val="24"/>
              </w:rPr>
            </w:pPr>
            <w:r>
              <w:rPr>
                <w:b/>
                <w:sz w:val="24"/>
              </w:rPr>
              <w:t>9.</w:t>
            </w:r>
            <w:r w:rsidR="00204FCE" w:rsidRPr="00204FCE">
              <w:rPr>
                <w:rFonts w:asciiTheme="minorHAnsi" w:eastAsia="Times New Roman" w:hAnsiTheme="minorHAnsi" w:cstheme="minorHAnsi"/>
                <w:b/>
                <w:color w:val="auto"/>
                <w:kern w:val="0"/>
                <w:sz w:val="24"/>
                <w14:ligatures w14:val="none"/>
              </w:rPr>
              <w:t xml:space="preserve"> </w:t>
            </w:r>
            <w:r w:rsidR="00204FCE" w:rsidRPr="00204FCE">
              <w:rPr>
                <w:b/>
                <w:sz w:val="24"/>
              </w:rPr>
              <w:t>Ongoing monitoring (ADHD)</w:t>
            </w:r>
          </w:p>
          <w:p w14:paraId="51D1EAF2" w14:textId="77777777" w:rsidR="00204FCE" w:rsidRPr="00204FCE" w:rsidRDefault="00204FCE" w:rsidP="00204FCE">
            <w:pPr>
              <w:numPr>
                <w:ilvl w:val="0"/>
                <w:numId w:val="17"/>
              </w:numPr>
              <w:ind w:right="89"/>
              <w:rPr>
                <w:sz w:val="24"/>
              </w:rPr>
            </w:pPr>
            <w:r w:rsidRPr="00204FCE">
              <w:rPr>
                <w:sz w:val="24"/>
              </w:rPr>
              <w:t>Ensure the patient receives a review at least annually with a healthcare professional with training and expertise in managing ADHD. This in southwest London will be carried out by secondary care specialists,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w:t>
            </w:r>
          </w:p>
          <w:p w14:paraId="2016CF2F" w14:textId="77777777" w:rsidR="00204FCE" w:rsidRDefault="00204FCE" w:rsidP="00204FCE">
            <w:pPr>
              <w:numPr>
                <w:ilvl w:val="0"/>
                <w:numId w:val="17"/>
              </w:numPr>
              <w:ind w:right="89"/>
              <w:rPr>
                <w:sz w:val="24"/>
              </w:rPr>
            </w:pPr>
            <w:r w:rsidRPr="00204FCE">
              <w:rPr>
                <w:sz w:val="24"/>
              </w:rPr>
              <w:t>Review outcomes should be communicated to the primary care prescriber in writing with any changes.</w:t>
            </w:r>
          </w:p>
          <w:p w14:paraId="5AB32F15" w14:textId="77777777" w:rsidR="00204FCE" w:rsidRDefault="00204FCE" w:rsidP="00204FCE">
            <w:pPr>
              <w:ind w:right="89"/>
              <w:rPr>
                <w:sz w:val="24"/>
              </w:rPr>
            </w:pPr>
          </w:p>
          <w:p w14:paraId="614DD5B6" w14:textId="77777777" w:rsidR="00204FCE" w:rsidRDefault="00601FE5" w:rsidP="00204FCE">
            <w:pPr>
              <w:ind w:left="360" w:right="89"/>
              <w:rPr>
                <w:b/>
                <w:sz w:val="24"/>
              </w:rPr>
            </w:pPr>
            <w:r w:rsidRPr="00204FCE">
              <w:rPr>
                <w:color w:val="0000FF"/>
                <w:sz w:val="24"/>
                <w:u w:val="single" w:color="0000FF"/>
              </w:rPr>
              <w:t>Back to top</w:t>
            </w:r>
            <w:r w:rsidRPr="00204FCE">
              <w:rPr>
                <w:b/>
                <w:sz w:val="24"/>
              </w:rPr>
              <w:t xml:space="preserve"> </w:t>
            </w:r>
          </w:p>
          <w:p w14:paraId="73CA5631" w14:textId="2722135E" w:rsidR="00AB7245" w:rsidRPr="00204FCE" w:rsidRDefault="00601FE5" w:rsidP="00204FCE">
            <w:pPr>
              <w:ind w:left="360" w:right="89"/>
              <w:rPr>
                <w:sz w:val="24"/>
              </w:rPr>
            </w:pPr>
            <w:r w:rsidRPr="00204FCE">
              <w:rPr>
                <w:sz w:val="24"/>
              </w:rPr>
              <w:t xml:space="preserve">See </w:t>
            </w:r>
            <w:r w:rsidRPr="00204FCE">
              <w:rPr>
                <w:color w:val="0000FF"/>
                <w:sz w:val="24"/>
                <w:u w:val="single" w:color="0000FF"/>
              </w:rPr>
              <w:t>section 10</w:t>
            </w:r>
            <w:r w:rsidRPr="00204FCE">
              <w:rPr>
                <w:sz w:val="24"/>
              </w:rPr>
              <w:t xml:space="preserve"> for further guidance on management of adverse effects/responding to monitoring results.</w:t>
            </w:r>
            <w:r w:rsidRPr="00204FCE">
              <w:rPr>
                <w:b/>
                <w:sz w:val="24"/>
              </w:rPr>
              <w:t xml:space="preserve"> </w:t>
            </w:r>
          </w:p>
        </w:tc>
      </w:tr>
      <w:tr w:rsidR="00AB7245" w14:paraId="49A64489" w14:textId="77777777">
        <w:trPr>
          <w:trHeight w:val="421"/>
        </w:trPr>
        <w:tc>
          <w:tcPr>
            <w:tcW w:w="5233" w:type="dxa"/>
            <w:tcBorders>
              <w:top w:val="single" w:sz="4" w:space="0" w:color="000000"/>
              <w:left w:val="single" w:sz="4" w:space="0" w:color="000000"/>
              <w:bottom w:val="single" w:sz="4" w:space="0" w:color="000000"/>
              <w:right w:val="single" w:sz="4" w:space="0" w:color="000000"/>
            </w:tcBorders>
            <w:shd w:val="clear" w:color="auto" w:fill="F2F2F2"/>
          </w:tcPr>
          <w:p w14:paraId="6927B55A" w14:textId="77777777" w:rsidR="00AB7245" w:rsidRDefault="00601FE5">
            <w:pPr>
              <w:ind w:right="27"/>
              <w:jc w:val="center"/>
            </w:pPr>
            <w:r>
              <w:rPr>
                <w:b/>
                <w:sz w:val="24"/>
              </w:rPr>
              <w:t xml:space="preserve">Monitoring </w:t>
            </w:r>
          </w:p>
        </w:tc>
        <w:tc>
          <w:tcPr>
            <w:tcW w:w="5681" w:type="dxa"/>
            <w:tcBorders>
              <w:top w:val="single" w:sz="4" w:space="0" w:color="000000"/>
              <w:left w:val="single" w:sz="4" w:space="0" w:color="000000"/>
              <w:bottom w:val="single" w:sz="4" w:space="0" w:color="000000"/>
              <w:right w:val="single" w:sz="4" w:space="0" w:color="000000"/>
            </w:tcBorders>
            <w:shd w:val="clear" w:color="auto" w:fill="F2F2F2"/>
          </w:tcPr>
          <w:p w14:paraId="336520C0" w14:textId="77777777" w:rsidR="00AB7245" w:rsidRDefault="00601FE5">
            <w:pPr>
              <w:ind w:right="26"/>
              <w:jc w:val="center"/>
            </w:pPr>
            <w:r>
              <w:rPr>
                <w:b/>
                <w:sz w:val="24"/>
              </w:rPr>
              <w:t xml:space="preserve">Frequency </w:t>
            </w:r>
          </w:p>
        </w:tc>
      </w:tr>
      <w:tr w:rsidR="00AB7245" w14:paraId="0989580F" w14:textId="77777777">
        <w:trPr>
          <w:trHeight w:val="3009"/>
        </w:trPr>
        <w:tc>
          <w:tcPr>
            <w:tcW w:w="5233" w:type="dxa"/>
            <w:tcBorders>
              <w:top w:val="single" w:sz="4" w:space="0" w:color="000000"/>
              <w:left w:val="single" w:sz="4" w:space="0" w:color="000000"/>
              <w:bottom w:val="single" w:sz="4" w:space="0" w:color="000000"/>
              <w:right w:val="single" w:sz="4" w:space="0" w:color="000000"/>
            </w:tcBorders>
            <w:vAlign w:val="bottom"/>
          </w:tcPr>
          <w:p w14:paraId="0AA00CFF" w14:textId="77777777" w:rsidR="00AB7245" w:rsidRDefault="00601FE5">
            <w:pPr>
              <w:numPr>
                <w:ilvl w:val="0"/>
                <w:numId w:val="10"/>
              </w:numPr>
              <w:spacing w:after="93" w:line="321" w:lineRule="auto"/>
              <w:ind w:hanging="360"/>
            </w:pPr>
            <w:r>
              <w:t xml:space="preserve">Blood pressure and heart rate, and assessment for cardiovascular signs or symptoms </w:t>
            </w:r>
          </w:p>
          <w:p w14:paraId="391F4238" w14:textId="77777777" w:rsidR="00AB7245" w:rsidRDefault="00601FE5">
            <w:pPr>
              <w:numPr>
                <w:ilvl w:val="0"/>
                <w:numId w:val="10"/>
              </w:numPr>
              <w:spacing w:after="138"/>
              <w:ind w:hanging="360"/>
            </w:pPr>
            <w:r>
              <w:t xml:space="preserve">Weight and appetite </w:t>
            </w:r>
          </w:p>
          <w:p w14:paraId="7F3C1EEE" w14:textId="77777777" w:rsidR="00AB7245" w:rsidRDefault="00601FE5">
            <w:pPr>
              <w:numPr>
                <w:ilvl w:val="0"/>
                <w:numId w:val="10"/>
              </w:numPr>
              <w:spacing w:line="321" w:lineRule="auto"/>
              <w:ind w:hanging="360"/>
            </w:pPr>
            <w:r>
              <w:t xml:space="preserve">Assessment for new or worsening psychiatric and neurological signs or symptoms (e.g., tics, anxiety, symptoms of bipolar disorder) </w:t>
            </w:r>
          </w:p>
          <w:p w14:paraId="407B8054" w14:textId="77777777" w:rsidR="00AB7245" w:rsidRDefault="00601FE5">
            <w:r>
              <w:t>Explore whether patient is experiencing any difficulties with sleep</w:t>
            </w:r>
            <w:r>
              <w:rPr>
                <w:b/>
              </w:rPr>
              <w:t xml:space="preserve"> </w:t>
            </w:r>
          </w:p>
        </w:tc>
        <w:tc>
          <w:tcPr>
            <w:tcW w:w="5681" w:type="dxa"/>
            <w:tcBorders>
              <w:top w:val="single" w:sz="4" w:space="0" w:color="000000"/>
              <w:left w:val="single" w:sz="4" w:space="0" w:color="000000"/>
              <w:bottom w:val="single" w:sz="4" w:space="0" w:color="000000"/>
              <w:right w:val="single" w:sz="4" w:space="0" w:color="000000"/>
            </w:tcBorders>
          </w:tcPr>
          <w:p w14:paraId="5CF6F7B2" w14:textId="77777777" w:rsidR="00AB7245" w:rsidRDefault="00601FE5">
            <w:pPr>
              <w:ind w:left="2"/>
              <w:jc w:val="both"/>
            </w:pPr>
            <w:r>
              <w:t>Every 6 months, and after any change of dose recommended by specialist team.</w:t>
            </w:r>
            <w:r>
              <w:rPr>
                <w:b/>
                <w:sz w:val="24"/>
              </w:rPr>
              <w:t xml:space="preserve"> </w:t>
            </w:r>
          </w:p>
        </w:tc>
      </w:tr>
      <w:tr w:rsidR="00AB7245" w14:paraId="2B15984E" w14:textId="77777777">
        <w:trPr>
          <w:trHeight w:val="667"/>
        </w:trPr>
        <w:tc>
          <w:tcPr>
            <w:tcW w:w="5233" w:type="dxa"/>
            <w:tcBorders>
              <w:top w:val="single" w:sz="4" w:space="0" w:color="000000"/>
              <w:left w:val="single" w:sz="4" w:space="0" w:color="000000"/>
              <w:bottom w:val="single" w:sz="4" w:space="0" w:color="000000"/>
              <w:right w:val="single" w:sz="4" w:space="0" w:color="000000"/>
            </w:tcBorders>
          </w:tcPr>
          <w:p w14:paraId="7503FC9B" w14:textId="77777777" w:rsidR="00AB7245" w:rsidRDefault="00601FE5">
            <w:pPr>
              <w:jc w:val="both"/>
            </w:pPr>
            <w:r>
              <w:t>Assessment of adherence, and for any indication of dexamfetamine abuse, misuse, or diversion</w:t>
            </w:r>
            <w:r>
              <w:rPr>
                <w:b/>
              </w:rPr>
              <w:t xml:space="preserve"> </w:t>
            </w:r>
          </w:p>
        </w:tc>
        <w:tc>
          <w:tcPr>
            <w:tcW w:w="5681" w:type="dxa"/>
            <w:tcBorders>
              <w:top w:val="single" w:sz="4" w:space="0" w:color="000000"/>
              <w:left w:val="single" w:sz="4" w:space="0" w:color="000000"/>
              <w:bottom w:val="single" w:sz="4" w:space="0" w:color="000000"/>
              <w:right w:val="single" w:sz="4" w:space="0" w:color="000000"/>
            </w:tcBorders>
          </w:tcPr>
          <w:p w14:paraId="34FEB940" w14:textId="77777777" w:rsidR="00AB7245" w:rsidRDefault="00601FE5">
            <w:pPr>
              <w:ind w:left="2"/>
            </w:pPr>
            <w:r>
              <w:t>As required, based on the patient’s needs and individual circumstances</w:t>
            </w:r>
            <w:r>
              <w:rPr>
                <w:b/>
                <w:sz w:val="24"/>
              </w:rPr>
              <w:t xml:space="preserve"> </w:t>
            </w:r>
          </w:p>
        </w:tc>
      </w:tr>
      <w:tr w:rsidR="00AB7245" w14:paraId="3176CCD1" w14:textId="77777777">
        <w:trPr>
          <w:trHeight w:val="937"/>
        </w:trPr>
        <w:tc>
          <w:tcPr>
            <w:tcW w:w="5233" w:type="dxa"/>
            <w:tcBorders>
              <w:top w:val="single" w:sz="4" w:space="0" w:color="000000"/>
              <w:left w:val="single" w:sz="4" w:space="0" w:color="000000"/>
              <w:bottom w:val="single" w:sz="4" w:space="0" w:color="000000"/>
              <w:right w:val="single" w:sz="4" w:space="0" w:color="000000"/>
            </w:tcBorders>
          </w:tcPr>
          <w:p w14:paraId="7680A9D2" w14:textId="77777777" w:rsidR="00AB7245" w:rsidRDefault="00601FE5">
            <w:r>
              <w:t xml:space="preserve">Review to ensure patient has been offered and attended an annual review with a healthcare professional with expertise in ADHD </w:t>
            </w:r>
          </w:p>
        </w:tc>
        <w:tc>
          <w:tcPr>
            <w:tcW w:w="5681" w:type="dxa"/>
            <w:tcBorders>
              <w:top w:val="single" w:sz="4" w:space="0" w:color="000000"/>
              <w:left w:val="single" w:sz="4" w:space="0" w:color="000000"/>
              <w:bottom w:val="single" w:sz="4" w:space="0" w:color="000000"/>
              <w:right w:val="single" w:sz="4" w:space="0" w:color="000000"/>
            </w:tcBorders>
          </w:tcPr>
          <w:p w14:paraId="40FFD40D" w14:textId="77777777" w:rsidR="00AB7245" w:rsidRDefault="00601FE5">
            <w:pPr>
              <w:ind w:left="2"/>
            </w:pPr>
            <w:r>
              <w:t xml:space="preserve">Annually </w:t>
            </w:r>
          </w:p>
        </w:tc>
      </w:tr>
      <w:tr w:rsidR="00AB7245" w14:paraId="5ED473CF" w14:textId="77777777">
        <w:trPr>
          <w:trHeight w:val="1677"/>
        </w:trPr>
        <w:tc>
          <w:tcPr>
            <w:tcW w:w="10914" w:type="dxa"/>
            <w:gridSpan w:val="2"/>
            <w:tcBorders>
              <w:top w:val="single" w:sz="4" w:space="0" w:color="000000"/>
              <w:left w:val="single" w:sz="4" w:space="0" w:color="000000"/>
              <w:bottom w:val="single" w:sz="4" w:space="0" w:color="000000"/>
              <w:right w:val="single" w:sz="4" w:space="0" w:color="000000"/>
            </w:tcBorders>
            <w:shd w:val="clear" w:color="auto" w:fill="F2F2F2"/>
          </w:tcPr>
          <w:p w14:paraId="359C3C74" w14:textId="77777777" w:rsidR="00AB7245" w:rsidRDefault="00601FE5">
            <w:pPr>
              <w:tabs>
                <w:tab w:val="center" w:pos="2152"/>
                <w:tab w:val="center" w:pos="5041"/>
                <w:tab w:val="center" w:pos="5761"/>
                <w:tab w:val="center" w:pos="6481"/>
                <w:tab w:val="center" w:pos="7202"/>
                <w:tab w:val="center" w:pos="7922"/>
                <w:tab w:val="center" w:pos="9439"/>
              </w:tabs>
              <w:spacing w:after="17"/>
            </w:pPr>
            <w:r>
              <w:tab/>
            </w:r>
            <w:r>
              <w:rPr>
                <w:b/>
                <w:sz w:val="24"/>
              </w:rPr>
              <w:t xml:space="preserve">10. Adverse effects and other management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45C7EF67" w14:textId="77777777" w:rsidR="00AB7245" w:rsidRDefault="00601FE5">
            <w:pPr>
              <w:spacing w:after="61" w:line="239" w:lineRule="auto"/>
            </w:pPr>
            <w:r>
              <w:rPr>
                <w:b/>
              </w:rPr>
              <w:t xml:space="preserve">Any serious adverse reactions should be reported to the MHRA via the Yellow Card scheme. Visit </w:t>
            </w:r>
            <w:hyperlink r:id="rId57">
              <w:r>
                <w:rPr>
                  <w:color w:val="0000FF"/>
                  <w:u w:val="single" w:color="0000FF"/>
                </w:rPr>
                <w:t>www.mhra.gov.uk/yellowcard</w:t>
              </w:r>
            </w:hyperlink>
            <w:hyperlink r:id="rId58">
              <w:r>
                <w:rPr>
                  <w:color w:val="0000FF"/>
                </w:rPr>
                <w:t xml:space="preserve"> </w:t>
              </w:r>
            </w:hyperlink>
          </w:p>
          <w:p w14:paraId="22382447" w14:textId="77777777" w:rsidR="00AB7245" w:rsidRDefault="00601FE5">
            <w:r>
              <w:t xml:space="preserve">For information on incidence of ADRs see relevant summaries of product characteristics </w:t>
            </w:r>
            <w:hyperlink r:id="rId59">
              <w:r>
                <w:rPr>
                  <w:color w:val="0000FF"/>
                  <w:u w:val="single" w:color="0000FF"/>
                </w:rPr>
                <w:t>https://www.medicines.org.uk/emc</w:t>
              </w:r>
            </w:hyperlink>
            <w:hyperlink r:id="rId60">
              <w:r>
                <w:rPr>
                  <w:sz w:val="20"/>
                </w:rPr>
                <w:t xml:space="preserve"> </w:t>
              </w:r>
            </w:hyperlink>
          </w:p>
        </w:tc>
      </w:tr>
      <w:tr w:rsidR="00AB7245" w14:paraId="41FBF310" w14:textId="77777777">
        <w:trPr>
          <w:trHeight w:val="421"/>
        </w:trPr>
        <w:tc>
          <w:tcPr>
            <w:tcW w:w="5233" w:type="dxa"/>
            <w:tcBorders>
              <w:top w:val="single" w:sz="4" w:space="0" w:color="000000"/>
              <w:left w:val="single" w:sz="4" w:space="0" w:color="000000"/>
              <w:bottom w:val="single" w:sz="4" w:space="0" w:color="000000"/>
              <w:right w:val="single" w:sz="4" w:space="0" w:color="000000"/>
            </w:tcBorders>
            <w:shd w:val="clear" w:color="auto" w:fill="F2F2F2"/>
          </w:tcPr>
          <w:p w14:paraId="176BB8FF" w14:textId="77777777" w:rsidR="00AB7245" w:rsidRDefault="00601FE5">
            <w:pPr>
              <w:ind w:right="28"/>
              <w:jc w:val="center"/>
            </w:pPr>
            <w:r>
              <w:rPr>
                <w:b/>
                <w:sz w:val="24"/>
              </w:rPr>
              <w:lastRenderedPageBreak/>
              <w:t xml:space="preserve">Result </w:t>
            </w:r>
          </w:p>
        </w:tc>
        <w:tc>
          <w:tcPr>
            <w:tcW w:w="5681" w:type="dxa"/>
            <w:tcBorders>
              <w:top w:val="single" w:sz="4" w:space="0" w:color="000000"/>
              <w:left w:val="single" w:sz="4" w:space="0" w:color="000000"/>
              <w:bottom w:val="single" w:sz="4" w:space="0" w:color="000000"/>
              <w:right w:val="single" w:sz="4" w:space="0" w:color="000000"/>
            </w:tcBorders>
            <w:shd w:val="clear" w:color="auto" w:fill="F2F2F2"/>
          </w:tcPr>
          <w:p w14:paraId="1AA4DE96" w14:textId="77777777" w:rsidR="00AB7245" w:rsidRDefault="00601FE5">
            <w:pPr>
              <w:ind w:right="28"/>
              <w:jc w:val="center"/>
            </w:pPr>
            <w:r>
              <w:rPr>
                <w:b/>
                <w:sz w:val="24"/>
              </w:rPr>
              <w:t xml:space="preserve">Action for primary care </w:t>
            </w:r>
          </w:p>
        </w:tc>
      </w:tr>
      <w:tr w:rsidR="00AB7245" w14:paraId="5239BB38" w14:textId="77777777">
        <w:trPr>
          <w:trHeight w:val="716"/>
        </w:trPr>
        <w:tc>
          <w:tcPr>
            <w:tcW w:w="10914" w:type="dxa"/>
            <w:gridSpan w:val="2"/>
            <w:tcBorders>
              <w:top w:val="single" w:sz="4" w:space="0" w:color="000000"/>
              <w:left w:val="single" w:sz="4" w:space="0" w:color="000000"/>
              <w:bottom w:val="single" w:sz="4" w:space="0" w:color="000000"/>
              <w:right w:val="single" w:sz="4" w:space="0" w:color="000000"/>
            </w:tcBorders>
          </w:tcPr>
          <w:p w14:paraId="79A88D18" w14:textId="77777777" w:rsidR="00AB7245" w:rsidRDefault="00601FE5">
            <w:pPr>
              <w:jc w:val="center"/>
            </w:pPr>
            <w:r>
              <w:rPr>
                <w:b/>
                <w:sz w:val="24"/>
              </w:rPr>
              <w:t xml:space="preserve">As well as responding to absolute values in laboratory tests, a rapid change or a consistent trend in any value should prompt caution and extra vigilance </w:t>
            </w:r>
          </w:p>
        </w:tc>
      </w:tr>
      <w:tr w:rsidR="00AB7245" w14:paraId="5C6B6BD6" w14:textId="77777777">
        <w:trPr>
          <w:trHeight w:val="1666"/>
        </w:trPr>
        <w:tc>
          <w:tcPr>
            <w:tcW w:w="5233" w:type="dxa"/>
            <w:tcBorders>
              <w:top w:val="single" w:sz="4" w:space="0" w:color="000000"/>
              <w:left w:val="single" w:sz="4" w:space="0" w:color="000000"/>
              <w:bottom w:val="single" w:sz="4" w:space="0" w:color="000000"/>
              <w:right w:val="single" w:sz="4" w:space="0" w:color="000000"/>
            </w:tcBorders>
          </w:tcPr>
          <w:p w14:paraId="0BD02398" w14:textId="77777777" w:rsidR="00AB7245" w:rsidRDefault="00601FE5">
            <w:r>
              <w:t xml:space="preserve">Resting HR greater than 120bpm, </w:t>
            </w:r>
          </w:p>
          <w:p w14:paraId="4AF2464D" w14:textId="77777777" w:rsidR="00AB7245" w:rsidRDefault="00601FE5">
            <w:r>
              <w:t>arrhythmia/palpitations, clinically significant increase in systolic BP</w:t>
            </w:r>
            <w:r>
              <w:rPr>
                <w:b/>
              </w:rPr>
              <w:t xml:space="preserve"> </w:t>
            </w:r>
          </w:p>
        </w:tc>
        <w:tc>
          <w:tcPr>
            <w:tcW w:w="5681" w:type="dxa"/>
            <w:tcBorders>
              <w:top w:val="single" w:sz="4" w:space="0" w:color="000000"/>
              <w:left w:val="single" w:sz="4" w:space="0" w:color="000000"/>
              <w:bottom w:val="single" w:sz="4" w:space="0" w:color="000000"/>
              <w:right w:val="single" w:sz="4" w:space="0" w:color="000000"/>
            </w:tcBorders>
          </w:tcPr>
          <w:p w14:paraId="4B7FC7C5" w14:textId="77777777" w:rsidR="00AB7245" w:rsidRDefault="00601FE5">
            <w:pPr>
              <w:spacing w:after="61" w:line="275" w:lineRule="auto"/>
              <w:ind w:left="47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In context of recent dose increase, revert to previous dose and discuss with specialist for ongoing management.</w:t>
            </w:r>
            <w:r>
              <w:rPr>
                <w:b/>
              </w:rPr>
              <w:t xml:space="preserve"> </w:t>
            </w:r>
          </w:p>
          <w:p w14:paraId="001FBB91" w14:textId="77777777" w:rsidR="00AB7245" w:rsidRDefault="00601FE5">
            <w:pPr>
              <w:ind w:left="2"/>
              <w:jc w:val="both"/>
            </w:pPr>
            <w:r>
              <w:t>In absence of recent dose changes, reduce dose by half and discuss with specialist or cardiology for further advice.</w:t>
            </w:r>
            <w:r>
              <w:rPr>
                <w:b/>
              </w:rPr>
              <w:t xml:space="preserve"> </w:t>
            </w:r>
          </w:p>
        </w:tc>
      </w:tr>
      <w:tr w:rsidR="00AB7245" w14:paraId="28C6D446" w14:textId="77777777">
        <w:trPr>
          <w:trHeight w:val="667"/>
        </w:trPr>
        <w:tc>
          <w:tcPr>
            <w:tcW w:w="5233" w:type="dxa"/>
            <w:tcBorders>
              <w:top w:val="single" w:sz="4" w:space="0" w:color="000000"/>
              <w:left w:val="single" w:sz="4" w:space="0" w:color="000000"/>
              <w:bottom w:val="single" w:sz="4" w:space="0" w:color="000000"/>
              <w:right w:val="single" w:sz="4" w:space="0" w:color="000000"/>
            </w:tcBorders>
          </w:tcPr>
          <w:p w14:paraId="2014D97F" w14:textId="77777777" w:rsidR="00AB7245" w:rsidRDefault="00601FE5">
            <w:r>
              <w:t>New or worsening seizures</w:t>
            </w:r>
            <w:r>
              <w:rPr>
                <w:b/>
              </w:rPr>
              <w:t xml:space="preserve"> </w:t>
            </w:r>
          </w:p>
        </w:tc>
        <w:tc>
          <w:tcPr>
            <w:tcW w:w="5681" w:type="dxa"/>
            <w:tcBorders>
              <w:top w:val="single" w:sz="4" w:space="0" w:color="000000"/>
              <w:left w:val="single" w:sz="4" w:space="0" w:color="000000"/>
              <w:bottom w:val="single" w:sz="4" w:space="0" w:color="000000"/>
              <w:right w:val="single" w:sz="4" w:space="0" w:color="000000"/>
            </w:tcBorders>
          </w:tcPr>
          <w:p w14:paraId="5AE89C73" w14:textId="77777777" w:rsidR="00AB7245" w:rsidRDefault="00601FE5">
            <w:pPr>
              <w:ind w:left="2"/>
            </w:pPr>
            <w:r>
              <w:t>Stop dexamfetamine and discuss with specialist. Discontinuation may be indicated.</w:t>
            </w:r>
            <w:r>
              <w:rPr>
                <w:b/>
              </w:rPr>
              <w:t xml:space="preserve"> </w:t>
            </w:r>
          </w:p>
        </w:tc>
      </w:tr>
    </w:tbl>
    <w:p w14:paraId="6ECA5BDE" w14:textId="77777777" w:rsidR="00AB7245" w:rsidRDefault="00AB7245">
      <w:pPr>
        <w:spacing w:after="0"/>
        <w:ind w:left="-1440" w:right="10466"/>
      </w:pPr>
    </w:p>
    <w:tbl>
      <w:tblPr>
        <w:tblStyle w:val="TableGrid"/>
        <w:tblW w:w="10914" w:type="dxa"/>
        <w:tblInd w:w="-943" w:type="dxa"/>
        <w:tblCellMar>
          <w:top w:w="103" w:type="dxa"/>
          <w:left w:w="106" w:type="dxa"/>
          <w:right w:w="67" w:type="dxa"/>
        </w:tblCellMar>
        <w:tblLook w:val="04A0" w:firstRow="1" w:lastRow="0" w:firstColumn="1" w:lastColumn="0" w:noHBand="0" w:noVBand="1"/>
      </w:tblPr>
      <w:tblGrid>
        <w:gridCol w:w="5233"/>
        <w:gridCol w:w="5681"/>
      </w:tblGrid>
      <w:tr w:rsidR="00AB7245" w14:paraId="275E1183" w14:textId="77777777">
        <w:trPr>
          <w:trHeight w:val="2998"/>
        </w:trPr>
        <w:tc>
          <w:tcPr>
            <w:tcW w:w="5233" w:type="dxa"/>
            <w:tcBorders>
              <w:top w:val="single" w:sz="4" w:space="0" w:color="000000"/>
              <w:left w:val="single" w:sz="4" w:space="0" w:color="000000"/>
              <w:bottom w:val="single" w:sz="4" w:space="0" w:color="000000"/>
              <w:right w:val="single" w:sz="4" w:space="0" w:color="000000"/>
            </w:tcBorders>
          </w:tcPr>
          <w:p w14:paraId="643336B4" w14:textId="77777777" w:rsidR="00AB7245" w:rsidRDefault="00601FE5">
            <w:r>
              <w:t>Anorexia or weight loss, weight, or BMI outside healthy range</w:t>
            </w:r>
            <w:r>
              <w:rPr>
                <w:b/>
              </w:rPr>
              <w:t xml:space="preserve"> </w:t>
            </w:r>
          </w:p>
        </w:tc>
        <w:tc>
          <w:tcPr>
            <w:tcW w:w="5681" w:type="dxa"/>
            <w:tcBorders>
              <w:top w:val="single" w:sz="4" w:space="0" w:color="000000"/>
              <w:left w:val="single" w:sz="4" w:space="0" w:color="000000"/>
              <w:bottom w:val="single" w:sz="4" w:space="0" w:color="000000"/>
              <w:right w:val="single" w:sz="4" w:space="0" w:color="000000"/>
            </w:tcBorders>
          </w:tcPr>
          <w:p w14:paraId="1BC67654" w14:textId="77777777" w:rsidR="00AB7245" w:rsidRDefault="00601FE5">
            <w:pPr>
              <w:spacing w:after="108" w:line="274" w:lineRule="auto"/>
              <w:ind w:left="2"/>
            </w:pPr>
            <w:r>
              <w:t xml:space="preserve">Exclude other reasons for weight loss. Give advice as per </w:t>
            </w:r>
            <w:hyperlink r:id="rId61">
              <w:r>
                <w:rPr>
                  <w:color w:val="0000FF"/>
                  <w:u w:val="single" w:color="0000FF"/>
                </w:rPr>
                <w:t>NICE NG87</w:t>
              </w:r>
            </w:hyperlink>
            <w:hyperlink r:id="rId62">
              <w:r>
                <w:t>:</w:t>
              </w:r>
            </w:hyperlink>
            <w:r>
              <w:t xml:space="preserve">  </w:t>
            </w:r>
          </w:p>
          <w:p w14:paraId="27B62D50" w14:textId="77777777" w:rsidR="00AB7245" w:rsidRDefault="00601FE5">
            <w:pPr>
              <w:numPr>
                <w:ilvl w:val="0"/>
                <w:numId w:val="11"/>
              </w:numPr>
              <w:spacing w:after="39"/>
              <w:ind w:hanging="360"/>
            </w:pPr>
            <w:r>
              <w:t xml:space="preserve">take medication with or after food, not before. </w:t>
            </w:r>
          </w:p>
          <w:p w14:paraId="12F523C4" w14:textId="77777777" w:rsidR="00AB7245" w:rsidRDefault="00601FE5">
            <w:pPr>
              <w:numPr>
                <w:ilvl w:val="0"/>
                <w:numId w:val="11"/>
              </w:numPr>
              <w:spacing w:after="48" w:line="274" w:lineRule="auto"/>
              <w:ind w:hanging="360"/>
            </w:pPr>
            <w:r>
              <w:t xml:space="preserve">additional meals or snacks early in the morning or late in the evening when stimulant effects have worn off. </w:t>
            </w:r>
          </w:p>
          <w:p w14:paraId="6169D78A" w14:textId="77777777" w:rsidR="00AB7245" w:rsidRDefault="00601FE5">
            <w:pPr>
              <w:numPr>
                <w:ilvl w:val="0"/>
                <w:numId w:val="11"/>
              </w:numPr>
              <w:spacing w:after="37"/>
              <w:ind w:hanging="360"/>
            </w:pPr>
            <w:r>
              <w:t xml:space="preserve">obtaining dietary advice </w:t>
            </w:r>
          </w:p>
          <w:p w14:paraId="347EB1F5" w14:textId="77777777" w:rsidR="00AB7245" w:rsidRDefault="00601FE5">
            <w:pPr>
              <w:numPr>
                <w:ilvl w:val="0"/>
                <w:numId w:val="11"/>
              </w:numPr>
              <w:spacing w:after="53"/>
              <w:ind w:hanging="360"/>
            </w:pPr>
            <w:r>
              <w:t xml:space="preserve">consuming high-calorie foods of good nutritional value </w:t>
            </w:r>
          </w:p>
          <w:p w14:paraId="7B7DE243" w14:textId="77777777" w:rsidR="00AB7245" w:rsidRDefault="00601FE5">
            <w:pPr>
              <w:ind w:left="2"/>
              <w:jc w:val="both"/>
            </w:pPr>
            <w:r>
              <w:t>Discuss with specialist if difficulty persists; dose reduction, treatment break, or change of medication may be required.</w:t>
            </w:r>
            <w:r>
              <w:rPr>
                <w:b/>
              </w:rPr>
              <w:t xml:space="preserve"> </w:t>
            </w:r>
          </w:p>
        </w:tc>
      </w:tr>
      <w:tr w:rsidR="00AB7245" w14:paraId="72B060B3" w14:textId="77777777">
        <w:trPr>
          <w:trHeight w:val="1056"/>
        </w:trPr>
        <w:tc>
          <w:tcPr>
            <w:tcW w:w="5233" w:type="dxa"/>
            <w:tcBorders>
              <w:top w:val="single" w:sz="4" w:space="0" w:color="000000"/>
              <w:left w:val="single" w:sz="4" w:space="0" w:color="000000"/>
              <w:bottom w:val="single" w:sz="4" w:space="0" w:color="000000"/>
              <w:right w:val="single" w:sz="4" w:space="0" w:color="000000"/>
            </w:tcBorders>
          </w:tcPr>
          <w:p w14:paraId="5ED29B17" w14:textId="77777777" w:rsidR="00AB7245" w:rsidRDefault="00601FE5">
            <w:pPr>
              <w:jc w:val="both"/>
            </w:pPr>
            <w:r>
              <w:t>Insomnia, sleep disturbance/nightmares, sedation, sexual dysfunction</w:t>
            </w:r>
            <w:r>
              <w:rPr>
                <w:b/>
              </w:rPr>
              <w:t xml:space="preserve"> </w:t>
            </w:r>
          </w:p>
        </w:tc>
        <w:tc>
          <w:tcPr>
            <w:tcW w:w="5681" w:type="dxa"/>
            <w:tcBorders>
              <w:top w:val="single" w:sz="4" w:space="0" w:color="000000"/>
              <w:left w:val="single" w:sz="4" w:space="0" w:color="000000"/>
              <w:bottom w:val="single" w:sz="4" w:space="0" w:color="000000"/>
              <w:right w:val="single" w:sz="4" w:space="0" w:color="000000"/>
            </w:tcBorders>
            <w:vAlign w:val="center"/>
          </w:tcPr>
          <w:p w14:paraId="5094ACA7" w14:textId="77777777" w:rsidR="00AB7245" w:rsidRDefault="00601FE5">
            <w:pPr>
              <w:ind w:left="2"/>
            </w:pPr>
            <w:r>
              <w:t>Review timing of doses and continue treatment unless severe, Give advice on sleep hygiene. Discuss with specialist if required</w:t>
            </w:r>
            <w:r>
              <w:rPr>
                <w:b/>
              </w:rPr>
              <w:t xml:space="preserve"> </w:t>
            </w:r>
          </w:p>
        </w:tc>
      </w:tr>
      <w:tr w:rsidR="00AB7245" w14:paraId="6BC1E54F" w14:textId="77777777">
        <w:trPr>
          <w:trHeight w:val="1056"/>
        </w:trPr>
        <w:tc>
          <w:tcPr>
            <w:tcW w:w="5233" w:type="dxa"/>
            <w:tcBorders>
              <w:top w:val="single" w:sz="4" w:space="0" w:color="000000"/>
              <w:left w:val="single" w:sz="4" w:space="0" w:color="000000"/>
              <w:bottom w:val="single" w:sz="4" w:space="0" w:color="000000"/>
              <w:right w:val="single" w:sz="4" w:space="0" w:color="000000"/>
            </w:tcBorders>
            <w:vAlign w:val="center"/>
          </w:tcPr>
          <w:p w14:paraId="737AB1A7" w14:textId="77777777" w:rsidR="00AB7245" w:rsidRDefault="00601FE5">
            <w:r>
              <w:t>Nausea, diarrhoea, abdominal cramps, constipation, dry mouth, headache, dizziness, enuresis, increased daytime urination, tics</w:t>
            </w:r>
            <w:r>
              <w:rPr>
                <w:b/>
              </w:rPr>
              <w:t xml:space="preserve"> </w:t>
            </w:r>
          </w:p>
        </w:tc>
        <w:tc>
          <w:tcPr>
            <w:tcW w:w="5681" w:type="dxa"/>
            <w:tcBorders>
              <w:top w:val="single" w:sz="4" w:space="0" w:color="000000"/>
              <w:left w:val="single" w:sz="4" w:space="0" w:color="000000"/>
              <w:bottom w:val="single" w:sz="4" w:space="0" w:color="000000"/>
              <w:right w:val="single" w:sz="4" w:space="0" w:color="000000"/>
            </w:tcBorders>
            <w:vAlign w:val="center"/>
          </w:tcPr>
          <w:p w14:paraId="44FE52F9" w14:textId="77777777" w:rsidR="00AB7245" w:rsidRDefault="00601FE5">
            <w:pPr>
              <w:ind w:left="2"/>
            </w:pPr>
            <w:r>
              <w:t>Continue treatment unless severe. Some symptoms may be alleviated by concomitant food intake. Discuss with specialist if required</w:t>
            </w:r>
            <w:r>
              <w:rPr>
                <w:b/>
              </w:rPr>
              <w:t xml:space="preserve"> </w:t>
            </w:r>
          </w:p>
        </w:tc>
      </w:tr>
      <w:tr w:rsidR="00AB7245" w14:paraId="215BE6BB" w14:textId="77777777">
        <w:trPr>
          <w:trHeight w:val="1736"/>
        </w:trPr>
        <w:tc>
          <w:tcPr>
            <w:tcW w:w="5233" w:type="dxa"/>
            <w:tcBorders>
              <w:top w:val="single" w:sz="4" w:space="0" w:color="000000"/>
              <w:left w:val="single" w:sz="4" w:space="0" w:color="000000"/>
              <w:bottom w:val="single" w:sz="4" w:space="0" w:color="000000"/>
              <w:right w:val="single" w:sz="4" w:space="0" w:color="000000"/>
            </w:tcBorders>
            <w:vAlign w:val="center"/>
          </w:tcPr>
          <w:p w14:paraId="0886F326" w14:textId="77777777" w:rsidR="00AB7245" w:rsidRDefault="00601FE5">
            <w:pPr>
              <w:spacing w:after="57" w:line="276" w:lineRule="auto"/>
            </w:pPr>
            <w:r>
              <w:t xml:space="preserve">New or worsening psychiatric or neuropsychiatric symptoms, e.g. mania, depression, paranoia, anxiety and agitation.  </w:t>
            </w:r>
          </w:p>
          <w:p w14:paraId="3C2ABE90" w14:textId="77777777" w:rsidR="00AB7245" w:rsidRDefault="00601FE5">
            <w:r>
              <w:t xml:space="preserve">NB: psychosis may occur following consumption of very high doses. </w:t>
            </w:r>
            <w:r>
              <w:rPr>
                <w:b/>
              </w:rPr>
              <w:t xml:space="preserve"> </w:t>
            </w:r>
          </w:p>
        </w:tc>
        <w:tc>
          <w:tcPr>
            <w:tcW w:w="5681" w:type="dxa"/>
            <w:tcBorders>
              <w:top w:val="single" w:sz="4" w:space="0" w:color="000000"/>
              <w:left w:val="single" w:sz="4" w:space="0" w:color="000000"/>
              <w:bottom w:val="single" w:sz="4" w:space="0" w:color="000000"/>
              <w:right w:val="single" w:sz="4" w:space="0" w:color="000000"/>
            </w:tcBorders>
          </w:tcPr>
          <w:p w14:paraId="4EDD7846" w14:textId="77777777" w:rsidR="00AB7245" w:rsidRDefault="00601FE5">
            <w:pPr>
              <w:ind w:left="2"/>
            </w:pPr>
            <w:r>
              <w:t>Discuss with specialist. Stop treatment and consider referral to acute mental health team if suicidal thoughts, mania, or psychosis are present</w:t>
            </w:r>
            <w:r>
              <w:rPr>
                <w:b/>
              </w:rPr>
              <w:t xml:space="preserve"> </w:t>
            </w:r>
          </w:p>
        </w:tc>
      </w:tr>
      <w:tr w:rsidR="00AB7245" w14:paraId="2B8B588D" w14:textId="77777777">
        <w:trPr>
          <w:trHeight w:val="1654"/>
        </w:trPr>
        <w:tc>
          <w:tcPr>
            <w:tcW w:w="5233" w:type="dxa"/>
            <w:tcBorders>
              <w:top w:val="single" w:sz="4" w:space="0" w:color="000000"/>
              <w:left w:val="single" w:sz="4" w:space="0" w:color="000000"/>
              <w:bottom w:val="single" w:sz="4" w:space="0" w:color="000000"/>
              <w:right w:val="single" w:sz="4" w:space="0" w:color="000000"/>
            </w:tcBorders>
          </w:tcPr>
          <w:p w14:paraId="5DAF4A7B" w14:textId="77777777" w:rsidR="00AB7245" w:rsidRDefault="00601FE5">
            <w:r>
              <w:lastRenderedPageBreak/>
              <w:t>Symptoms of serotonin syndrome, e.g., agitation, hallucinations, coma, tachycardia, labile blood pressure, hyperthermia, hyperreflexia, incoordination, rigidity, nausea, vomiting, diarrhoea</w:t>
            </w:r>
            <w:r>
              <w:rPr>
                <w:b/>
              </w:rPr>
              <w:t xml:space="preserve"> </w:t>
            </w:r>
          </w:p>
        </w:tc>
        <w:tc>
          <w:tcPr>
            <w:tcW w:w="5681" w:type="dxa"/>
            <w:tcBorders>
              <w:top w:val="single" w:sz="4" w:space="0" w:color="000000"/>
              <w:left w:val="single" w:sz="4" w:space="0" w:color="000000"/>
              <w:bottom w:val="single" w:sz="4" w:space="0" w:color="000000"/>
              <w:right w:val="single" w:sz="4" w:space="0" w:color="000000"/>
            </w:tcBorders>
          </w:tcPr>
          <w:p w14:paraId="28C93384" w14:textId="77777777" w:rsidR="00AB7245" w:rsidRDefault="00601FE5">
            <w:pPr>
              <w:spacing w:after="19"/>
              <w:ind w:left="2"/>
            </w:pPr>
            <w:r>
              <w:t xml:space="preserve">Discontinue dexamfetamine as soon as possible. </w:t>
            </w:r>
          </w:p>
          <w:p w14:paraId="49CA18D5" w14:textId="77777777" w:rsidR="00AB7245" w:rsidRDefault="00601FE5">
            <w:pPr>
              <w:spacing w:after="62" w:line="274" w:lineRule="auto"/>
              <w:ind w:left="2"/>
            </w:pPr>
            <w:r>
              <w:t xml:space="preserve">Management depends on severity; use clinical judgement and seek advice if necessary.  </w:t>
            </w:r>
          </w:p>
          <w:p w14:paraId="692780F6" w14:textId="77777777" w:rsidR="00AB7245" w:rsidRDefault="00601FE5">
            <w:pPr>
              <w:ind w:left="2"/>
            </w:pPr>
            <w:r>
              <w:t>Discuss with specialist team to determine whether dexamfetamine can be re-started.</w:t>
            </w:r>
            <w:r>
              <w:rPr>
                <w:b/>
              </w:rPr>
              <w:t xml:space="preserve"> </w:t>
            </w:r>
          </w:p>
        </w:tc>
      </w:tr>
      <w:tr w:rsidR="00AB7245" w14:paraId="2B5D21DE" w14:textId="77777777">
        <w:trPr>
          <w:trHeight w:val="400"/>
        </w:trPr>
        <w:tc>
          <w:tcPr>
            <w:tcW w:w="5233" w:type="dxa"/>
            <w:tcBorders>
              <w:top w:val="single" w:sz="4" w:space="0" w:color="000000"/>
              <w:left w:val="single" w:sz="4" w:space="0" w:color="000000"/>
              <w:bottom w:val="single" w:sz="4" w:space="0" w:color="000000"/>
              <w:right w:val="single" w:sz="4" w:space="0" w:color="000000"/>
            </w:tcBorders>
          </w:tcPr>
          <w:p w14:paraId="1BD0E461" w14:textId="77777777" w:rsidR="00AB7245" w:rsidRDefault="00601FE5">
            <w:r>
              <w:t>Suspicion of abuse, misuse, or diversion</w:t>
            </w:r>
            <w:r>
              <w:rPr>
                <w:b/>
              </w:rPr>
              <w:t xml:space="preserve"> </w:t>
            </w:r>
          </w:p>
        </w:tc>
        <w:tc>
          <w:tcPr>
            <w:tcW w:w="5681" w:type="dxa"/>
            <w:tcBorders>
              <w:top w:val="single" w:sz="4" w:space="0" w:color="000000"/>
              <w:left w:val="single" w:sz="4" w:space="0" w:color="000000"/>
              <w:bottom w:val="single" w:sz="4" w:space="0" w:color="000000"/>
              <w:right w:val="single" w:sz="4" w:space="0" w:color="000000"/>
            </w:tcBorders>
          </w:tcPr>
          <w:p w14:paraId="37D617D5" w14:textId="77777777" w:rsidR="00AB7245" w:rsidRDefault="00601FE5">
            <w:pPr>
              <w:ind w:left="2"/>
            </w:pPr>
            <w:r>
              <w:t>Discuss with specialist team</w:t>
            </w:r>
            <w:r>
              <w:rPr>
                <w:b/>
              </w:rPr>
              <w:t xml:space="preserve"> </w:t>
            </w:r>
          </w:p>
        </w:tc>
      </w:tr>
      <w:tr w:rsidR="00AB7245" w14:paraId="66E18127" w14:textId="77777777">
        <w:trPr>
          <w:trHeight w:val="1355"/>
        </w:trPr>
        <w:tc>
          <w:tcPr>
            <w:tcW w:w="10914" w:type="dxa"/>
            <w:gridSpan w:val="2"/>
            <w:tcBorders>
              <w:top w:val="single" w:sz="4" w:space="0" w:color="000000"/>
              <w:left w:val="single" w:sz="4" w:space="0" w:color="000000"/>
              <w:bottom w:val="nil"/>
              <w:right w:val="single" w:sz="4" w:space="0" w:color="000000"/>
            </w:tcBorders>
            <w:shd w:val="clear" w:color="auto" w:fill="F2F2F2"/>
          </w:tcPr>
          <w:p w14:paraId="2EE9132C" w14:textId="77777777" w:rsidR="00AB7245" w:rsidRDefault="00601FE5">
            <w:pPr>
              <w:tabs>
                <w:tab w:val="center" w:pos="1630"/>
                <w:tab w:val="center" w:pos="3601"/>
                <w:tab w:val="center" w:pos="4321"/>
                <w:tab w:val="center" w:pos="5041"/>
                <w:tab w:val="center" w:pos="5761"/>
                <w:tab w:val="center" w:pos="6481"/>
                <w:tab w:val="center" w:pos="7202"/>
                <w:tab w:val="center" w:pos="7922"/>
                <w:tab w:val="center" w:pos="9439"/>
              </w:tabs>
              <w:spacing w:after="36"/>
            </w:pPr>
            <w:r>
              <w:tab/>
            </w:r>
            <w:r>
              <w:rPr>
                <w:b/>
                <w:sz w:val="24"/>
              </w:rPr>
              <w:t xml:space="preserve">11. Advice to patients and carers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3E914A70" w14:textId="77777777" w:rsidR="00AB7245" w:rsidRDefault="00601FE5">
            <w:r>
              <w:rPr>
                <w:sz w:val="24"/>
              </w:rPr>
              <w:t xml:space="preserve">The specialist will counsel the patient with regard to the benefits and risks of treatment and will provide the patient with any relevant information and advice, including patient information leaflets on individual medicines. </w:t>
            </w:r>
          </w:p>
        </w:tc>
      </w:tr>
      <w:tr w:rsidR="00AB7245" w14:paraId="5A3F0732" w14:textId="77777777">
        <w:trPr>
          <w:trHeight w:val="2576"/>
        </w:trPr>
        <w:tc>
          <w:tcPr>
            <w:tcW w:w="10914" w:type="dxa"/>
            <w:gridSpan w:val="2"/>
            <w:tcBorders>
              <w:top w:val="nil"/>
              <w:left w:val="single" w:sz="4" w:space="0" w:color="000000"/>
              <w:bottom w:val="single" w:sz="4" w:space="0" w:color="000000"/>
              <w:right w:val="single" w:sz="4" w:space="0" w:color="000000"/>
            </w:tcBorders>
          </w:tcPr>
          <w:p w14:paraId="7424A688" w14:textId="77777777" w:rsidR="00AB7245" w:rsidRDefault="00601FE5">
            <w:pPr>
              <w:spacing w:after="106" w:line="239" w:lineRule="auto"/>
            </w:pPr>
            <w:r>
              <w:rPr>
                <w:b/>
              </w:rPr>
              <w:t xml:space="preserve">The patient should be advised to report any of the following signs or symptoms to their primary care prescriber without delay:           </w:t>
            </w:r>
          </w:p>
          <w:p w14:paraId="3D15A8CA" w14:textId="77777777" w:rsidR="00AB7245" w:rsidRDefault="00601FE5">
            <w:pPr>
              <w:numPr>
                <w:ilvl w:val="0"/>
                <w:numId w:val="12"/>
              </w:numPr>
              <w:spacing w:line="291" w:lineRule="auto"/>
              <w:ind w:right="457"/>
            </w:pPr>
            <w:r>
              <w:t xml:space="preserve">Any mood changes, such as depression, paranoia, anxiety or agitation, psychosis, mania, and suicidal ideation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Palpitations, chest pain or syncope </w:t>
            </w:r>
          </w:p>
          <w:p w14:paraId="02F9311E" w14:textId="77777777" w:rsidR="00AB7245" w:rsidRDefault="00601FE5">
            <w:pPr>
              <w:numPr>
                <w:ilvl w:val="0"/>
                <w:numId w:val="12"/>
              </w:numPr>
              <w:spacing w:after="10" w:line="282" w:lineRule="auto"/>
              <w:ind w:right="457"/>
            </w:pPr>
            <w:r>
              <w:t xml:space="preserve">Cerebrovascular symptoms, such as severe headache, numbness, weakness, paralysis, and impairment of coordination, vision, speech, language, or memory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Abdominal pain, malaise, jaundice or darkening of urine. </w:t>
            </w:r>
          </w:p>
          <w:p w14:paraId="2CDDF64F" w14:textId="77777777" w:rsidR="00AB7245" w:rsidRDefault="00601FE5">
            <w:pPr>
              <w:numPr>
                <w:ilvl w:val="0"/>
                <w:numId w:val="12"/>
              </w:numPr>
              <w:ind w:right="457"/>
            </w:pPr>
            <w:r>
              <w:t xml:space="preserve">Skin rashes or bruising easily. </w:t>
            </w:r>
          </w:p>
        </w:tc>
      </w:tr>
    </w:tbl>
    <w:p w14:paraId="3F03F97B" w14:textId="77777777" w:rsidR="00AB7245" w:rsidRDefault="00AB7245">
      <w:pPr>
        <w:spacing w:after="0"/>
        <w:ind w:left="-1440" w:right="10466"/>
      </w:pPr>
    </w:p>
    <w:tbl>
      <w:tblPr>
        <w:tblStyle w:val="TableGrid"/>
        <w:tblW w:w="10918" w:type="dxa"/>
        <w:tblInd w:w="-946" w:type="dxa"/>
        <w:tblCellMar>
          <w:top w:w="55" w:type="dxa"/>
          <w:left w:w="108" w:type="dxa"/>
          <w:right w:w="115" w:type="dxa"/>
        </w:tblCellMar>
        <w:tblLook w:val="04A0" w:firstRow="1" w:lastRow="0" w:firstColumn="1" w:lastColumn="0" w:noHBand="0" w:noVBand="1"/>
      </w:tblPr>
      <w:tblGrid>
        <w:gridCol w:w="10918"/>
      </w:tblGrid>
      <w:tr w:rsidR="00AB7245" w14:paraId="0A5A0AEB" w14:textId="77777777">
        <w:trPr>
          <w:trHeight w:val="12919"/>
        </w:trPr>
        <w:tc>
          <w:tcPr>
            <w:tcW w:w="10918" w:type="dxa"/>
            <w:tcBorders>
              <w:top w:val="nil"/>
              <w:left w:val="single" w:sz="4" w:space="0" w:color="000000"/>
              <w:bottom w:val="single" w:sz="4" w:space="0" w:color="000000"/>
              <w:right w:val="single" w:sz="4" w:space="0" w:color="000000"/>
            </w:tcBorders>
          </w:tcPr>
          <w:p w14:paraId="1686C83D" w14:textId="77777777" w:rsidR="00AB7245" w:rsidRDefault="00601FE5">
            <w:pPr>
              <w:numPr>
                <w:ilvl w:val="0"/>
                <w:numId w:val="13"/>
              </w:numPr>
              <w:spacing w:after="288" w:line="276" w:lineRule="auto"/>
              <w:ind w:hanging="360"/>
            </w:pPr>
            <w:r>
              <w:lastRenderedPageBreak/>
              <w:t xml:space="preserve">If they suspect, they may be pregnant or are planning a pregnancy. Patients of childbearing potential should use appropriate contraception and take a pregnancy test if they think there is a possibility, they could be pregnant. </w:t>
            </w:r>
          </w:p>
          <w:p w14:paraId="4BBC9CDC" w14:textId="77777777" w:rsidR="00AB7245" w:rsidRDefault="00601FE5">
            <w:pPr>
              <w:spacing w:after="84"/>
            </w:pPr>
            <w:r>
              <w:rPr>
                <w:b/>
              </w:rPr>
              <w:t xml:space="preserve">The patient/carer should be advised: </w:t>
            </w:r>
          </w:p>
          <w:p w14:paraId="1DDA6F74" w14:textId="77777777" w:rsidR="00AB7245" w:rsidRDefault="00601FE5">
            <w:pPr>
              <w:numPr>
                <w:ilvl w:val="0"/>
                <w:numId w:val="13"/>
              </w:numPr>
              <w:spacing w:after="46" w:line="276" w:lineRule="auto"/>
              <w:ind w:hanging="360"/>
            </w:pPr>
            <w:r>
              <w:t xml:space="preserve">Normally the first increasing dose is given in the morning. Dexamfetamine should not be taken too late after lunch time to avoid disturbances of sleep. </w:t>
            </w:r>
          </w:p>
          <w:p w14:paraId="5FF26C36" w14:textId="77777777" w:rsidR="00AB7245" w:rsidRDefault="00601FE5">
            <w:pPr>
              <w:numPr>
                <w:ilvl w:val="0"/>
                <w:numId w:val="13"/>
              </w:numPr>
              <w:spacing w:after="45" w:line="275" w:lineRule="auto"/>
              <w:ind w:hanging="360"/>
            </w:pPr>
            <w:r>
              <w:t xml:space="preserve">Attend regularly for monitoring and review appointments with primary care and specialist and keep contact details up to date with both prescribers. It may not be safe to continue prescribing without regular review, and patients should be aware that their medicines could be stopped if they do not attend appointments. </w:t>
            </w:r>
          </w:p>
          <w:p w14:paraId="722E40DC" w14:textId="77777777" w:rsidR="00AB7245" w:rsidRDefault="00601FE5">
            <w:pPr>
              <w:numPr>
                <w:ilvl w:val="0"/>
                <w:numId w:val="13"/>
              </w:numPr>
              <w:spacing w:after="46" w:line="239" w:lineRule="auto"/>
              <w:ind w:hanging="360"/>
            </w:pPr>
            <w:r>
              <w:t xml:space="preserve">Dexamfetamine is subject to drug driving laws.  Not to drive, cycle or operate machines if dexamfetamine affects their ability to do so safely, e.g., by causing dizziness, drowsiness, and visual disturbances and to inform the DVLA if their ability to drive safely is affected. See </w:t>
            </w:r>
            <w:hyperlink r:id="rId63">
              <w:r>
                <w:rPr>
                  <w:color w:val="0000FF"/>
                  <w:u w:val="single" w:color="0000FF"/>
                </w:rPr>
                <w:t>https://www.gov.uk/adhd</w:t>
              </w:r>
            </w:hyperlink>
            <w:hyperlink r:id="rId64">
              <w:r>
                <w:rPr>
                  <w:color w:val="0000FF"/>
                  <w:u w:val="single" w:color="0000FF"/>
                </w:rPr>
                <w:t>-</w:t>
              </w:r>
            </w:hyperlink>
            <w:hyperlink r:id="rId65">
              <w:r>
                <w:rPr>
                  <w:color w:val="0000FF"/>
                  <w:u w:val="single" w:color="0000FF"/>
                </w:rPr>
                <w:t>and</w:t>
              </w:r>
            </w:hyperlink>
            <w:hyperlink r:id="rId66">
              <w:r>
                <w:rPr>
                  <w:color w:val="0000FF"/>
                  <w:u w:val="single" w:color="0000FF"/>
                </w:rPr>
                <w:t>-</w:t>
              </w:r>
            </w:hyperlink>
            <w:hyperlink r:id="rId67">
              <w:r>
                <w:rPr>
                  <w:color w:val="0000FF"/>
                  <w:u w:val="single" w:color="0000FF"/>
                </w:rPr>
                <w:t>driving</w:t>
              </w:r>
            </w:hyperlink>
            <w:hyperlink r:id="rId68">
              <w:r>
                <w:t xml:space="preserve"> </w:t>
              </w:r>
            </w:hyperlink>
            <w:r>
              <w:t xml:space="preserve">and </w:t>
            </w:r>
            <w:r>
              <w:rPr>
                <w:color w:val="0000FF"/>
                <w:u w:val="single" w:color="0000FF"/>
              </w:rPr>
              <w:t>section 11</w:t>
            </w:r>
            <w:r>
              <w:t xml:space="preserve">. </w:t>
            </w:r>
          </w:p>
          <w:p w14:paraId="737B31AD" w14:textId="77777777" w:rsidR="00AB7245" w:rsidRDefault="00601FE5">
            <w:pPr>
              <w:numPr>
                <w:ilvl w:val="0"/>
                <w:numId w:val="13"/>
              </w:numPr>
              <w:spacing w:after="44" w:line="239" w:lineRule="auto"/>
              <w:ind w:hanging="360"/>
            </w:pPr>
            <w:r>
              <w:t xml:space="preserve">Avoid alcohol while taking dexamfetamine, as it may make some side effects worse. Avoid recreational drugs. Due to the risks of severe depression, over-activity, extreme fatigue as well as changes in the EEG during sleep, abrupt withdrawal after a prolonged period of intake of high doses of dexamfetamine should be avoided. Patients wishing to reduce their dose or stop dexamfetamine treatment should discuss with their specialist before doing so. </w:t>
            </w:r>
          </w:p>
          <w:p w14:paraId="582DC07E" w14:textId="77777777" w:rsidR="00AB7245" w:rsidRDefault="00601FE5">
            <w:pPr>
              <w:numPr>
                <w:ilvl w:val="0"/>
                <w:numId w:val="13"/>
              </w:numPr>
              <w:spacing w:line="240" w:lineRule="auto"/>
              <w:ind w:hanging="360"/>
            </w:pPr>
            <w:r>
              <w:t xml:space="preserve">Dexamfetamine is a schedule 2 controlled drug. Patients may be required to prove their identity when collecting prescriptions and should store dexamfetamine safely and securely. It must not be shared with anyone else. There are restrictions on travelling with controlled drugs: see </w:t>
            </w:r>
            <w:hyperlink r:id="rId69">
              <w:r>
                <w:rPr>
                  <w:color w:val="0000FF"/>
                  <w:u w:val="single" w:color="0000FF"/>
                </w:rPr>
                <w:t>https://www.gov.uk/guidance/controlled</w:t>
              </w:r>
            </w:hyperlink>
            <w:hyperlink r:id="rId70">
              <w:r>
                <w:rPr>
                  <w:color w:val="0000FF"/>
                  <w:u w:val="single" w:color="0000FF"/>
                </w:rPr>
                <w:t>-</w:t>
              </w:r>
            </w:hyperlink>
            <w:hyperlink r:id="rId71">
              <w:r>
                <w:rPr>
                  <w:color w:val="0000FF"/>
                  <w:u w:val="single" w:color="0000FF"/>
                </w:rPr>
                <w:t>drugs</w:t>
              </w:r>
            </w:hyperlink>
            <w:hyperlink r:id="rId72">
              <w:r>
                <w:rPr>
                  <w:color w:val="0000FF"/>
                  <w:u w:val="single" w:color="0000FF"/>
                </w:rPr>
                <w:t>-</w:t>
              </w:r>
            </w:hyperlink>
            <w:hyperlink r:id="rId73">
              <w:r>
                <w:rPr>
                  <w:color w:val="0000FF"/>
                  <w:u w:val="single" w:color="0000FF"/>
                </w:rPr>
                <w:t>personal</w:t>
              </w:r>
            </w:hyperlink>
            <w:hyperlink r:id="rId74"/>
            <w:hyperlink r:id="rId75">
              <w:r>
                <w:rPr>
                  <w:color w:val="0000FF"/>
                  <w:u w:val="single" w:color="0000FF"/>
                </w:rPr>
                <w:t>licences</w:t>
              </w:r>
            </w:hyperlink>
            <w:hyperlink r:id="rId76">
              <w:r>
                <w:t xml:space="preserve"> </w:t>
              </w:r>
            </w:hyperlink>
          </w:p>
          <w:p w14:paraId="6E3E8B58" w14:textId="77777777" w:rsidR="00AB7245" w:rsidRDefault="00601FE5">
            <w:pPr>
              <w:spacing w:after="38"/>
              <w:ind w:left="720"/>
            </w:pPr>
            <w:r>
              <w:t xml:space="preserve"> </w:t>
            </w:r>
          </w:p>
          <w:p w14:paraId="7074AC8C" w14:textId="77777777" w:rsidR="00AB7245" w:rsidRDefault="00601FE5">
            <w:pPr>
              <w:spacing w:after="84"/>
            </w:pPr>
            <w:r>
              <w:rPr>
                <w:b/>
              </w:rPr>
              <w:t xml:space="preserve">Patient and carer information: </w:t>
            </w:r>
          </w:p>
          <w:p w14:paraId="470C612F" w14:textId="77777777" w:rsidR="00AB7245" w:rsidRDefault="00601FE5">
            <w:pPr>
              <w:numPr>
                <w:ilvl w:val="0"/>
                <w:numId w:val="13"/>
              </w:numPr>
              <w:ind w:hanging="360"/>
            </w:pPr>
            <w:hyperlink r:id="rId77">
              <w:r>
                <w:rPr>
                  <w:color w:val="0000FF"/>
                  <w:u w:val="single" w:color="0000FF"/>
                </w:rPr>
                <w:t>» Attention Deficit Hyperactivity Disorder (choiceandmedication.org)</w:t>
              </w:r>
            </w:hyperlink>
            <w:hyperlink r:id="rId78">
              <w:r>
                <w:t xml:space="preserve"> </w:t>
              </w:r>
            </w:hyperlink>
          </w:p>
          <w:p w14:paraId="40F91853" w14:textId="77777777" w:rsidR="00AB7245" w:rsidRDefault="00601FE5">
            <w:pPr>
              <w:numPr>
                <w:ilvl w:val="0"/>
                <w:numId w:val="13"/>
              </w:numPr>
              <w:ind w:hanging="360"/>
            </w:pPr>
            <w:hyperlink r:id="rId79">
              <w:r>
                <w:rPr>
                  <w:color w:val="0000FF"/>
                  <w:u w:val="single" w:color="0000FF"/>
                </w:rPr>
                <w:t>ADHD and Mental Health | Signs and Symptoms of ADHD | YoungMinds</w:t>
              </w:r>
            </w:hyperlink>
            <w:hyperlink r:id="rId80">
              <w:r>
                <w:t xml:space="preserve"> </w:t>
              </w:r>
            </w:hyperlink>
          </w:p>
          <w:p w14:paraId="2F26F03C" w14:textId="77777777" w:rsidR="00AB7245" w:rsidRDefault="00601FE5">
            <w:pPr>
              <w:numPr>
                <w:ilvl w:val="0"/>
                <w:numId w:val="13"/>
              </w:numPr>
              <w:spacing w:after="106" w:line="240" w:lineRule="auto"/>
              <w:ind w:hanging="360"/>
            </w:pPr>
            <w:r>
              <w:t>NHS – attention deficit hyperactivity disorder.</w:t>
            </w:r>
            <w:hyperlink r:id="rId81">
              <w:r>
                <w:t xml:space="preserve"> </w:t>
              </w:r>
            </w:hyperlink>
            <w:hyperlink r:id="rId82">
              <w:r>
                <w:rPr>
                  <w:color w:val="0000FF"/>
                  <w:u w:val="single" w:color="0000FF"/>
                </w:rPr>
                <w:t>https://www.nhs.uk/conditions/attention</w:t>
              </w:r>
            </w:hyperlink>
            <w:hyperlink r:id="rId83">
              <w:r>
                <w:rPr>
                  <w:color w:val="0000FF"/>
                  <w:u w:val="single" w:color="0000FF"/>
                </w:rPr>
                <w:t>-</w:t>
              </w:r>
            </w:hyperlink>
            <w:hyperlink r:id="rId84">
              <w:r>
                <w:rPr>
                  <w:color w:val="0000FF"/>
                  <w:u w:val="single" w:color="0000FF"/>
                </w:rPr>
                <w:t>deficit</w:t>
              </w:r>
            </w:hyperlink>
            <w:hyperlink r:id="rId85">
              <w:r>
                <w:rPr>
                  <w:color w:val="0000FF"/>
                  <w:u w:val="single" w:color="0000FF"/>
                </w:rPr>
                <w:t>-</w:t>
              </w:r>
            </w:hyperlink>
            <w:hyperlink r:id="rId86">
              <w:r>
                <w:rPr>
                  <w:color w:val="0000FF"/>
                  <w:u w:val="single" w:color="0000FF"/>
                </w:rPr>
                <w:t>hyperactivity</w:t>
              </w:r>
            </w:hyperlink>
            <w:hyperlink r:id="rId87"/>
            <w:hyperlink r:id="rId88">
              <w:r>
                <w:rPr>
                  <w:color w:val="0000FF"/>
                  <w:u w:val="single" w:color="0000FF"/>
                </w:rPr>
                <w:t>disorder</w:t>
              </w:r>
            </w:hyperlink>
            <w:hyperlink r:id="rId89">
              <w:r>
                <w:rPr>
                  <w:color w:val="0000FF"/>
                  <w:u w:val="single" w:color="0000FF"/>
                </w:rPr>
                <w:t>-</w:t>
              </w:r>
            </w:hyperlink>
            <w:hyperlink r:id="rId90">
              <w:r>
                <w:rPr>
                  <w:color w:val="0000FF"/>
                  <w:u w:val="single" w:color="0000FF"/>
                </w:rPr>
                <w:t>adhd</w:t>
              </w:r>
            </w:hyperlink>
            <w:hyperlink r:id="rId91">
              <w:r>
                <w:t xml:space="preserve"> </w:t>
              </w:r>
            </w:hyperlink>
          </w:p>
          <w:p w14:paraId="03DAFD99" w14:textId="77777777" w:rsidR="00AB7245" w:rsidRDefault="00601FE5">
            <w:pPr>
              <w:numPr>
                <w:ilvl w:val="0"/>
                <w:numId w:val="13"/>
              </w:numPr>
              <w:ind w:hanging="360"/>
            </w:pPr>
            <w:r>
              <w:t xml:space="preserve">ADHD support groups </w:t>
            </w:r>
            <w:hyperlink r:id="rId92">
              <w:r>
                <w:rPr>
                  <w:color w:val="0000FF"/>
                  <w:u w:val="single" w:color="0000FF"/>
                </w:rPr>
                <w:t>Support Groups | The UK ADHD Partnership</w:t>
              </w:r>
            </w:hyperlink>
            <w:hyperlink r:id="rId93">
              <w:r>
                <w:rPr>
                  <w:b/>
                </w:rPr>
                <w:t xml:space="preserve"> </w:t>
              </w:r>
            </w:hyperlink>
          </w:p>
          <w:p w14:paraId="033F9B38" w14:textId="77777777" w:rsidR="00AB7245" w:rsidRDefault="00601FE5">
            <w:pPr>
              <w:numPr>
                <w:ilvl w:val="0"/>
                <w:numId w:val="13"/>
              </w:numPr>
              <w:ind w:hanging="360"/>
            </w:pPr>
            <w:hyperlink r:id="rId94">
              <w:r>
                <w:rPr>
                  <w:color w:val="0000FF"/>
                  <w:u w:val="single" w:color="0000FF"/>
                </w:rPr>
                <w:t>Patient leaflets | BMJ Best Practice</w:t>
              </w:r>
            </w:hyperlink>
            <w:hyperlink r:id="rId95">
              <w:r>
                <w:rPr>
                  <w:b/>
                </w:rPr>
                <w:t xml:space="preserve"> </w:t>
              </w:r>
            </w:hyperlink>
          </w:p>
          <w:p w14:paraId="3A327582" w14:textId="77777777" w:rsidR="00AB7245" w:rsidRDefault="00601FE5">
            <w:pPr>
              <w:numPr>
                <w:ilvl w:val="0"/>
                <w:numId w:val="13"/>
              </w:numPr>
              <w:spacing w:after="9"/>
              <w:ind w:hanging="360"/>
            </w:pPr>
            <w:hyperlink r:id="rId96">
              <w:r>
                <w:rPr>
                  <w:color w:val="0000FF"/>
                  <w:u w:val="single" w:color="0000FF"/>
                </w:rPr>
                <w:t>ADHD and hyperkinetic disorder for parents | Royal College of Psychiatrists (rcpsych.ac.uk)</w:t>
              </w:r>
            </w:hyperlink>
            <w:hyperlink r:id="rId97">
              <w:r>
                <w:rPr>
                  <w:b/>
                </w:rPr>
                <w:t xml:space="preserve"> </w:t>
              </w:r>
            </w:hyperlink>
          </w:p>
          <w:p w14:paraId="3CD2BE9E" w14:textId="77777777" w:rsidR="00AB7245" w:rsidRDefault="00601FE5">
            <w:pPr>
              <w:spacing w:after="38"/>
            </w:pPr>
            <w:r>
              <w:rPr>
                <w:b/>
              </w:rPr>
              <w:t xml:space="preserve"> </w:t>
            </w:r>
          </w:p>
          <w:p w14:paraId="7BE77B54" w14:textId="77777777" w:rsidR="00AB7245" w:rsidRDefault="00601FE5">
            <w:r>
              <w:rPr>
                <w:b/>
                <w:u w:val="single" w:color="000000"/>
              </w:rPr>
              <w:t>ADHD resources for children and young people, parents/carers and primary care professionals</w:t>
            </w:r>
            <w:r>
              <w:rPr>
                <w:b/>
              </w:rPr>
              <w:t xml:space="preserve">  </w:t>
            </w:r>
          </w:p>
          <w:p w14:paraId="7A732DBD" w14:textId="77777777" w:rsidR="00AB7245" w:rsidRDefault="00601FE5">
            <w:r>
              <w:rPr>
                <w:b/>
              </w:rPr>
              <w:t xml:space="preserve"> </w:t>
            </w:r>
          </w:p>
          <w:p w14:paraId="2FAE9EFA" w14:textId="77777777" w:rsidR="00AB7245" w:rsidRDefault="00601FE5">
            <w:pPr>
              <w:spacing w:line="239" w:lineRule="auto"/>
            </w:pPr>
            <w:r>
              <w:t>Working with the ADHD Foundation, we have launched new set of booklets for children, teenagers and their parents and carers. There are three separate booklets, each of which has a different focus:</w:t>
            </w:r>
            <w:r>
              <w:rPr>
                <w:b/>
              </w:rPr>
              <w:t xml:space="preserve"> </w:t>
            </w:r>
          </w:p>
          <w:p w14:paraId="5915A546" w14:textId="77777777" w:rsidR="00AB7245" w:rsidRDefault="00601FE5">
            <w:pPr>
              <w:numPr>
                <w:ilvl w:val="0"/>
                <w:numId w:val="13"/>
              </w:numPr>
              <w:spacing w:line="239" w:lineRule="auto"/>
              <w:ind w:hanging="360"/>
            </w:pPr>
            <w:r>
              <w:t xml:space="preserve">The children’s booklet is an interactive guide with 20 fun activities for children to help them focus, manage their emotions, and succeed </w:t>
            </w:r>
          </w:p>
          <w:p w14:paraId="2E726112" w14:textId="77777777" w:rsidR="00AB7245" w:rsidRDefault="00601FE5">
            <w:pPr>
              <w:numPr>
                <w:ilvl w:val="0"/>
                <w:numId w:val="13"/>
              </w:numPr>
              <w:spacing w:line="239" w:lineRule="auto"/>
              <w:ind w:hanging="360"/>
            </w:pPr>
            <w:r>
              <w:t xml:space="preserve">The teenager’s booklet is a guide and workbook with information and activities to support teenagers living with ADHD </w:t>
            </w:r>
          </w:p>
          <w:p w14:paraId="7502C5EE" w14:textId="77777777" w:rsidR="00AB7245" w:rsidRDefault="00601FE5">
            <w:pPr>
              <w:numPr>
                <w:ilvl w:val="0"/>
                <w:numId w:val="13"/>
              </w:numPr>
              <w:spacing w:after="281" w:line="239" w:lineRule="auto"/>
              <w:ind w:hanging="360"/>
            </w:pPr>
            <w:r>
              <w:t xml:space="preserve">The parents/carers booklet is an information and resource guide for parents and carers of children and young people with ADHD and may also be useful for health professionals including those working in primary care. </w:t>
            </w:r>
          </w:p>
          <w:p w14:paraId="067025DD" w14:textId="77777777" w:rsidR="00AB7245" w:rsidRDefault="00601FE5">
            <w:r>
              <w:t xml:space="preserve">All three booklets are available to share and download on the website: </w:t>
            </w:r>
          </w:p>
          <w:p w14:paraId="3BCB892B" w14:textId="29E53F24" w:rsidR="00AB7245" w:rsidRDefault="00601FE5" w:rsidP="00130D08">
            <w:pPr>
              <w:spacing w:after="256"/>
            </w:pPr>
            <w:hyperlink r:id="rId98">
              <w:r>
                <w:rPr>
                  <w:color w:val="0000FF"/>
                  <w:u w:val="single" w:color="0000FF"/>
                </w:rPr>
                <w:t>https://www.transformationpartnersinhealthandcare.nhs.uk/cyp</w:t>
              </w:r>
            </w:hyperlink>
            <w:hyperlink r:id="rId99">
              <w:r>
                <w:rPr>
                  <w:color w:val="0000FF"/>
                  <w:u w:val="single" w:color="0000FF"/>
                </w:rPr>
                <w:t>-</w:t>
              </w:r>
            </w:hyperlink>
            <w:hyperlink r:id="rId100">
              <w:r>
                <w:rPr>
                  <w:color w:val="0000FF"/>
                  <w:u w:val="single" w:color="0000FF"/>
                </w:rPr>
                <w:t>adhd</w:t>
              </w:r>
            </w:hyperlink>
            <w:hyperlink r:id="rId101">
              <w:r>
                <w:rPr>
                  <w:color w:val="0000FF"/>
                  <w:u w:val="single" w:color="0000FF"/>
                </w:rPr>
                <w:t>-</w:t>
              </w:r>
            </w:hyperlink>
            <w:hyperlink r:id="rId102">
              <w:r>
                <w:rPr>
                  <w:color w:val="0000FF"/>
                  <w:u w:val="single" w:color="0000FF"/>
                </w:rPr>
                <w:t>resources</w:t>
              </w:r>
            </w:hyperlink>
            <w:hyperlink r:id="rId103">
              <w:r>
                <w:rPr>
                  <w:color w:val="0000FF"/>
                </w:rPr>
                <w:t xml:space="preserve"> </w:t>
              </w:r>
            </w:hyperlink>
          </w:p>
        </w:tc>
      </w:tr>
    </w:tbl>
    <w:p w14:paraId="3B619A1C" w14:textId="77777777" w:rsidR="00AB7245" w:rsidRDefault="00AB7245">
      <w:pPr>
        <w:spacing w:after="0"/>
        <w:ind w:left="-1440" w:right="10466"/>
      </w:pPr>
    </w:p>
    <w:tbl>
      <w:tblPr>
        <w:tblStyle w:val="TableGrid"/>
        <w:tblW w:w="10914" w:type="dxa"/>
        <w:tblInd w:w="-943" w:type="dxa"/>
        <w:tblCellMar>
          <w:top w:w="55" w:type="dxa"/>
          <w:left w:w="106" w:type="dxa"/>
          <w:right w:w="73" w:type="dxa"/>
        </w:tblCellMar>
        <w:tblLook w:val="04A0" w:firstRow="1" w:lastRow="0" w:firstColumn="1" w:lastColumn="0" w:noHBand="0" w:noVBand="1"/>
      </w:tblPr>
      <w:tblGrid>
        <w:gridCol w:w="10914"/>
      </w:tblGrid>
      <w:tr w:rsidR="00AB7245" w14:paraId="3FBCF7BA" w14:textId="77777777">
        <w:trPr>
          <w:trHeight w:val="770"/>
        </w:trPr>
        <w:tc>
          <w:tcPr>
            <w:tcW w:w="10914" w:type="dxa"/>
            <w:tcBorders>
              <w:top w:val="single" w:sz="4" w:space="0" w:color="000000"/>
              <w:left w:val="single" w:sz="4" w:space="0" w:color="000000"/>
              <w:bottom w:val="nil"/>
              <w:right w:val="single" w:sz="4" w:space="0" w:color="000000"/>
            </w:tcBorders>
            <w:shd w:val="clear" w:color="auto" w:fill="F2F2F2"/>
          </w:tcPr>
          <w:p w14:paraId="2A61FB9D" w14:textId="77777777" w:rsidR="00AB7245" w:rsidRDefault="00601FE5">
            <w:pPr>
              <w:tabs>
                <w:tab w:val="center" w:pos="2627"/>
                <w:tab w:val="center" w:pos="5761"/>
                <w:tab w:val="center" w:pos="6481"/>
                <w:tab w:val="center" w:pos="7202"/>
                <w:tab w:val="center" w:pos="7922"/>
                <w:tab w:val="center" w:pos="9439"/>
              </w:tabs>
              <w:spacing w:after="36"/>
            </w:pPr>
            <w:r>
              <w:lastRenderedPageBreak/>
              <w:tab/>
            </w:r>
            <w:r>
              <w:rPr>
                <w:b/>
                <w:sz w:val="24"/>
              </w:rPr>
              <w:t xml:space="preserve">12. Pregnancy, paternal exposure and breast feeding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0BFE8EE7" w14:textId="77777777" w:rsidR="00AB7245" w:rsidRDefault="00601FE5">
            <w:r>
              <w:rPr>
                <w:sz w:val="24"/>
              </w:rPr>
              <w:t xml:space="preserve"> </w:t>
            </w:r>
          </w:p>
        </w:tc>
      </w:tr>
      <w:tr w:rsidR="00AB7245" w14:paraId="1E7AF345" w14:textId="77777777">
        <w:trPr>
          <w:trHeight w:val="7473"/>
        </w:trPr>
        <w:tc>
          <w:tcPr>
            <w:tcW w:w="10914" w:type="dxa"/>
            <w:tcBorders>
              <w:top w:val="nil"/>
              <w:left w:val="single" w:sz="4" w:space="0" w:color="000000"/>
              <w:bottom w:val="single" w:sz="4" w:space="0" w:color="000000"/>
              <w:right w:val="single" w:sz="4" w:space="0" w:color="000000"/>
            </w:tcBorders>
          </w:tcPr>
          <w:p w14:paraId="4F78832B" w14:textId="77777777" w:rsidR="00AB7245" w:rsidRDefault="00601FE5">
            <w:pPr>
              <w:spacing w:after="41" w:line="240" w:lineRule="auto"/>
            </w:pPr>
            <w:r>
              <w:rPr>
                <w:sz w:val="24"/>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r>
              <w:rPr>
                <w:b/>
              </w:rPr>
              <w:t xml:space="preserve"> </w:t>
            </w:r>
          </w:p>
          <w:p w14:paraId="5D4CF856" w14:textId="77777777" w:rsidR="00AB7245" w:rsidRDefault="00601FE5">
            <w:pPr>
              <w:spacing w:after="38"/>
            </w:pPr>
            <w:r>
              <w:rPr>
                <w:b/>
                <w:u w:val="single" w:color="000000"/>
              </w:rPr>
              <w:t>Pregnancy</w:t>
            </w:r>
            <w:r>
              <w:rPr>
                <w:b/>
              </w:rPr>
              <w:t xml:space="preserve">: </w:t>
            </w:r>
          </w:p>
          <w:p w14:paraId="6CDFF4C6" w14:textId="77777777" w:rsidR="00AB7245" w:rsidRDefault="00601FE5">
            <w:pPr>
              <w:spacing w:after="57" w:line="240" w:lineRule="auto"/>
              <w:ind w:right="20"/>
            </w:pPr>
            <w:r>
              <w:t xml:space="preserve">Dexamfetamine is not recommended for use during pregnancy. The limited data available shows a risk of premature birth and reduced birth weight. Infants may also develop withdrawal symptoms such as dysphoria, hyperexcitability and pronounced exhaustion.  </w:t>
            </w:r>
          </w:p>
          <w:p w14:paraId="66BE4198" w14:textId="77777777" w:rsidR="00AB7245" w:rsidRDefault="00601FE5">
            <w:pPr>
              <w:spacing w:after="151" w:line="239" w:lineRule="auto"/>
            </w:pPr>
            <w:r>
              <w:t xml:space="preserve">If a patient becomes pregnant or is planning a pregnancy during treatment, they should discuss treatment options with their specialist. The specialist will reassume prescribing responsibility, ending the shared care agreement.  </w:t>
            </w:r>
          </w:p>
          <w:p w14:paraId="2BE75330" w14:textId="77777777" w:rsidR="00AB7245" w:rsidRDefault="00601FE5">
            <w:pPr>
              <w:spacing w:after="199" w:line="321" w:lineRule="auto"/>
            </w:pPr>
            <w:r>
              <w:t xml:space="preserve">Healthcare professional information available from: </w:t>
            </w:r>
            <w:hyperlink r:id="rId104">
              <w:r>
                <w:rPr>
                  <w:color w:val="0000FF"/>
                  <w:u w:val="single" w:color="0000FF"/>
                </w:rPr>
                <w:t>https://www.medicinesinpregnancy.org/bumps/monographs/USE</w:t>
              </w:r>
            </w:hyperlink>
            <w:hyperlink r:id="rId105"/>
            <w:hyperlink r:id="rId106">
              <w:r>
                <w:rPr>
                  <w:color w:val="0000FF"/>
                  <w:u w:val="single" w:color="0000FF"/>
                </w:rPr>
                <w:t>OF</w:t>
              </w:r>
            </w:hyperlink>
            <w:hyperlink r:id="rId107">
              <w:r>
                <w:rPr>
                  <w:color w:val="0000FF"/>
                  <w:u w:val="single" w:color="0000FF"/>
                </w:rPr>
                <w:t>-</w:t>
              </w:r>
            </w:hyperlink>
            <w:hyperlink r:id="rId108">
              <w:r>
                <w:rPr>
                  <w:color w:val="0000FF"/>
                  <w:u w:val="single" w:color="0000FF"/>
                </w:rPr>
                <w:t>AMFETAMINES</w:t>
              </w:r>
            </w:hyperlink>
            <w:hyperlink r:id="rId109">
              <w:r>
                <w:rPr>
                  <w:color w:val="0000FF"/>
                  <w:u w:val="single" w:color="0000FF"/>
                </w:rPr>
                <w:t>-</w:t>
              </w:r>
            </w:hyperlink>
            <w:hyperlink r:id="rId110">
              <w:r>
                <w:rPr>
                  <w:color w:val="0000FF"/>
                  <w:u w:val="single" w:color="0000FF"/>
                </w:rPr>
                <w:t>IN</w:t>
              </w:r>
            </w:hyperlink>
            <w:hyperlink r:id="rId111">
              <w:r>
                <w:rPr>
                  <w:color w:val="0000FF"/>
                  <w:u w:val="single" w:color="0000FF"/>
                </w:rPr>
                <w:t>-</w:t>
              </w:r>
            </w:hyperlink>
            <w:hyperlink r:id="rId112">
              <w:r>
                <w:rPr>
                  <w:color w:val="0000FF"/>
                  <w:u w:val="single" w:color="0000FF"/>
                </w:rPr>
                <w:t>PREGNANCY/</w:t>
              </w:r>
            </w:hyperlink>
            <w:hyperlink r:id="rId113">
              <w:r>
                <w:t xml:space="preserve"> </w:t>
              </w:r>
            </w:hyperlink>
            <w:r>
              <w:t xml:space="preserve"> </w:t>
            </w:r>
          </w:p>
          <w:p w14:paraId="646F32A6" w14:textId="77777777" w:rsidR="00AB7245" w:rsidRDefault="00601FE5">
            <w:pPr>
              <w:spacing w:after="38"/>
            </w:pPr>
            <w:r>
              <w:rPr>
                <w:b/>
                <w:u w:val="single" w:color="000000"/>
              </w:rPr>
              <w:t>Breastfeeding</w:t>
            </w:r>
            <w:r>
              <w:rPr>
                <w:b/>
              </w:rPr>
              <w:t xml:space="preserve">: </w:t>
            </w:r>
          </w:p>
          <w:p w14:paraId="18F6FED2" w14:textId="77777777" w:rsidR="00AB7245" w:rsidRDefault="00601FE5">
            <w:pPr>
              <w:spacing w:after="149" w:line="239" w:lineRule="auto"/>
            </w:pPr>
            <w:r>
              <w:t xml:space="preserve">Dexamfetamine is excreted in human milk, therefore a risk to infants cannot be excluded. A decision must be made whether to discontinue breast-feeding or to discontinue/abstain from dexamfetamine, taking into account the benefit of breast feeding for the child and the benefit of therapy for the woman. High doses may interfere with lactation, although this is not confirmed in practice. If breastfeeding does take place, infants should be monitored for symptoms of CNS stimulation (e.g. decreased appetite/weight gain, sleep disturbances, irritability), although these may be difficult to detect.  </w:t>
            </w:r>
          </w:p>
          <w:p w14:paraId="569A8312" w14:textId="77777777" w:rsidR="00AB7245" w:rsidRDefault="00601FE5">
            <w:pPr>
              <w:spacing w:after="199" w:line="321" w:lineRule="auto"/>
            </w:pPr>
            <w:r>
              <w:t xml:space="preserve">Healthcare professional information available from: </w:t>
            </w:r>
            <w:hyperlink r:id="rId114">
              <w:r>
                <w:rPr>
                  <w:color w:val="0000FF"/>
                  <w:u w:val="single" w:color="0000FF"/>
                </w:rPr>
                <w:t>https://www.sps.nhs.uk/articles/safety</w:t>
              </w:r>
            </w:hyperlink>
            <w:hyperlink r:id="rId115">
              <w:r>
                <w:rPr>
                  <w:color w:val="0000FF"/>
                  <w:u w:val="single" w:color="0000FF"/>
                </w:rPr>
                <w:t>-</w:t>
              </w:r>
            </w:hyperlink>
            <w:hyperlink r:id="rId116">
              <w:r>
                <w:rPr>
                  <w:color w:val="0000FF"/>
                  <w:u w:val="single" w:color="0000FF"/>
                </w:rPr>
                <w:t>in</w:t>
              </w:r>
            </w:hyperlink>
            <w:hyperlink r:id="rId117">
              <w:r>
                <w:rPr>
                  <w:color w:val="0000FF"/>
                  <w:u w:val="single" w:color="0000FF"/>
                </w:rPr>
                <w:t>-</w:t>
              </w:r>
            </w:hyperlink>
            <w:hyperlink r:id="rId118">
              <w:r>
                <w:rPr>
                  <w:color w:val="0000FF"/>
                  <w:u w:val="single" w:color="0000FF"/>
                </w:rPr>
                <w:t>lactation</w:t>
              </w:r>
            </w:hyperlink>
            <w:hyperlink r:id="rId119">
              <w:r>
                <w:rPr>
                  <w:color w:val="0000FF"/>
                  <w:u w:val="single" w:color="0000FF"/>
                </w:rPr>
                <w:t>-</w:t>
              </w:r>
            </w:hyperlink>
            <w:hyperlink r:id="rId120">
              <w:r>
                <w:rPr>
                  <w:color w:val="0000FF"/>
                  <w:u w:val="single" w:color="0000FF"/>
                </w:rPr>
                <w:t>drugs</w:t>
              </w:r>
            </w:hyperlink>
            <w:hyperlink r:id="rId121">
              <w:r>
                <w:rPr>
                  <w:color w:val="0000FF"/>
                  <w:u w:val="single" w:color="0000FF"/>
                </w:rPr>
                <w:t>-</w:t>
              </w:r>
            </w:hyperlink>
            <w:hyperlink r:id="rId122">
              <w:r>
                <w:rPr>
                  <w:color w:val="0000FF"/>
                  <w:u w:val="single" w:color="0000FF"/>
                </w:rPr>
                <w:t>for</w:t>
              </w:r>
            </w:hyperlink>
            <w:hyperlink r:id="rId123"/>
            <w:hyperlink r:id="rId124">
              <w:r>
                <w:rPr>
                  <w:color w:val="0000FF"/>
                  <w:u w:val="single" w:color="0000FF"/>
                </w:rPr>
                <w:t>adhd/</w:t>
              </w:r>
            </w:hyperlink>
            <w:hyperlink r:id="rId125">
              <w:r>
                <w:t xml:space="preserve"> </w:t>
              </w:r>
            </w:hyperlink>
            <w:r>
              <w:t xml:space="preserve"> </w:t>
            </w:r>
          </w:p>
          <w:p w14:paraId="00A34001" w14:textId="77777777" w:rsidR="00AB7245" w:rsidRDefault="00601FE5">
            <w:pPr>
              <w:spacing w:after="38"/>
            </w:pPr>
            <w:r>
              <w:rPr>
                <w:b/>
                <w:u w:val="single" w:color="000000"/>
              </w:rPr>
              <w:t>Paternal exposure</w:t>
            </w:r>
            <w:r>
              <w:t xml:space="preserve">: </w:t>
            </w:r>
          </w:p>
          <w:p w14:paraId="11DB2083" w14:textId="77777777" w:rsidR="00AB7245" w:rsidRDefault="00601FE5">
            <w:r>
              <w:t xml:space="preserve">No evidence regarding adverse outcomes following paternal exposure was identified.  </w:t>
            </w:r>
            <w:r>
              <w:rPr>
                <w:b/>
              </w:rPr>
              <w:t xml:space="preserve"> </w:t>
            </w:r>
          </w:p>
        </w:tc>
      </w:tr>
      <w:tr w:rsidR="00AB7245" w14:paraId="171D4666" w14:textId="77777777">
        <w:trPr>
          <w:trHeight w:val="710"/>
        </w:trPr>
        <w:tc>
          <w:tcPr>
            <w:tcW w:w="10914" w:type="dxa"/>
            <w:tcBorders>
              <w:top w:val="single" w:sz="4" w:space="0" w:color="000000"/>
              <w:left w:val="single" w:sz="4" w:space="0" w:color="000000"/>
              <w:bottom w:val="nil"/>
              <w:right w:val="single" w:sz="4" w:space="0" w:color="000000"/>
            </w:tcBorders>
            <w:shd w:val="clear" w:color="auto" w:fill="F2F2F2"/>
          </w:tcPr>
          <w:p w14:paraId="6DD36D73" w14:textId="77777777" w:rsidR="00AB7245" w:rsidRDefault="00601FE5">
            <w:pPr>
              <w:tabs>
                <w:tab w:val="center" w:pos="2204"/>
                <w:tab w:val="center" w:pos="5041"/>
                <w:tab w:val="center" w:pos="5761"/>
                <w:tab w:val="center" w:pos="6481"/>
                <w:tab w:val="center" w:pos="7202"/>
                <w:tab w:val="center" w:pos="7922"/>
                <w:tab w:val="center" w:pos="8642"/>
                <w:tab w:val="center" w:pos="9362"/>
                <w:tab w:val="center" w:pos="10082"/>
              </w:tabs>
            </w:pPr>
            <w:r>
              <w:tab/>
            </w:r>
            <w:r>
              <w:rPr>
                <w:b/>
                <w:sz w:val="24"/>
              </w:rPr>
              <w:t xml:space="preserve">13. Specialist prescriber contact information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p w14:paraId="631AD2FE" w14:textId="77777777" w:rsidR="00AB7245" w:rsidRDefault="00601FE5">
            <w:r>
              <w:rPr>
                <w:color w:val="0000FF"/>
                <w:sz w:val="24"/>
                <w:u w:val="single" w:color="0000FF"/>
              </w:rPr>
              <w:t>Back to top</w:t>
            </w:r>
            <w:r>
              <w:t xml:space="preserve"> </w:t>
            </w:r>
          </w:p>
        </w:tc>
      </w:tr>
      <w:tr w:rsidR="00AB7245" w14:paraId="00DB381A" w14:textId="77777777">
        <w:trPr>
          <w:trHeight w:val="2039"/>
        </w:trPr>
        <w:tc>
          <w:tcPr>
            <w:tcW w:w="10914" w:type="dxa"/>
            <w:tcBorders>
              <w:top w:val="nil"/>
              <w:left w:val="single" w:sz="4" w:space="0" w:color="000000"/>
              <w:bottom w:val="single" w:sz="4" w:space="0" w:color="000000"/>
              <w:right w:val="single" w:sz="4" w:space="0" w:color="000000"/>
            </w:tcBorders>
          </w:tcPr>
          <w:p w14:paraId="59226EA6" w14:textId="77777777" w:rsidR="00AB7245" w:rsidRDefault="00601FE5">
            <w:pPr>
              <w:spacing w:after="38"/>
            </w:pPr>
            <w:r>
              <w:t xml:space="preserve">Name: </w:t>
            </w:r>
            <w:permStart w:id="1472876788" w:edGrp="everyone"/>
            <w:r>
              <w:rPr>
                <w:i/>
              </w:rPr>
              <w:t xml:space="preserve">[insert name] </w:t>
            </w:r>
            <w:permEnd w:id="1472876788"/>
          </w:p>
          <w:p w14:paraId="18FBCDF8" w14:textId="77777777" w:rsidR="00AB7245" w:rsidRDefault="00601FE5">
            <w:pPr>
              <w:spacing w:after="38"/>
            </w:pPr>
            <w:r>
              <w:t xml:space="preserve">Role and specialty: </w:t>
            </w:r>
            <w:permStart w:id="117911715" w:edGrp="everyone"/>
            <w:r>
              <w:rPr>
                <w:i/>
              </w:rPr>
              <w:t>[insert role and specialty]</w:t>
            </w:r>
            <w:r>
              <w:t xml:space="preserve"> </w:t>
            </w:r>
            <w:permEnd w:id="117911715"/>
          </w:p>
          <w:p w14:paraId="0F1959A5" w14:textId="77777777" w:rsidR="00AB7245" w:rsidRDefault="00601FE5">
            <w:pPr>
              <w:spacing w:after="38"/>
            </w:pPr>
            <w:r>
              <w:t xml:space="preserve">Daytime telephone number: </w:t>
            </w:r>
            <w:permStart w:id="200229902" w:edGrp="everyone"/>
            <w:r>
              <w:rPr>
                <w:i/>
              </w:rPr>
              <w:t xml:space="preserve">[insert daytime telephone number] </w:t>
            </w:r>
          </w:p>
          <w:permEnd w:id="200229902"/>
          <w:p w14:paraId="5A90CB68" w14:textId="77777777" w:rsidR="00AB7245" w:rsidRDefault="00601FE5">
            <w:pPr>
              <w:spacing w:after="38"/>
            </w:pPr>
            <w:r>
              <w:t xml:space="preserve">Email address: </w:t>
            </w:r>
            <w:permStart w:id="2060275720" w:edGrp="everyone"/>
            <w:r>
              <w:rPr>
                <w:i/>
              </w:rPr>
              <w:t xml:space="preserve">[insert email address] </w:t>
            </w:r>
            <w:permEnd w:id="2060275720"/>
          </w:p>
          <w:p w14:paraId="7FD84505" w14:textId="77777777" w:rsidR="00AB7245" w:rsidRDefault="00601FE5">
            <w:pPr>
              <w:spacing w:after="38"/>
            </w:pPr>
            <w:r>
              <w:t xml:space="preserve">Alternative contact: </w:t>
            </w:r>
            <w:permStart w:id="1730702355" w:edGrp="everyone"/>
            <w:r>
              <w:rPr>
                <w:i/>
              </w:rPr>
              <w:t>[insert contact information, e.g. for clinic or specialist nurse]</w:t>
            </w:r>
            <w:r>
              <w:t xml:space="preserve"> </w:t>
            </w:r>
            <w:permEnd w:id="1730702355"/>
          </w:p>
          <w:p w14:paraId="26DCD4C4" w14:textId="77777777" w:rsidR="00AB7245" w:rsidRDefault="00601FE5">
            <w:r>
              <w:t xml:space="preserve">Out of hours contact details: </w:t>
            </w:r>
            <w:permStart w:id="74397325" w:edGrp="everyone"/>
            <w:r>
              <w:rPr>
                <w:i/>
              </w:rPr>
              <w:t>[insert contact information, e.g. for duty doctor]</w:t>
            </w:r>
            <w:r>
              <w:t xml:space="preserve"> </w:t>
            </w:r>
            <w:permEnd w:id="74397325"/>
          </w:p>
        </w:tc>
      </w:tr>
      <w:tr w:rsidR="00AB7245" w14:paraId="32164CBB" w14:textId="77777777">
        <w:trPr>
          <w:trHeight w:val="416"/>
        </w:trPr>
        <w:tc>
          <w:tcPr>
            <w:tcW w:w="10914" w:type="dxa"/>
            <w:tcBorders>
              <w:top w:val="single" w:sz="4" w:space="0" w:color="000000"/>
              <w:left w:val="single" w:sz="4" w:space="0" w:color="000000"/>
              <w:bottom w:val="nil"/>
              <w:right w:val="single" w:sz="4" w:space="0" w:color="000000"/>
            </w:tcBorders>
            <w:shd w:val="clear" w:color="auto" w:fill="F2F2F2"/>
          </w:tcPr>
          <w:p w14:paraId="7503E933" w14:textId="77777777" w:rsidR="00AB7245" w:rsidRDefault="00601FE5">
            <w:pPr>
              <w:tabs>
                <w:tab w:val="center" w:pos="1323"/>
                <w:tab w:val="center" w:pos="2881"/>
                <w:tab w:val="center" w:pos="3601"/>
                <w:tab w:val="center" w:pos="4321"/>
                <w:tab w:val="center" w:pos="5041"/>
                <w:tab w:val="center" w:pos="5761"/>
                <w:tab w:val="center" w:pos="6481"/>
                <w:tab w:val="center" w:pos="7202"/>
                <w:tab w:val="center" w:pos="7922"/>
                <w:tab w:val="center" w:pos="9439"/>
              </w:tabs>
            </w:pPr>
            <w:r>
              <w:tab/>
            </w:r>
            <w:r>
              <w:rPr>
                <w:b/>
                <w:sz w:val="24"/>
              </w:rPr>
              <w:t xml:space="preserve">14. Additional information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0"/>
              </w:rPr>
              <w:t xml:space="preserve"> </w:t>
            </w:r>
          </w:p>
        </w:tc>
      </w:tr>
      <w:tr w:rsidR="00AB7245" w14:paraId="04069748" w14:textId="77777777">
        <w:trPr>
          <w:trHeight w:val="933"/>
        </w:trPr>
        <w:tc>
          <w:tcPr>
            <w:tcW w:w="10914" w:type="dxa"/>
            <w:tcBorders>
              <w:top w:val="nil"/>
              <w:left w:val="single" w:sz="4" w:space="0" w:color="000000"/>
              <w:bottom w:val="single" w:sz="4" w:space="0" w:color="000000"/>
              <w:right w:val="single" w:sz="4" w:space="0" w:color="000000"/>
            </w:tcBorders>
          </w:tcPr>
          <w:p w14:paraId="1C8A630C" w14:textId="77777777" w:rsidR="00AB7245" w:rsidRDefault="00601FE5">
            <w:r>
              <w:t xml:space="preserve">Where patient care is transferred from one specialist service or GP practice to another, a new shared care agreement must be completed. Ensure that the specialist is informed in writing of any changes to the patient’s GP or their contact details. </w:t>
            </w:r>
          </w:p>
        </w:tc>
      </w:tr>
      <w:tr w:rsidR="00AB7245" w14:paraId="2166F38E" w14:textId="77777777">
        <w:trPr>
          <w:trHeight w:val="416"/>
        </w:trPr>
        <w:tc>
          <w:tcPr>
            <w:tcW w:w="10914" w:type="dxa"/>
            <w:tcBorders>
              <w:top w:val="single" w:sz="4" w:space="0" w:color="000000"/>
              <w:left w:val="single" w:sz="4" w:space="0" w:color="000000"/>
              <w:bottom w:val="nil"/>
              <w:right w:val="single" w:sz="4" w:space="0" w:color="000000"/>
            </w:tcBorders>
            <w:shd w:val="clear" w:color="auto" w:fill="F2F2F2"/>
          </w:tcPr>
          <w:p w14:paraId="0BE6696B" w14:textId="77777777" w:rsidR="00AB7245" w:rsidRDefault="00601FE5">
            <w:pPr>
              <w:tabs>
                <w:tab w:val="center" w:pos="734"/>
                <w:tab w:val="center" w:pos="2160"/>
                <w:tab w:val="center" w:pos="2881"/>
                <w:tab w:val="center" w:pos="3601"/>
                <w:tab w:val="center" w:pos="4321"/>
                <w:tab w:val="center" w:pos="5041"/>
                <w:tab w:val="center" w:pos="5761"/>
                <w:tab w:val="center" w:pos="6481"/>
                <w:tab w:val="center" w:pos="7202"/>
                <w:tab w:val="center" w:pos="7922"/>
                <w:tab w:val="center" w:pos="9439"/>
              </w:tabs>
            </w:pPr>
            <w:r>
              <w:tab/>
            </w:r>
            <w:r>
              <w:rPr>
                <w:b/>
                <w:sz w:val="24"/>
              </w:rPr>
              <w:t xml:space="preserve">15. References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sz w:val="24"/>
              </w:rPr>
              <w:t xml:space="preserve"> </w:t>
            </w:r>
          </w:p>
        </w:tc>
      </w:tr>
      <w:tr w:rsidR="00AB7245" w14:paraId="0F37B430" w14:textId="77777777">
        <w:trPr>
          <w:trHeight w:val="286"/>
        </w:trPr>
        <w:tc>
          <w:tcPr>
            <w:tcW w:w="10914" w:type="dxa"/>
            <w:tcBorders>
              <w:top w:val="nil"/>
              <w:left w:val="single" w:sz="4" w:space="0" w:color="000000"/>
              <w:bottom w:val="single" w:sz="4" w:space="0" w:color="000000"/>
              <w:right w:val="single" w:sz="4" w:space="0" w:color="000000"/>
            </w:tcBorders>
          </w:tcPr>
          <w:p w14:paraId="059A6595" w14:textId="77777777" w:rsidR="00AB7245" w:rsidRDefault="00601FE5">
            <w:pPr>
              <w:tabs>
                <w:tab w:val="center" w:pos="51"/>
                <w:tab w:val="center" w:pos="4946"/>
              </w:tabs>
            </w:pPr>
            <w:r>
              <w:lastRenderedPageBreak/>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eBNFc Dexamfetamine Accessed via</w:t>
            </w:r>
            <w:hyperlink r:id="rId126">
              <w:r>
                <w:t xml:space="preserve"> </w:t>
              </w:r>
            </w:hyperlink>
            <w:hyperlink r:id="rId127">
              <w:r>
                <w:rPr>
                  <w:color w:val="0000FF"/>
                  <w:u w:val="single" w:color="0000FF"/>
                </w:rPr>
                <w:t>Dexamfetamine sulfate | Drugs | BNFC | NICE</w:t>
              </w:r>
            </w:hyperlink>
            <w:hyperlink r:id="rId128">
              <w:r>
                <w:t xml:space="preserve"> </w:t>
              </w:r>
            </w:hyperlink>
            <w:r>
              <w:t xml:space="preserve">accessed 22/11/22. </w:t>
            </w:r>
          </w:p>
        </w:tc>
      </w:tr>
    </w:tbl>
    <w:p w14:paraId="67084B9C" w14:textId="77777777" w:rsidR="00AB7245" w:rsidRDefault="00AB7245">
      <w:pPr>
        <w:spacing w:after="0"/>
        <w:ind w:left="-1440" w:right="10466"/>
      </w:pPr>
    </w:p>
    <w:tbl>
      <w:tblPr>
        <w:tblStyle w:val="TableGrid"/>
        <w:tblW w:w="10914" w:type="dxa"/>
        <w:tblInd w:w="-943" w:type="dxa"/>
        <w:tblCellMar>
          <w:top w:w="6" w:type="dxa"/>
          <w:right w:w="115" w:type="dxa"/>
        </w:tblCellMar>
        <w:tblLook w:val="04A0" w:firstRow="1" w:lastRow="0" w:firstColumn="1" w:lastColumn="0" w:noHBand="0" w:noVBand="1"/>
      </w:tblPr>
      <w:tblGrid>
        <w:gridCol w:w="10914"/>
      </w:tblGrid>
      <w:tr w:rsidR="00AB7245" w14:paraId="5433402E" w14:textId="77777777">
        <w:trPr>
          <w:trHeight w:val="4290"/>
        </w:trPr>
        <w:tc>
          <w:tcPr>
            <w:tcW w:w="10914" w:type="dxa"/>
            <w:tcBorders>
              <w:top w:val="nil"/>
              <w:left w:val="single" w:sz="4" w:space="0" w:color="000000"/>
              <w:bottom w:val="single" w:sz="4" w:space="0" w:color="000000"/>
              <w:right w:val="single" w:sz="4" w:space="0" w:color="000000"/>
            </w:tcBorders>
          </w:tcPr>
          <w:p w14:paraId="44498606" w14:textId="77777777" w:rsidR="00AB7245" w:rsidRDefault="00601FE5">
            <w:pPr>
              <w:numPr>
                <w:ilvl w:val="0"/>
                <w:numId w:val="14"/>
              </w:numPr>
              <w:spacing w:after="46" w:line="240" w:lineRule="auto"/>
              <w:ind w:hanging="360"/>
            </w:pPr>
            <w:r>
              <w:t xml:space="preserve">Dexamfetamine sulfate 20 mg tablets Date of last update 02/05/22. Accessed via </w:t>
            </w:r>
            <w:hyperlink r:id="rId129">
              <w:r>
                <w:rPr>
                  <w:color w:val="0000FF"/>
                  <w:u w:val="single" w:color="0000FF"/>
                </w:rPr>
                <w:t>Dexamfetamine Sulfate 5 mg</w:t>
              </w:r>
            </w:hyperlink>
            <w:hyperlink r:id="rId130">
              <w:r>
                <w:rPr>
                  <w:color w:val="0000FF"/>
                </w:rPr>
                <w:t xml:space="preserve"> </w:t>
              </w:r>
            </w:hyperlink>
            <w:hyperlink r:id="rId131">
              <w:r>
                <w:rPr>
                  <w:color w:val="0000FF"/>
                  <w:u w:val="single" w:color="0000FF"/>
                </w:rPr>
                <w:t xml:space="preserve">Tablets </w:t>
              </w:r>
            </w:hyperlink>
            <w:hyperlink r:id="rId132">
              <w:r>
                <w:rPr>
                  <w:color w:val="0000FF"/>
                  <w:u w:val="single" w:color="0000FF"/>
                </w:rPr>
                <w:t xml:space="preserve">- </w:t>
              </w:r>
            </w:hyperlink>
            <w:hyperlink r:id="rId133">
              <w:r>
                <w:rPr>
                  <w:color w:val="0000FF"/>
                  <w:u w:val="single" w:color="0000FF"/>
                </w:rPr>
                <w:t xml:space="preserve">Summary of Product Characteristics (SmPC) </w:t>
              </w:r>
            </w:hyperlink>
            <w:hyperlink r:id="rId134">
              <w:r>
                <w:rPr>
                  <w:color w:val="0000FF"/>
                  <w:u w:val="single" w:color="0000FF"/>
                </w:rPr>
                <w:t xml:space="preserve">- </w:t>
              </w:r>
            </w:hyperlink>
            <w:hyperlink r:id="rId135">
              <w:r>
                <w:rPr>
                  <w:color w:val="0000FF"/>
                  <w:u w:val="single" w:color="0000FF"/>
                </w:rPr>
                <w:t>(emc) (medicines.org.uk)</w:t>
              </w:r>
            </w:hyperlink>
            <w:hyperlink r:id="rId136">
              <w:r>
                <w:t>2</w:t>
              </w:r>
            </w:hyperlink>
            <w:r>
              <w:t xml:space="preserve">1/11/2022. </w:t>
            </w:r>
          </w:p>
          <w:p w14:paraId="53A772AA" w14:textId="77777777" w:rsidR="00AB7245" w:rsidRDefault="00601FE5">
            <w:pPr>
              <w:numPr>
                <w:ilvl w:val="0"/>
                <w:numId w:val="14"/>
              </w:numPr>
              <w:spacing w:after="46" w:line="240" w:lineRule="auto"/>
              <w:ind w:hanging="360"/>
            </w:pPr>
            <w:r>
              <w:t xml:space="preserve">NICE NG87: Attention deficit hyperactivity disorder: diagnosis and management. Last updated September 2019. Accessed via </w:t>
            </w:r>
            <w:hyperlink r:id="rId137">
              <w:r>
                <w:rPr>
                  <w:color w:val="0000FF"/>
                  <w:u w:val="single" w:color="0000FF"/>
                </w:rPr>
                <w:t>https://www.nice.org.uk/guidance/ng87/</w:t>
              </w:r>
            </w:hyperlink>
            <w:hyperlink r:id="rId138">
              <w:r>
                <w:t xml:space="preserve"> </w:t>
              </w:r>
            </w:hyperlink>
            <w:r>
              <w:t xml:space="preserve">on 21/11/2022. </w:t>
            </w:r>
          </w:p>
          <w:p w14:paraId="59E6BF78" w14:textId="77777777" w:rsidR="00AB7245" w:rsidRDefault="00601FE5">
            <w:pPr>
              <w:numPr>
                <w:ilvl w:val="0"/>
                <w:numId w:val="14"/>
              </w:numPr>
              <w:spacing w:after="48" w:line="237" w:lineRule="auto"/>
              <w:ind w:hanging="360"/>
            </w:pPr>
            <w:r>
              <w:t xml:space="preserve">NICE NG43: Transition from children to adults’ services for young people using health or social care services. Last updated February 2016. Accessed via </w:t>
            </w:r>
            <w:hyperlink r:id="rId139">
              <w:r>
                <w:rPr>
                  <w:color w:val="0000FF"/>
                  <w:u w:val="single" w:color="0000FF"/>
                </w:rPr>
                <w:t>https://www.nice.org.uk/guidance/ng43/</w:t>
              </w:r>
            </w:hyperlink>
            <w:hyperlink r:id="rId140">
              <w:r>
                <w:t xml:space="preserve"> </w:t>
              </w:r>
            </w:hyperlink>
            <w:r>
              <w:t xml:space="preserve">on 21/11/2022. </w:t>
            </w:r>
          </w:p>
          <w:p w14:paraId="044C4506" w14:textId="77777777" w:rsidR="00AB7245" w:rsidRDefault="00601FE5">
            <w:pPr>
              <w:numPr>
                <w:ilvl w:val="0"/>
                <w:numId w:val="14"/>
              </w:numPr>
              <w:spacing w:after="106" w:line="240" w:lineRule="auto"/>
              <w:ind w:hanging="360"/>
            </w:pPr>
            <w:r>
              <w:t xml:space="preserve">Specialist Pharmacy Service. Safety in Lactation: Drugs for ADHD. Last updated October 2020. Accessed via </w:t>
            </w:r>
            <w:hyperlink r:id="rId141">
              <w:r>
                <w:rPr>
                  <w:color w:val="0000FF"/>
                  <w:u w:val="single" w:color="0000FF"/>
                </w:rPr>
                <w:t>https://www.sps.nhs.uk/articles/safety</w:t>
              </w:r>
            </w:hyperlink>
            <w:hyperlink r:id="rId142">
              <w:r>
                <w:rPr>
                  <w:color w:val="0000FF"/>
                  <w:u w:val="single" w:color="0000FF"/>
                </w:rPr>
                <w:t>-</w:t>
              </w:r>
            </w:hyperlink>
            <w:hyperlink r:id="rId143">
              <w:r>
                <w:rPr>
                  <w:color w:val="0000FF"/>
                  <w:u w:val="single" w:color="0000FF"/>
                </w:rPr>
                <w:t>in</w:t>
              </w:r>
            </w:hyperlink>
            <w:hyperlink r:id="rId144">
              <w:r>
                <w:rPr>
                  <w:color w:val="0000FF"/>
                  <w:u w:val="single" w:color="0000FF"/>
                </w:rPr>
                <w:t>-</w:t>
              </w:r>
            </w:hyperlink>
            <w:hyperlink r:id="rId145">
              <w:r>
                <w:rPr>
                  <w:color w:val="0000FF"/>
                  <w:u w:val="single" w:color="0000FF"/>
                </w:rPr>
                <w:t>lactation</w:t>
              </w:r>
            </w:hyperlink>
            <w:hyperlink r:id="rId146">
              <w:r>
                <w:rPr>
                  <w:color w:val="0000FF"/>
                  <w:u w:val="single" w:color="0000FF"/>
                </w:rPr>
                <w:t>-</w:t>
              </w:r>
            </w:hyperlink>
            <w:hyperlink r:id="rId147">
              <w:r>
                <w:rPr>
                  <w:color w:val="0000FF"/>
                  <w:u w:val="single" w:color="0000FF"/>
                </w:rPr>
                <w:t>drugs</w:t>
              </w:r>
            </w:hyperlink>
            <w:hyperlink r:id="rId148">
              <w:r>
                <w:rPr>
                  <w:color w:val="0000FF"/>
                  <w:u w:val="single" w:color="0000FF"/>
                </w:rPr>
                <w:t>-</w:t>
              </w:r>
            </w:hyperlink>
            <w:hyperlink r:id="rId149">
              <w:r>
                <w:rPr>
                  <w:color w:val="0000FF"/>
                  <w:u w:val="single" w:color="0000FF"/>
                </w:rPr>
                <w:t>for</w:t>
              </w:r>
            </w:hyperlink>
            <w:hyperlink r:id="rId150">
              <w:r>
                <w:rPr>
                  <w:color w:val="0000FF"/>
                  <w:u w:val="single" w:color="0000FF"/>
                </w:rPr>
                <w:t>-</w:t>
              </w:r>
            </w:hyperlink>
            <w:hyperlink r:id="rId151">
              <w:r>
                <w:rPr>
                  <w:color w:val="0000FF"/>
                  <w:u w:val="single" w:color="0000FF"/>
                </w:rPr>
                <w:t>adhd/</w:t>
              </w:r>
            </w:hyperlink>
            <w:hyperlink r:id="rId152">
              <w:r>
                <w:t xml:space="preserve"> </w:t>
              </w:r>
            </w:hyperlink>
            <w:r>
              <w:t xml:space="preserve">on 21/11/2022. </w:t>
            </w:r>
          </w:p>
          <w:p w14:paraId="7D00B644" w14:textId="77777777" w:rsidR="00AB7245" w:rsidRDefault="00601FE5">
            <w:pPr>
              <w:numPr>
                <w:ilvl w:val="0"/>
                <w:numId w:val="14"/>
              </w:numPr>
              <w:spacing w:after="103" w:line="276" w:lineRule="auto"/>
              <w:ind w:hanging="360"/>
            </w:pPr>
            <w:r>
              <w:t xml:space="preserve">NICE. NG46: Controlled drugs: safe use and management. April 2016. Accessed via </w:t>
            </w:r>
            <w:hyperlink r:id="rId153">
              <w:r>
                <w:rPr>
                  <w:color w:val="0000FF"/>
                  <w:u w:val="single" w:color="0000FF"/>
                </w:rPr>
                <w:t>Overview | Controlled drugs:</w:t>
              </w:r>
            </w:hyperlink>
            <w:hyperlink r:id="rId154">
              <w:r>
                <w:rPr>
                  <w:color w:val="0000FF"/>
                </w:rPr>
                <w:t xml:space="preserve"> </w:t>
              </w:r>
            </w:hyperlink>
            <w:hyperlink r:id="rId155">
              <w:r>
                <w:rPr>
                  <w:color w:val="0000FF"/>
                  <w:u w:val="single" w:color="0000FF"/>
                </w:rPr>
                <w:t>safe use and management | Guidance | NICE</w:t>
              </w:r>
            </w:hyperlink>
            <w:hyperlink r:id="rId156">
              <w:r>
                <w:t xml:space="preserve"> </w:t>
              </w:r>
            </w:hyperlink>
            <w:r>
              <w:t xml:space="preserve">on 22/11/2022 </w:t>
            </w:r>
          </w:p>
          <w:p w14:paraId="1F5D4CA9" w14:textId="77777777" w:rsidR="00AB7245" w:rsidRDefault="00601FE5">
            <w:pPr>
              <w:numPr>
                <w:ilvl w:val="0"/>
                <w:numId w:val="14"/>
              </w:numPr>
              <w:spacing w:after="104" w:line="276" w:lineRule="auto"/>
              <w:ind w:hanging="360"/>
            </w:pPr>
            <w:r>
              <w:t>NICE Clinical Knowledge Summaries. Attention deficit hyperactivity disorder: Amphetamines. Last revised October 2022. Accessed via</w:t>
            </w:r>
            <w:hyperlink r:id="rId157">
              <w:r>
                <w:t xml:space="preserve"> </w:t>
              </w:r>
            </w:hyperlink>
            <w:hyperlink r:id="rId158">
              <w:r>
                <w:rPr>
                  <w:color w:val="0000FF"/>
                  <w:u w:val="single" w:color="0000FF"/>
                </w:rPr>
                <w:t>Amphetamines | Prescribing information | Attention deficit hyperactivity disorder | CKS | NICE</w:t>
              </w:r>
            </w:hyperlink>
            <w:hyperlink r:id="rId159">
              <w:r>
                <w:t xml:space="preserve"> </w:t>
              </w:r>
            </w:hyperlink>
            <w:r>
              <w:t xml:space="preserve">on 22/11/2022 </w:t>
            </w:r>
          </w:p>
          <w:p w14:paraId="5952AFE8" w14:textId="77777777" w:rsidR="00AB7245" w:rsidRDefault="00601FE5">
            <w:pPr>
              <w:numPr>
                <w:ilvl w:val="0"/>
                <w:numId w:val="14"/>
              </w:numPr>
              <w:ind w:hanging="360"/>
            </w:pPr>
            <w:r>
              <w:t xml:space="preserve">Gov.uk. Drugs and driving: the law. Accessed via </w:t>
            </w:r>
            <w:hyperlink r:id="rId160">
              <w:r>
                <w:rPr>
                  <w:color w:val="0000FF"/>
                  <w:u w:val="single" w:color="0000FF"/>
                </w:rPr>
                <w:t>https://www.gov.uk/drug</w:t>
              </w:r>
            </w:hyperlink>
            <w:hyperlink r:id="rId161">
              <w:r>
                <w:rPr>
                  <w:color w:val="0000FF"/>
                  <w:u w:val="single" w:color="0000FF"/>
                </w:rPr>
                <w:t>-</w:t>
              </w:r>
            </w:hyperlink>
            <w:hyperlink r:id="rId162">
              <w:r>
                <w:rPr>
                  <w:color w:val="0000FF"/>
                  <w:u w:val="single" w:color="0000FF"/>
                </w:rPr>
                <w:t>driving</w:t>
              </w:r>
            </w:hyperlink>
            <w:hyperlink r:id="rId163">
              <w:r>
                <w:rPr>
                  <w:color w:val="0000FF"/>
                  <w:u w:val="single" w:color="0000FF"/>
                </w:rPr>
                <w:t>-</w:t>
              </w:r>
            </w:hyperlink>
            <w:hyperlink r:id="rId164">
              <w:r>
                <w:rPr>
                  <w:color w:val="0000FF"/>
                  <w:u w:val="single" w:color="0000FF"/>
                </w:rPr>
                <w:t>law</w:t>
              </w:r>
            </w:hyperlink>
            <w:hyperlink r:id="rId165">
              <w:r>
                <w:t xml:space="preserve"> </w:t>
              </w:r>
            </w:hyperlink>
            <w:r>
              <w:t xml:space="preserve">on 22/11/22. </w:t>
            </w:r>
          </w:p>
        </w:tc>
      </w:tr>
      <w:tr w:rsidR="00AB7245" w14:paraId="13B4253D" w14:textId="77777777">
        <w:trPr>
          <w:trHeight w:val="416"/>
        </w:trPr>
        <w:tc>
          <w:tcPr>
            <w:tcW w:w="10914" w:type="dxa"/>
            <w:tcBorders>
              <w:top w:val="single" w:sz="4" w:space="0" w:color="000000"/>
              <w:left w:val="single" w:sz="4" w:space="0" w:color="000000"/>
              <w:bottom w:val="nil"/>
              <w:right w:val="single" w:sz="4" w:space="0" w:color="000000"/>
            </w:tcBorders>
            <w:shd w:val="clear" w:color="auto" w:fill="F2F2F2"/>
          </w:tcPr>
          <w:p w14:paraId="4D3209F0" w14:textId="77777777" w:rsidR="00AB7245" w:rsidRDefault="00601FE5">
            <w:r>
              <w:rPr>
                <w:b/>
                <w:sz w:val="24"/>
              </w:rPr>
              <w:t xml:space="preserve">16. Other relevant national guidance                                                                                                         </w:t>
            </w:r>
            <w:r>
              <w:rPr>
                <w:color w:val="0000FF"/>
                <w:sz w:val="24"/>
                <w:u w:val="single" w:color="0000FF"/>
              </w:rPr>
              <w:t>Back to top</w:t>
            </w:r>
            <w:r>
              <w:t xml:space="preserve"> </w:t>
            </w:r>
          </w:p>
        </w:tc>
      </w:tr>
      <w:tr w:rsidR="00AB7245" w14:paraId="05D257B6" w14:textId="77777777">
        <w:trPr>
          <w:trHeight w:val="2771"/>
        </w:trPr>
        <w:tc>
          <w:tcPr>
            <w:tcW w:w="10914" w:type="dxa"/>
            <w:tcBorders>
              <w:top w:val="nil"/>
              <w:left w:val="single" w:sz="4" w:space="0" w:color="000000"/>
              <w:bottom w:val="single" w:sz="4" w:space="0" w:color="000000"/>
              <w:right w:val="single" w:sz="4" w:space="0" w:color="000000"/>
            </w:tcBorders>
          </w:tcPr>
          <w:p w14:paraId="010561F7" w14:textId="77777777" w:rsidR="00AB7245" w:rsidRDefault="00601FE5">
            <w:pPr>
              <w:numPr>
                <w:ilvl w:val="0"/>
                <w:numId w:val="15"/>
              </w:numPr>
              <w:spacing w:after="106" w:line="240" w:lineRule="auto"/>
              <w:ind w:hanging="360"/>
            </w:pPr>
            <w:r>
              <w:t xml:space="preserve">Shared Care for Medicines Guidance – A Standard Approach (RMOC). Available from </w:t>
            </w:r>
            <w:hyperlink r:id="rId166">
              <w:r>
                <w:rPr>
                  <w:color w:val="0000FF"/>
                  <w:u w:val="single" w:color="0000FF"/>
                </w:rPr>
                <w:t>https://www.sps.nhs.uk/articles/rmoc</w:t>
              </w:r>
            </w:hyperlink>
            <w:hyperlink r:id="rId167">
              <w:r>
                <w:rPr>
                  <w:color w:val="0000FF"/>
                  <w:u w:val="single" w:color="0000FF"/>
                </w:rPr>
                <w:t>-</w:t>
              </w:r>
            </w:hyperlink>
            <w:hyperlink r:id="rId168">
              <w:r>
                <w:rPr>
                  <w:color w:val="0000FF"/>
                  <w:u w:val="single" w:color="0000FF"/>
                </w:rPr>
                <w:t>shared</w:t>
              </w:r>
            </w:hyperlink>
            <w:hyperlink r:id="rId169">
              <w:r>
                <w:rPr>
                  <w:color w:val="0000FF"/>
                  <w:u w:val="single" w:color="0000FF"/>
                </w:rPr>
                <w:t>-</w:t>
              </w:r>
            </w:hyperlink>
            <w:hyperlink r:id="rId170">
              <w:r>
                <w:rPr>
                  <w:color w:val="0000FF"/>
                  <w:u w:val="single" w:color="0000FF"/>
                </w:rPr>
                <w:t>care</w:t>
              </w:r>
            </w:hyperlink>
            <w:hyperlink r:id="rId171">
              <w:r>
                <w:rPr>
                  <w:color w:val="0000FF"/>
                  <w:u w:val="single" w:color="0000FF"/>
                </w:rPr>
                <w:t>-</w:t>
              </w:r>
            </w:hyperlink>
            <w:hyperlink r:id="rId172">
              <w:r>
                <w:rPr>
                  <w:color w:val="0000FF"/>
                  <w:u w:val="single" w:color="0000FF"/>
                </w:rPr>
                <w:t>guidance/</w:t>
              </w:r>
            </w:hyperlink>
            <w:hyperlink r:id="rId173">
              <w:r>
                <w:t xml:space="preserve"> </w:t>
              </w:r>
            </w:hyperlink>
            <w:r>
              <w:t xml:space="preserve"> </w:t>
            </w:r>
          </w:p>
          <w:p w14:paraId="468BFB2D" w14:textId="77777777" w:rsidR="00AB7245" w:rsidRDefault="00601FE5">
            <w:pPr>
              <w:numPr>
                <w:ilvl w:val="0"/>
                <w:numId w:val="15"/>
              </w:numPr>
              <w:spacing w:after="103" w:line="240" w:lineRule="auto"/>
              <w:ind w:hanging="360"/>
            </w:pPr>
            <w:r>
              <w:t xml:space="preserve">NHSE policy – Responsibility for prescribing between primary &amp; secondary/tertiary care. Available from </w:t>
            </w:r>
            <w:hyperlink r:id="rId174">
              <w:r>
                <w:rPr>
                  <w:color w:val="0000FF"/>
                  <w:u w:val="single" w:color="0000FF"/>
                </w:rPr>
                <w:t>https://www.england.nhs.uk/publication/responsibility</w:t>
              </w:r>
            </w:hyperlink>
            <w:hyperlink r:id="rId175">
              <w:r>
                <w:rPr>
                  <w:color w:val="0000FF"/>
                  <w:u w:val="single" w:color="0000FF"/>
                </w:rPr>
                <w:t>-</w:t>
              </w:r>
            </w:hyperlink>
            <w:hyperlink r:id="rId176">
              <w:r>
                <w:rPr>
                  <w:color w:val="0000FF"/>
                  <w:u w:val="single" w:color="0000FF"/>
                </w:rPr>
                <w:t>for</w:t>
              </w:r>
            </w:hyperlink>
            <w:hyperlink r:id="rId177">
              <w:r>
                <w:rPr>
                  <w:color w:val="0000FF"/>
                  <w:u w:val="single" w:color="0000FF"/>
                </w:rPr>
                <w:t>-</w:t>
              </w:r>
            </w:hyperlink>
            <w:hyperlink r:id="rId178">
              <w:r>
                <w:rPr>
                  <w:color w:val="0000FF"/>
                  <w:u w:val="single" w:color="0000FF"/>
                </w:rPr>
                <w:t>prescribing</w:t>
              </w:r>
            </w:hyperlink>
            <w:hyperlink r:id="rId179">
              <w:r>
                <w:rPr>
                  <w:color w:val="0000FF"/>
                  <w:u w:val="single" w:color="0000FF"/>
                </w:rPr>
                <w:t>-</w:t>
              </w:r>
            </w:hyperlink>
            <w:hyperlink r:id="rId180">
              <w:r>
                <w:rPr>
                  <w:color w:val="0000FF"/>
                  <w:u w:val="single" w:color="0000FF"/>
                </w:rPr>
                <w:t>between</w:t>
              </w:r>
            </w:hyperlink>
            <w:hyperlink r:id="rId181">
              <w:r>
                <w:rPr>
                  <w:color w:val="0000FF"/>
                  <w:u w:val="single" w:color="0000FF"/>
                </w:rPr>
                <w:t>-</w:t>
              </w:r>
            </w:hyperlink>
            <w:hyperlink r:id="rId182">
              <w:r>
                <w:rPr>
                  <w:color w:val="0000FF"/>
                  <w:u w:val="single" w:color="0000FF"/>
                </w:rPr>
                <w:t>primary</w:t>
              </w:r>
            </w:hyperlink>
            <w:hyperlink r:id="rId183">
              <w:r>
                <w:rPr>
                  <w:color w:val="0000FF"/>
                  <w:u w:val="single" w:color="0000FF"/>
                </w:rPr>
                <w:t>-</w:t>
              </w:r>
            </w:hyperlink>
            <w:hyperlink r:id="rId184">
              <w:r>
                <w:rPr>
                  <w:color w:val="0000FF"/>
                  <w:u w:val="single" w:color="0000FF"/>
                </w:rPr>
                <w:t>and</w:t>
              </w:r>
            </w:hyperlink>
            <w:hyperlink r:id="rId185">
              <w:r>
                <w:rPr>
                  <w:color w:val="0000FF"/>
                  <w:u w:val="single" w:color="0000FF"/>
                </w:rPr>
                <w:t>-</w:t>
              </w:r>
            </w:hyperlink>
            <w:hyperlink r:id="rId186">
              <w:r>
                <w:rPr>
                  <w:color w:val="0000FF"/>
                  <w:u w:val="single" w:color="0000FF"/>
                </w:rPr>
                <w:t>secondary</w:t>
              </w:r>
            </w:hyperlink>
            <w:hyperlink r:id="rId187">
              <w:r>
                <w:rPr>
                  <w:color w:val="0000FF"/>
                  <w:u w:val="single" w:color="0000FF"/>
                </w:rPr>
                <w:t>-</w:t>
              </w:r>
            </w:hyperlink>
            <w:hyperlink r:id="rId188">
              <w:r>
                <w:rPr>
                  <w:color w:val="0000FF"/>
                  <w:u w:val="single" w:color="0000FF"/>
                </w:rPr>
                <w:t>tertiary</w:t>
              </w:r>
            </w:hyperlink>
            <w:hyperlink r:id="rId189"/>
            <w:hyperlink r:id="rId190">
              <w:r>
                <w:rPr>
                  <w:color w:val="0000FF"/>
                  <w:u w:val="single" w:color="0000FF"/>
                </w:rPr>
                <w:t>care/</w:t>
              </w:r>
            </w:hyperlink>
            <w:hyperlink r:id="rId191">
              <w:r>
                <w:t xml:space="preserve"> </w:t>
              </w:r>
            </w:hyperlink>
            <w:r>
              <w:t xml:space="preserve"> </w:t>
            </w:r>
          </w:p>
          <w:p w14:paraId="032FBAE7" w14:textId="77777777" w:rsidR="00AB7245" w:rsidRDefault="00601FE5">
            <w:pPr>
              <w:numPr>
                <w:ilvl w:val="0"/>
                <w:numId w:val="15"/>
              </w:numPr>
              <w:spacing w:after="106" w:line="239" w:lineRule="auto"/>
              <w:ind w:hanging="360"/>
            </w:pPr>
            <w:r>
              <w:t xml:space="preserve">General Medical Council. Good practice in prescribing and managing medicines and devices. Shared care. Available from </w:t>
            </w:r>
            <w:hyperlink r:id="rId192">
              <w:r>
                <w:rPr>
                  <w:color w:val="0000FF"/>
                  <w:u w:val="single" w:color="0000FF"/>
                </w:rPr>
                <w:t>https://www.gmc</w:t>
              </w:r>
            </w:hyperlink>
            <w:hyperlink r:id="rId193">
              <w:r>
                <w:rPr>
                  <w:color w:val="0000FF"/>
                  <w:u w:val="single" w:color="0000FF"/>
                </w:rPr>
                <w:t>-</w:t>
              </w:r>
            </w:hyperlink>
            <w:hyperlink r:id="rId194">
              <w:r>
                <w:rPr>
                  <w:color w:val="0000FF"/>
                  <w:u w:val="single" w:color="0000FF"/>
                </w:rPr>
                <w:t>uk.org/ethical</w:t>
              </w:r>
            </w:hyperlink>
            <w:hyperlink r:id="rId195">
              <w:r>
                <w:rPr>
                  <w:color w:val="0000FF"/>
                  <w:u w:val="single" w:color="0000FF"/>
                </w:rPr>
                <w:t>-</w:t>
              </w:r>
            </w:hyperlink>
            <w:hyperlink r:id="rId196">
              <w:r>
                <w:rPr>
                  <w:color w:val="0000FF"/>
                  <w:u w:val="single" w:color="0000FF"/>
                </w:rPr>
                <w:t>guidance/ethical</w:t>
              </w:r>
            </w:hyperlink>
            <w:hyperlink r:id="rId197">
              <w:r>
                <w:rPr>
                  <w:color w:val="0000FF"/>
                  <w:u w:val="single" w:color="0000FF"/>
                </w:rPr>
                <w:t>-</w:t>
              </w:r>
            </w:hyperlink>
            <w:hyperlink r:id="rId198">
              <w:r>
                <w:rPr>
                  <w:color w:val="0000FF"/>
                  <w:u w:val="single" w:color="0000FF"/>
                </w:rPr>
                <w:t>guidance</w:t>
              </w:r>
            </w:hyperlink>
            <w:hyperlink r:id="rId199">
              <w:r>
                <w:rPr>
                  <w:color w:val="0000FF"/>
                  <w:u w:val="single" w:color="0000FF"/>
                </w:rPr>
                <w:t>-</w:t>
              </w:r>
            </w:hyperlink>
            <w:hyperlink r:id="rId200">
              <w:r>
                <w:rPr>
                  <w:color w:val="0000FF"/>
                  <w:u w:val="single" w:color="0000FF"/>
                </w:rPr>
                <w:t>for</w:t>
              </w:r>
            </w:hyperlink>
            <w:hyperlink r:id="rId201">
              <w:r>
                <w:rPr>
                  <w:color w:val="0000FF"/>
                  <w:u w:val="single" w:color="0000FF"/>
                </w:rPr>
                <w:t>-</w:t>
              </w:r>
            </w:hyperlink>
            <w:hyperlink r:id="rId202">
              <w:r>
                <w:rPr>
                  <w:color w:val="0000FF"/>
                  <w:u w:val="single" w:color="0000FF"/>
                </w:rPr>
                <w:t>doctors/good</w:t>
              </w:r>
            </w:hyperlink>
            <w:hyperlink r:id="rId203">
              <w:r>
                <w:rPr>
                  <w:color w:val="0000FF"/>
                  <w:u w:val="single" w:color="0000FF"/>
                </w:rPr>
                <w:t>-</w:t>
              </w:r>
            </w:hyperlink>
            <w:hyperlink r:id="rId204">
              <w:r>
                <w:rPr>
                  <w:color w:val="0000FF"/>
                  <w:u w:val="single" w:color="0000FF"/>
                </w:rPr>
                <w:t>practice</w:t>
              </w:r>
            </w:hyperlink>
            <w:hyperlink r:id="rId205">
              <w:r>
                <w:rPr>
                  <w:color w:val="0000FF"/>
                  <w:u w:val="single" w:color="0000FF"/>
                </w:rPr>
                <w:t>-</w:t>
              </w:r>
            </w:hyperlink>
            <w:hyperlink r:id="rId206">
              <w:r>
                <w:rPr>
                  <w:color w:val="0000FF"/>
                  <w:u w:val="single" w:color="0000FF"/>
                </w:rPr>
                <w:t>in</w:t>
              </w:r>
            </w:hyperlink>
            <w:hyperlink r:id="rId207">
              <w:r>
                <w:rPr>
                  <w:color w:val="0000FF"/>
                  <w:u w:val="single" w:color="0000FF"/>
                </w:rPr>
                <w:t>-</w:t>
              </w:r>
            </w:hyperlink>
            <w:hyperlink r:id="rId208">
              <w:r>
                <w:rPr>
                  <w:color w:val="0000FF"/>
                  <w:u w:val="single" w:color="0000FF"/>
                </w:rPr>
                <w:t>prescribing</w:t>
              </w:r>
            </w:hyperlink>
            <w:hyperlink r:id="rId209">
              <w:r>
                <w:rPr>
                  <w:color w:val="0000FF"/>
                  <w:u w:val="single" w:color="0000FF"/>
                </w:rPr>
                <w:t>-</w:t>
              </w:r>
            </w:hyperlink>
            <w:hyperlink r:id="rId210">
              <w:r>
                <w:rPr>
                  <w:color w:val="0000FF"/>
                  <w:u w:val="single" w:color="0000FF"/>
                </w:rPr>
                <w:t>and</w:t>
              </w:r>
            </w:hyperlink>
            <w:hyperlink r:id="rId211"/>
            <w:hyperlink r:id="rId212">
              <w:r>
                <w:rPr>
                  <w:color w:val="0000FF"/>
                  <w:u w:val="single" w:color="0000FF"/>
                </w:rPr>
                <w:t>managing</w:t>
              </w:r>
            </w:hyperlink>
            <w:hyperlink r:id="rId213">
              <w:r>
                <w:rPr>
                  <w:color w:val="0000FF"/>
                  <w:u w:val="single" w:color="0000FF"/>
                </w:rPr>
                <w:t>-</w:t>
              </w:r>
            </w:hyperlink>
            <w:hyperlink r:id="rId214">
              <w:r>
                <w:rPr>
                  <w:color w:val="0000FF"/>
                  <w:u w:val="single" w:color="0000FF"/>
                </w:rPr>
                <w:t>medicines</w:t>
              </w:r>
            </w:hyperlink>
            <w:hyperlink r:id="rId215">
              <w:r>
                <w:rPr>
                  <w:color w:val="0000FF"/>
                  <w:u w:val="single" w:color="0000FF"/>
                </w:rPr>
                <w:t>-</w:t>
              </w:r>
            </w:hyperlink>
            <w:hyperlink r:id="rId216">
              <w:r>
                <w:rPr>
                  <w:color w:val="0000FF"/>
                  <w:u w:val="single" w:color="0000FF"/>
                </w:rPr>
                <w:t>and</w:t>
              </w:r>
            </w:hyperlink>
            <w:hyperlink r:id="rId217">
              <w:r>
                <w:rPr>
                  <w:color w:val="0000FF"/>
                  <w:u w:val="single" w:color="0000FF"/>
                </w:rPr>
                <w:t>-</w:t>
              </w:r>
            </w:hyperlink>
            <w:hyperlink r:id="rId218">
              <w:r>
                <w:rPr>
                  <w:color w:val="0000FF"/>
                  <w:u w:val="single" w:color="0000FF"/>
                </w:rPr>
                <w:t>devices/shared</w:t>
              </w:r>
            </w:hyperlink>
            <w:hyperlink r:id="rId219">
              <w:r>
                <w:rPr>
                  <w:color w:val="0000FF"/>
                  <w:u w:val="single" w:color="0000FF"/>
                </w:rPr>
                <w:t>-</w:t>
              </w:r>
            </w:hyperlink>
            <w:hyperlink r:id="rId220">
              <w:r>
                <w:rPr>
                  <w:color w:val="0000FF"/>
                  <w:u w:val="single" w:color="0000FF"/>
                </w:rPr>
                <w:t>care</w:t>
              </w:r>
            </w:hyperlink>
            <w:hyperlink r:id="rId221">
              <w:r>
                <w:t xml:space="preserve"> </w:t>
              </w:r>
            </w:hyperlink>
            <w:r>
              <w:t xml:space="preserve"> </w:t>
            </w:r>
          </w:p>
          <w:p w14:paraId="5921EEC8" w14:textId="77777777" w:rsidR="00AB7245" w:rsidRDefault="00601FE5">
            <w:pPr>
              <w:numPr>
                <w:ilvl w:val="0"/>
                <w:numId w:val="15"/>
              </w:numPr>
              <w:ind w:hanging="360"/>
            </w:pPr>
            <w:r>
              <w:t xml:space="preserve">NICE NG197: Shared decision making. Last updated June 2021. </w:t>
            </w:r>
            <w:hyperlink r:id="rId222">
              <w:r>
                <w:rPr>
                  <w:color w:val="0000FF"/>
                  <w:u w:val="single" w:color="0000FF"/>
                </w:rPr>
                <w:t>https://www.nice.org.uk/guidance/ng197/</w:t>
              </w:r>
            </w:hyperlink>
            <w:hyperlink r:id="rId223">
              <w:r>
                <w:t>.</w:t>
              </w:r>
            </w:hyperlink>
            <w:r>
              <w:t xml:space="preserve"> </w:t>
            </w:r>
          </w:p>
        </w:tc>
      </w:tr>
      <w:tr w:rsidR="00AB7245" w14:paraId="4C8D73C0" w14:textId="77777777">
        <w:trPr>
          <w:trHeight w:val="1062"/>
        </w:trPr>
        <w:tc>
          <w:tcPr>
            <w:tcW w:w="10914" w:type="dxa"/>
            <w:tcBorders>
              <w:top w:val="single" w:sz="4" w:space="0" w:color="000000"/>
              <w:left w:val="single" w:sz="4" w:space="0" w:color="000000"/>
              <w:bottom w:val="nil"/>
              <w:right w:val="single" w:sz="4" w:space="0" w:color="000000"/>
            </w:tcBorders>
            <w:shd w:val="clear" w:color="auto" w:fill="F2F2F2"/>
          </w:tcPr>
          <w:p w14:paraId="717B9E8E" w14:textId="77777777" w:rsidR="00AB7245" w:rsidRDefault="00601FE5">
            <w:pPr>
              <w:tabs>
                <w:tab w:val="center" w:pos="1840"/>
                <w:tab w:val="center" w:pos="4427"/>
                <w:tab w:val="center" w:pos="5147"/>
                <w:tab w:val="center" w:pos="5867"/>
                <w:tab w:val="center" w:pos="6587"/>
                <w:tab w:val="center" w:pos="7308"/>
                <w:tab w:val="center" w:pos="8028"/>
                <w:tab w:val="center" w:pos="9544"/>
              </w:tabs>
              <w:spacing w:after="36"/>
            </w:pPr>
            <w:r>
              <w:tab/>
            </w:r>
            <w:r>
              <w:rPr>
                <w:b/>
                <w:sz w:val="24"/>
              </w:rPr>
              <w:t xml:space="preserve">17. Local arrangements for referral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2E7EABB1" w14:textId="77777777" w:rsidR="00AB7245" w:rsidRDefault="00601FE5">
            <w:r>
              <w:rPr>
                <w:sz w:val="24"/>
              </w:rPr>
              <w:t>Define the referral procedure from hospital to primary care prescriber &amp; route of return should the patient’s condition change.</w:t>
            </w:r>
            <w:r>
              <w:t xml:space="preserve"> </w:t>
            </w:r>
          </w:p>
        </w:tc>
      </w:tr>
      <w:tr w:rsidR="00AB7245" w14:paraId="46539B6F" w14:textId="77777777">
        <w:trPr>
          <w:trHeight w:val="2295"/>
        </w:trPr>
        <w:tc>
          <w:tcPr>
            <w:tcW w:w="10914" w:type="dxa"/>
            <w:tcBorders>
              <w:top w:val="nil"/>
              <w:left w:val="single" w:sz="4" w:space="0" w:color="000000"/>
              <w:bottom w:val="single" w:sz="4" w:space="0" w:color="000000"/>
              <w:right w:val="single" w:sz="4" w:space="0" w:color="000000"/>
            </w:tcBorders>
          </w:tcPr>
          <w:p w14:paraId="699E6D68" w14:textId="77777777" w:rsidR="00AB7245" w:rsidRDefault="00601FE5">
            <w:pPr>
              <w:spacing w:after="40" w:line="240" w:lineRule="auto"/>
            </w:pPr>
            <w:r>
              <w:rPr>
                <w:sz w:val="24"/>
              </w:rPr>
              <w:t xml:space="preserve">Define the referral procedure from hospital to primary care prescriber &amp; route of return should the patient’s condition change. </w:t>
            </w:r>
          </w:p>
          <w:p w14:paraId="7DD814C1" w14:textId="77777777" w:rsidR="00AB7245" w:rsidRDefault="00601FE5">
            <w:pPr>
              <w:spacing w:after="38"/>
            </w:pPr>
            <w:r>
              <w:t xml:space="preserve">Shared care from hospital to primary care </w:t>
            </w:r>
          </w:p>
          <w:p w14:paraId="65A1387B" w14:textId="77777777" w:rsidR="00AB7245" w:rsidRDefault="00601FE5">
            <w:pPr>
              <w:spacing w:after="60" w:line="239" w:lineRule="auto"/>
            </w:pPr>
            <w:r>
              <w:t xml:space="preserve">Primary care to hospital – Urgent referrals mental health crisis line or A&amp;E out of hours. For routine/non-urgent referrals contact local CAMHs team. </w:t>
            </w:r>
          </w:p>
          <w:p w14:paraId="7500B700" w14:textId="77777777" w:rsidR="00AB7245" w:rsidRDefault="00601FE5">
            <w:pPr>
              <w:spacing w:after="38"/>
            </w:pPr>
            <w:r>
              <w:t xml:space="preserve"> </w:t>
            </w:r>
          </w:p>
          <w:p w14:paraId="37795F8E" w14:textId="77777777" w:rsidR="00AB7245" w:rsidRDefault="00601FE5">
            <w:r>
              <w:t xml:space="preserve"> </w:t>
            </w:r>
          </w:p>
        </w:tc>
      </w:tr>
      <w:tr w:rsidR="00AB7245" w14:paraId="6AB13E93" w14:textId="77777777" w:rsidTr="00130D08">
        <w:trPr>
          <w:trHeight w:val="3253"/>
        </w:trPr>
        <w:tc>
          <w:tcPr>
            <w:tcW w:w="10914" w:type="dxa"/>
            <w:tcBorders>
              <w:top w:val="single" w:sz="4" w:space="0" w:color="000000"/>
              <w:left w:val="single" w:sz="4" w:space="0" w:color="000000"/>
              <w:bottom w:val="single" w:sz="4" w:space="0" w:color="000000"/>
              <w:right w:val="single" w:sz="4" w:space="0" w:color="000000"/>
            </w:tcBorders>
          </w:tcPr>
          <w:p w14:paraId="107ECACB" w14:textId="77777777" w:rsidR="00AB7245" w:rsidRDefault="00601FE5">
            <w:r>
              <w:rPr>
                <w:b/>
                <w:sz w:val="24"/>
              </w:rPr>
              <w:lastRenderedPageBreak/>
              <w:t xml:space="preserve">18. Communication </w:t>
            </w:r>
          </w:p>
          <w:p w14:paraId="6B367C93" w14:textId="77777777" w:rsidR="00AB7245" w:rsidRDefault="00601FE5">
            <w:pPr>
              <w:spacing w:line="262" w:lineRule="auto"/>
            </w:pPr>
            <w:r>
              <w:rPr>
                <w:color w:val="FF0000"/>
                <w:sz w:val="18"/>
              </w:rPr>
              <w:t>Please note that the clinical letter received from the specialist prescriber/ team should have the relevant contact details. If this is not provided you may find the following contact details useful</w:t>
            </w:r>
            <w:r>
              <w:rPr>
                <w:color w:val="FF0000"/>
                <w:sz w:val="24"/>
              </w:rPr>
              <w:t xml:space="preserve">. </w:t>
            </w:r>
          </w:p>
          <w:p w14:paraId="24560166" w14:textId="77777777" w:rsidR="00AB7245" w:rsidRDefault="00601FE5">
            <w:r>
              <w:rPr>
                <w:b/>
              </w:rPr>
              <w:t xml:space="preserve"> </w:t>
            </w:r>
          </w:p>
          <w:p w14:paraId="12807269" w14:textId="77777777" w:rsidR="00AB7245" w:rsidRDefault="00601FE5">
            <w:pPr>
              <w:spacing w:after="290"/>
            </w:pPr>
            <w:r>
              <w:rPr>
                <w:b/>
              </w:rPr>
              <w:t xml:space="preserve">Medicines Information Services </w:t>
            </w:r>
          </w:p>
          <w:p w14:paraId="64B1DD24" w14:textId="77777777" w:rsidR="00AB7245" w:rsidRDefault="00601FE5">
            <w:pPr>
              <w:numPr>
                <w:ilvl w:val="0"/>
                <w:numId w:val="16"/>
              </w:numPr>
              <w:spacing w:after="12"/>
              <w:ind w:hanging="360"/>
            </w:pPr>
            <w:r>
              <w:t xml:space="preserve">South West London and St Georges Mental Health Hospital: Tel. 020 3513 6829 </w:t>
            </w:r>
          </w:p>
          <w:p w14:paraId="7AA43A76" w14:textId="77777777" w:rsidR="00AB7245" w:rsidRDefault="00601FE5">
            <w:pPr>
              <w:numPr>
                <w:ilvl w:val="0"/>
                <w:numId w:val="16"/>
              </w:numPr>
              <w:ind w:hanging="360"/>
            </w:pPr>
            <w:r>
              <w:t xml:space="preserve">South London and Maudsley (SLAM): Tel. 020 3228 2317 </w:t>
            </w:r>
          </w:p>
          <w:p w14:paraId="0997B1AB" w14:textId="77777777" w:rsidR="00130D08" w:rsidRDefault="00130D08">
            <w:pPr>
              <w:numPr>
                <w:ilvl w:val="0"/>
                <w:numId w:val="16"/>
              </w:numPr>
              <w:ind w:hanging="360"/>
            </w:pPr>
            <w:r>
              <w:t xml:space="preserve">Georges Hospital medicines helpline: Tel. 020 872 51033  </w:t>
            </w:r>
          </w:p>
          <w:p w14:paraId="23E89EB3" w14:textId="77777777" w:rsidR="00130D08" w:rsidRDefault="00130D08">
            <w:pPr>
              <w:numPr>
                <w:ilvl w:val="0"/>
                <w:numId w:val="16"/>
              </w:numPr>
              <w:ind w:hanging="360"/>
            </w:pPr>
            <w:r>
              <w:t>Kingston Hospital medicines helpline: Tel. 020 85467711 ext.2092</w:t>
            </w:r>
          </w:p>
          <w:p w14:paraId="167D945C" w14:textId="2E1CF01A" w:rsidR="00130D08" w:rsidRDefault="00130D08">
            <w:pPr>
              <w:numPr>
                <w:ilvl w:val="0"/>
                <w:numId w:val="16"/>
              </w:numPr>
              <w:ind w:hanging="360"/>
            </w:pPr>
            <w:r>
              <w:t>Epsom and St Helier Trust medicines helpline: Tel.020 872 51033</w:t>
            </w:r>
          </w:p>
        </w:tc>
      </w:tr>
    </w:tbl>
    <w:p w14:paraId="03F34DC3" w14:textId="77777777" w:rsidR="00AB7245" w:rsidRDefault="00601FE5">
      <w:pPr>
        <w:spacing w:after="0"/>
        <w:ind w:left="-21"/>
        <w:jc w:val="both"/>
      </w:pPr>
      <w:r>
        <w:rPr>
          <w:rFonts w:ascii="Arial" w:eastAsia="Arial" w:hAnsi="Arial" w:cs="Arial"/>
          <w:b/>
          <w:sz w:val="16"/>
        </w:rPr>
        <w:t xml:space="preserve"> </w:t>
      </w:r>
    </w:p>
    <w:p w14:paraId="27FAE2B2" w14:textId="77777777" w:rsidR="00AB7245" w:rsidRDefault="00601FE5">
      <w:pPr>
        <w:spacing w:after="0"/>
        <w:ind w:left="-21"/>
        <w:jc w:val="both"/>
      </w:pPr>
      <w:r>
        <w:rPr>
          <w:rFonts w:ascii="Arial" w:eastAsia="Arial" w:hAnsi="Arial" w:cs="Arial"/>
          <w:b/>
          <w:sz w:val="16"/>
        </w:rPr>
        <w:t xml:space="preserve"> </w:t>
      </w:r>
    </w:p>
    <w:p w14:paraId="5ED78A9F" w14:textId="77777777" w:rsidR="00AB7245" w:rsidRDefault="00601FE5">
      <w:pPr>
        <w:spacing w:after="0"/>
        <w:ind w:left="-21"/>
        <w:jc w:val="both"/>
      </w:pPr>
      <w:r>
        <w:rPr>
          <w:rFonts w:ascii="Arial" w:eastAsia="Arial" w:hAnsi="Arial" w:cs="Arial"/>
          <w:b/>
          <w:sz w:val="16"/>
        </w:rPr>
        <w:t xml:space="preserve"> </w:t>
      </w:r>
    </w:p>
    <w:p w14:paraId="0DEDEC4D" w14:textId="77777777" w:rsidR="00AB7245" w:rsidRDefault="00601FE5">
      <w:pPr>
        <w:spacing w:after="0"/>
        <w:ind w:left="-21"/>
        <w:jc w:val="both"/>
      </w:pPr>
      <w:r>
        <w:rPr>
          <w:rFonts w:ascii="Arial" w:eastAsia="Arial" w:hAnsi="Arial" w:cs="Arial"/>
          <w:b/>
          <w:sz w:val="16"/>
        </w:rPr>
        <w:t xml:space="preserve"> </w:t>
      </w:r>
    </w:p>
    <w:p w14:paraId="7B8F0715" w14:textId="77777777" w:rsidR="00AB7245" w:rsidRDefault="00601FE5">
      <w:pPr>
        <w:spacing w:after="0"/>
        <w:ind w:left="-21"/>
        <w:jc w:val="both"/>
      </w:pPr>
      <w:r>
        <w:rPr>
          <w:rFonts w:ascii="Arial" w:eastAsia="Arial" w:hAnsi="Arial" w:cs="Arial"/>
          <w:b/>
          <w:sz w:val="16"/>
        </w:rPr>
        <w:t xml:space="preserve"> </w:t>
      </w:r>
    </w:p>
    <w:p w14:paraId="390FAAEA" w14:textId="77777777" w:rsidR="00AB7245" w:rsidRDefault="00601FE5">
      <w:pPr>
        <w:spacing w:after="0"/>
        <w:ind w:left="-21"/>
        <w:jc w:val="both"/>
      </w:pPr>
      <w:r>
        <w:rPr>
          <w:rFonts w:ascii="Arial" w:eastAsia="Arial" w:hAnsi="Arial" w:cs="Arial"/>
          <w:b/>
          <w:sz w:val="16"/>
        </w:rPr>
        <w:t xml:space="preserve"> </w:t>
      </w:r>
    </w:p>
    <w:p w14:paraId="291C9745" w14:textId="77777777" w:rsidR="00AB7245" w:rsidRDefault="00601FE5">
      <w:pPr>
        <w:spacing w:after="0"/>
        <w:ind w:left="-21"/>
        <w:jc w:val="both"/>
      </w:pPr>
      <w:r>
        <w:rPr>
          <w:rFonts w:ascii="Arial" w:eastAsia="Arial" w:hAnsi="Arial" w:cs="Arial"/>
          <w:b/>
          <w:sz w:val="16"/>
        </w:rPr>
        <w:t xml:space="preserve"> </w:t>
      </w:r>
    </w:p>
    <w:p w14:paraId="48E3F7C0" w14:textId="77777777" w:rsidR="00AB7245" w:rsidRDefault="00601FE5">
      <w:pPr>
        <w:spacing w:after="0"/>
        <w:ind w:left="-21"/>
        <w:jc w:val="both"/>
      </w:pPr>
      <w:r>
        <w:rPr>
          <w:rFonts w:ascii="Arial" w:eastAsia="Arial" w:hAnsi="Arial" w:cs="Arial"/>
          <w:b/>
          <w:sz w:val="16"/>
        </w:rPr>
        <w:t xml:space="preserve"> </w:t>
      </w:r>
    </w:p>
    <w:p w14:paraId="6CA457BD" w14:textId="77777777" w:rsidR="00AB7245" w:rsidRDefault="00601FE5">
      <w:pPr>
        <w:spacing w:after="0"/>
        <w:ind w:left="-21"/>
        <w:jc w:val="both"/>
      </w:pPr>
      <w:r>
        <w:rPr>
          <w:rFonts w:ascii="Arial" w:eastAsia="Arial" w:hAnsi="Arial" w:cs="Arial"/>
          <w:b/>
          <w:sz w:val="16"/>
        </w:rPr>
        <w:t xml:space="preserve"> </w:t>
      </w:r>
    </w:p>
    <w:p w14:paraId="77C6E970" w14:textId="77777777" w:rsidR="00AB7245" w:rsidRDefault="00601FE5">
      <w:pPr>
        <w:spacing w:after="0"/>
        <w:ind w:left="-21"/>
        <w:jc w:val="both"/>
      </w:pPr>
      <w:r>
        <w:rPr>
          <w:rFonts w:ascii="Arial" w:eastAsia="Arial" w:hAnsi="Arial" w:cs="Arial"/>
          <w:b/>
          <w:sz w:val="16"/>
        </w:rPr>
        <w:t xml:space="preserve"> </w:t>
      </w:r>
    </w:p>
    <w:p w14:paraId="24F67097" w14:textId="77777777" w:rsidR="00AB7245" w:rsidRDefault="00601FE5">
      <w:pPr>
        <w:spacing w:after="0"/>
        <w:ind w:left="-21"/>
        <w:jc w:val="both"/>
      </w:pPr>
      <w:r>
        <w:rPr>
          <w:rFonts w:ascii="Arial" w:eastAsia="Arial" w:hAnsi="Arial" w:cs="Arial"/>
          <w:b/>
          <w:sz w:val="16"/>
        </w:rPr>
        <w:t xml:space="preserve"> </w:t>
      </w:r>
    </w:p>
    <w:p w14:paraId="1D4A10EC" w14:textId="77777777" w:rsidR="00AB7245" w:rsidRDefault="00601FE5">
      <w:pPr>
        <w:spacing w:after="0"/>
        <w:ind w:left="-21"/>
        <w:jc w:val="both"/>
      </w:pPr>
      <w:r>
        <w:rPr>
          <w:rFonts w:ascii="Arial" w:eastAsia="Arial" w:hAnsi="Arial" w:cs="Arial"/>
          <w:b/>
          <w:sz w:val="16"/>
        </w:rPr>
        <w:t xml:space="preserve"> </w:t>
      </w:r>
    </w:p>
    <w:p w14:paraId="3D77ECD3" w14:textId="77777777" w:rsidR="00AB7245" w:rsidRDefault="00601FE5">
      <w:pPr>
        <w:spacing w:after="0"/>
        <w:ind w:left="-21"/>
        <w:jc w:val="both"/>
      </w:pPr>
      <w:r>
        <w:rPr>
          <w:rFonts w:ascii="Arial" w:eastAsia="Arial" w:hAnsi="Arial" w:cs="Arial"/>
          <w:b/>
          <w:sz w:val="16"/>
        </w:rPr>
        <w:t xml:space="preserve"> </w:t>
      </w:r>
    </w:p>
    <w:p w14:paraId="3CC5323E" w14:textId="77777777" w:rsidR="00AB7245" w:rsidRDefault="00601FE5">
      <w:pPr>
        <w:spacing w:after="0"/>
        <w:ind w:left="-21"/>
        <w:jc w:val="both"/>
      </w:pPr>
      <w:r>
        <w:rPr>
          <w:rFonts w:ascii="Arial" w:eastAsia="Arial" w:hAnsi="Arial" w:cs="Arial"/>
          <w:b/>
          <w:sz w:val="16"/>
        </w:rPr>
        <w:t xml:space="preserve"> </w:t>
      </w:r>
    </w:p>
    <w:p w14:paraId="74255B52" w14:textId="77777777" w:rsidR="00AB7245" w:rsidRDefault="00601FE5">
      <w:pPr>
        <w:spacing w:after="0"/>
        <w:ind w:left="-21"/>
        <w:jc w:val="both"/>
      </w:pPr>
      <w:r>
        <w:rPr>
          <w:rFonts w:ascii="Arial" w:eastAsia="Arial" w:hAnsi="Arial" w:cs="Arial"/>
          <w:b/>
          <w:sz w:val="16"/>
        </w:rPr>
        <w:t xml:space="preserve"> </w:t>
      </w:r>
    </w:p>
    <w:p w14:paraId="582D6115" w14:textId="77777777" w:rsidR="00AB7245" w:rsidRDefault="00601FE5">
      <w:pPr>
        <w:spacing w:after="0"/>
        <w:ind w:left="-21"/>
        <w:jc w:val="both"/>
      </w:pPr>
      <w:r>
        <w:rPr>
          <w:rFonts w:ascii="Arial" w:eastAsia="Arial" w:hAnsi="Arial" w:cs="Arial"/>
          <w:b/>
          <w:sz w:val="16"/>
        </w:rPr>
        <w:t xml:space="preserve"> </w:t>
      </w:r>
    </w:p>
    <w:p w14:paraId="5FF24C0D" w14:textId="77777777" w:rsidR="00AB7245" w:rsidRDefault="00601FE5">
      <w:pPr>
        <w:spacing w:after="0"/>
        <w:ind w:left="-21"/>
        <w:jc w:val="both"/>
      </w:pPr>
      <w:r>
        <w:rPr>
          <w:rFonts w:ascii="Arial" w:eastAsia="Arial" w:hAnsi="Arial" w:cs="Arial"/>
          <w:b/>
          <w:sz w:val="16"/>
        </w:rPr>
        <w:t xml:space="preserve"> </w:t>
      </w:r>
    </w:p>
    <w:p w14:paraId="6D5C7E5D" w14:textId="77777777" w:rsidR="00AB7245" w:rsidRDefault="00601FE5">
      <w:pPr>
        <w:spacing w:after="0"/>
        <w:ind w:left="-21"/>
        <w:jc w:val="both"/>
      </w:pPr>
      <w:r>
        <w:rPr>
          <w:rFonts w:ascii="Arial" w:eastAsia="Arial" w:hAnsi="Arial" w:cs="Arial"/>
          <w:b/>
          <w:sz w:val="16"/>
        </w:rPr>
        <w:t xml:space="preserve"> </w:t>
      </w:r>
    </w:p>
    <w:p w14:paraId="1068A85B" w14:textId="77777777" w:rsidR="00AB7245" w:rsidRDefault="00601FE5">
      <w:pPr>
        <w:spacing w:after="0"/>
        <w:ind w:left="-21"/>
        <w:jc w:val="both"/>
      </w:pPr>
      <w:r>
        <w:rPr>
          <w:rFonts w:ascii="Arial" w:eastAsia="Arial" w:hAnsi="Arial" w:cs="Arial"/>
          <w:b/>
          <w:sz w:val="16"/>
        </w:rPr>
        <w:t xml:space="preserve"> </w:t>
      </w:r>
    </w:p>
    <w:p w14:paraId="1A0F5432" w14:textId="77777777" w:rsidR="00AB7245" w:rsidRDefault="00601FE5">
      <w:pPr>
        <w:spacing w:after="0"/>
        <w:ind w:left="-21"/>
        <w:jc w:val="both"/>
      </w:pPr>
      <w:r>
        <w:rPr>
          <w:rFonts w:ascii="Arial" w:eastAsia="Arial" w:hAnsi="Arial" w:cs="Arial"/>
          <w:b/>
          <w:sz w:val="16"/>
        </w:rPr>
        <w:t xml:space="preserve"> </w:t>
      </w:r>
    </w:p>
    <w:p w14:paraId="591DD14A" w14:textId="77777777" w:rsidR="00AB7245" w:rsidRDefault="00601FE5">
      <w:pPr>
        <w:spacing w:after="0"/>
        <w:ind w:left="-21"/>
        <w:jc w:val="both"/>
      </w:pPr>
      <w:r>
        <w:rPr>
          <w:rFonts w:ascii="Arial" w:eastAsia="Arial" w:hAnsi="Arial" w:cs="Arial"/>
          <w:b/>
          <w:sz w:val="16"/>
        </w:rPr>
        <w:t xml:space="preserve"> </w:t>
      </w:r>
    </w:p>
    <w:p w14:paraId="67F2D687" w14:textId="77777777" w:rsidR="00AB7245" w:rsidRDefault="00601FE5">
      <w:pPr>
        <w:spacing w:after="0"/>
        <w:ind w:left="-21"/>
        <w:jc w:val="both"/>
      </w:pPr>
      <w:r>
        <w:rPr>
          <w:rFonts w:ascii="Arial" w:eastAsia="Arial" w:hAnsi="Arial" w:cs="Arial"/>
          <w:b/>
          <w:sz w:val="16"/>
        </w:rPr>
        <w:t xml:space="preserve"> </w:t>
      </w:r>
    </w:p>
    <w:p w14:paraId="6A1CE04B" w14:textId="77777777" w:rsidR="00AB7245" w:rsidRDefault="00601FE5">
      <w:pPr>
        <w:spacing w:after="0"/>
        <w:ind w:left="-21"/>
        <w:jc w:val="both"/>
      </w:pPr>
      <w:r>
        <w:rPr>
          <w:rFonts w:ascii="Arial" w:eastAsia="Arial" w:hAnsi="Arial" w:cs="Arial"/>
          <w:b/>
          <w:sz w:val="16"/>
        </w:rPr>
        <w:t xml:space="preserve"> </w:t>
      </w:r>
    </w:p>
    <w:p w14:paraId="70D5829F" w14:textId="77777777" w:rsidR="00AB7245" w:rsidRDefault="00601FE5">
      <w:pPr>
        <w:spacing w:after="0"/>
        <w:ind w:left="-21"/>
        <w:jc w:val="both"/>
      </w:pPr>
      <w:r>
        <w:rPr>
          <w:rFonts w:ascii="Arial" w:eastAsia="Arial" w:hAnsi="Arial" w:cs="Arial"/>
          <w:b/>
          <w:sz w:val="16"/>
        </w:rPr>
        <w:t xml:space="preserve"> </w:t>
      </w:r>
    </w:p>
    <w:p w14:paraId="4A0104BF" w14:textId="77777777" w:rsidR="00AB7245" w:rsidRDefault="00601FE5">
      <w:pPr>
        <w:spacing w:after="0"/>
        <w:ind w:left="-21"/>
        <w:jc w:val="both"/>
      </w:pPr>
      <w:r>
        <w:rPr>
          <w:rFonts w:ascii="Arial" w:eastAsia="Arial" w:hAnsi="Arial" w:cs="Arial"/>
          <w:b/>
          <w:sz w:val="16"/>
        </w:rPr>
        <w:t xml:space="preserve"> </w:t>
      </w:r>
    </w:p>
    <w:p w14:paraId="241FFE50" w14:textId="77777777" w:rsidR="00AB7245" w:rsidRDefault="00601FE5">
      <w:pPr>
        <w:spacing w:after="0" w:line="216" w:lineRule="auto"/>
        <w:ind w:left="-21" w:right="8998"/>
        <w:jc w:val="both"/>
      </w:pPr>
      <w:r>
        <w:rPr>
          <w:rFonts w:ascii="Arial" w:eastAsia="Arial" w:hAnsi="Arial" w:cs="Arial"/>
          <w:b/>
          <w:sz w:val="16"/>
        </w:rPr>
        <w:t xml:space="preserve"> </w:t>
      </w:r>
      <w:r>
        <w:t xml:space="preserve"> </w:t>
      </w:r>
    </w:p>
    <w:sectPr w:rsidR="00AB7245">
      <w:headerReference w:type="even" r:id="rId224"/>
      <w:headerReference w:type="default" r:id="rId225"/>
      <w:footerReference w:type="even" r:id="rId226"/>
      <w:footerReference w:type="default" r:id="rId227"/>
      <w:headerReference w:type="first" r:id="rId228"/>
      <w:footerReference w:type="first" r:id="rId229"/>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B605D" w14:textId="77777777" w:rsidR="008C6184" w:rsidRDefault="008C6184">
      <w:pPr>
        <w:spacing w:after="0" w:line="240" w:lineRule="auto"/>
      </w:pPr>
      <w:r>
        <w:separator/>
      </w:r>
    </w:p>
  </w:endnote>
  <w:endnote w:type="continuationSeparator" w:id="0">
    <w:p w14:paraId="142F6E25" w14:textId="77777777" w:rsidR="008C6184" w:rsidRDefault="008C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F8D6" w14:textId="77777777" w:rsidR="00AB7245" w:rsidRDefault="00AB72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D01D" w14:textId="77777777" w:rsidR="00AB7245" w:rsidRDefault="00AB72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AD78" w14:textId="77777777" w:rsidR="00AB7245" w:rsidRDefault="00AB72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8B407" w14:textId="77777777" w:rsidR="00AB7245" w:rsidRDefault="00601FE5">
    <w:pPr>
      <w:tabs>
        <w:tab w:val="right" w:pos="8887"/>
      </w:tabs>
      <w:spacing w:after="0"/>
      <w:ind w:right="-143"/>
    </w:pPr>
    <w:r>
      <w:t xml:space="preserve">Dexamfetamine for Children and YP </w:t>
    </w:r>
    <w:r>
      <w:tab/>
      <w:t xml:space="preserve"> Date of SWLIMOC approval:27</w:t>
    </w:r>
    <w:r>
      <w:rPr>
        <w:vertAlign w:val="superscript"/>
      </w:rPr>
      <w:t>th</w:t>
    </w:r>
    <w:r>
      <w:t xml:space="preserve"> November 2024 </w:t>
    </w:r>
  </w:p>
  <w:p w14:paraId="716F3CF8" w14:textId="77777777" w:rsidR="00AB7245" w:rsidRDefault="00601FE5">
    <w:pPr>
      <w:tabs>
        <w:tab w:val="center" w:pos="4513"/>
        <w:tab w:val="right" w:pos="8887"/>
      </w:tabs>
      <w:spacing w:after="0"/>
      <w:ind w:right="-143"/>
    </w:pPr>
    <w:r>
      <w:t xml:space="preserve">Last updated:  November 2024 </w:t>
    </w:r>
    <w:r>
      <w:tab/>
      <w:t xml:space="preserve"> </w:t>
    </w:r>
    <w:r>
      <w:tab/>
      <w:t xml:space="preserve">Review date: November 2026 </w:t>
    </w:r>
  </w:p>
  <w:p w14:paraId="5382DA6C" w14:textId="77777777" w:rsidR="00AB7245" w:rsidRDefault="00601FE5">
    <w:pPr>
      <w:spacing w:after="0"/>
      <w:ind w:right="-186"/>
      <w:jc w:val="right"/>
    </w:pPr>
    <w:r>
      <w:t xml:space="preserve">Page </w:t>
    </w: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15</w:t>
      </w:r>
    </w:fldSimple>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0B18" w14:textId="77777777" w:rsidR="00AB7245" w:rsidRDefault="00601FE5">
    <w:pPr>
      <w:tabs>
        <w:tab w:val="right" w:pos="8887"/>
      </w:tabs>
      <w:spacing w:after="0"/>
      <w:ind w:right="-143"/>
    </w:pPr>
    <w:r>
      <w:t xml:space="preserve">Dexamfetamine for Children and YP </w:t>
    </w:r>
    <w:r>
      <w:tab/>
      <w:t xml:space="preserve"> Date of SWLIMOC approval:27</w:t>
    </w:r>
    <w:r>
      <w:rPr>
        <w:vertAlign w:val="superscript"/>
      </w:rPr>
      <w:t>th</w:t>
    </w:r>
    <w:r>
      <w:t xml:space="preserve"> November 2024 </w:t>
    </w:r>
  </w:p>
  <w:p w14:paraId="7C2D498B" w14:textId="77777777" w:rsidR="00AB7245" w:rsidRDefault="00601FE5">
    <w:pPr>
      <w:tabs>
        <w:tab w:val="center" w:pos="4513"/>
        <w:tab w:val="right" w:pos="8887"/>
      </w:tabs>
      <w:spacing w:after="0"/>
      <w:ind w:right="-143"/>
    </w:pPr>
    <w:r>
      <w:t xml:space="preserve">Last updated:  November 2024 </w:t>
    </w:r>
    <w:r>
      <w:tab/>
      <w:t xml:space="preserve"> </w:t>
    </w:r>
    <w:r>
      <w:tab/>
      <w:t xml:space="preserve">Review date: November 2026 </w:t>
    </w:r>
  </w:p>
  <w:p w14:paraId="706B51AE" w14:textId="77777777" w:rsidR="00AB7245" w:rsidRDefault="00601FE5">
    <w:pPr>
      <w:spacing w:after="0"/>
      <w:ind w:right="-186"/>
      <w:jc w:val="right"/>
    </w:pPr>
    <w:r>
      <w:t xml:space="preserve">Page </w:t>
    </w: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15</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F43F" w14:textId="77777777" w:rsidR="00AB7245" w:rsidRDefault="00601FE5">
    <w:pPr>
      <w:tabs>
        <w:tab w:val="right" w:pos="8887"/>
      </w:tabs>
      <w:spacing w:after="0"/>
      <w:ind w:right="-143"/>
    </w:pPr>
    <w:r>
      <w:t xml:space="preserve">Dexamfetamine for Children and YP </w:t>
    </w:r>
    <w:r>
      <w:tab/>
      <w:t xml:space="preserve"> Date of SWLIMOC approval:27</w:t>
    </w:r>
    <w:r>
      <w:rPr>
        <w:vertAlign w:val="superscript"/>
      </w:rPr>
      <w:t>th</w:t>
    </w:r>
    <w:r>
      <w:t xml:space="preserve"> November 2024 </w:t>
    </w:r>
  </w:p>
  <w:p w14:paraId="71D5CCEE" w14:textId="77777777" w:rsidR="00AB7245" w:rsidRDefault="00601FE5">
    <w:pPr>
      <w:tabs>
        <w:tab w:val="center" w:pos="4513"/>
        <w:tab w:val="right" w:pos="8887"/>
      </w:tabs>
      <w:spacing w:after="0"/>
      <w:ind w:right="-143"/>
    </w:pPr>
    <w:r>
      <w:t xml:space="preserve">Last updated:  November 2024 </w:t>
    </w:r>
    <w:r>
      <w:tab/>
      <w:t xml:space="preserve"> </w:t>
    </w:r>
    <w:r>
      <w:tab/>
      <w:t xml:space="preserve">Review date: November 2026 </w:t>
    </w:r>
  </w:p>
  <w:p w14:paraId="3223C192" w14:textId="77777777" w:rsidR="00AB7245" w:rsidRDefault="00601FE5">
    <w:pPr>
      <w:spacing w:after="0"/>
      <w:ind w:right="-186"/>
      <w:jc w:val="right"/>
    </w:pPr>
    <w:r>
      <w:t xml:space="preserve">Page </w:t>
    </w: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15</w:t>
      </w:r>
    </w:fldSimple>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C740" w14:textId="77777777" w:rsidR="00AB7245" w:rsidRDefault="00601FE5">
    <w:pPr>
      <w:tabs>
        <w:tab w:val="center" w:pos="6750"/>
      </w:tabs>
      <w:spacing w:after="0"/>
      <w:ind w:left="-21"/>
    </w:pPr>
    <w:r>
      <w:t xml:space="preserve">Dexamfetamine for Children and YP </w:t>
    </w:r>
    <w:r>
      <w:tab/>
      <w:t xml:space="preserve"> Date of SWLIMOC approval:27</w:t>
    </w:r>
    <w:r>
      <w:rPr>
        <w:vertAlign w:val="superscript"/>
      </w:rPr>
      <w:t>th</w:t>
    </w:r>
    <w:r>
      <w:t xml:space="preserve"> November 2024 </w:t>
    </w:r>
  </w:p>
  <w:p w14:paraId="1B18C0BD" w14:textId="77777777" w:rsidR="00AB7245" w:rsidRDefault="00601FE5">
    <w:pPr>
      <w:tabs>
        <w:tab w:val="center" w:pos="4492"/>
        <w:tab w:val="center" w:pos="7683"/>
      </w:tabs>
      <w:spacing w:after="0"/>
      <w:ind w:left="-21"/>
    </w:pPr>
    <w:r>
      <w:t xml:space="preserve">Last updated:  November 2024 </w:t>
    </w:r>
    <w:r>
      <w:tab/>
      <w:t xml:space="preserve"> </w:t>
    </w:r>
    <w:r>
      <w:tab/>
      <w:t xml:space="preserve">Review date: November 2026 </w:t>
    </w:r>
  </w:p>
  <w:p w14:paraId="1FA6C803" w14:textId="77777777" w:rsidR="00AB7245" w:rsidRDefault="00601FE5">
    <w:pPr>
      <w:spacing w:after="0"/>
      <w:ind w:right="-26"/>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15</w:t>
      </w:r>
    </w:fldSimple>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4CA0" w14:textId="77777777" w:rsidR="00AB7245" w:rsidRDefault="00601FE5">
    <w:pPr>
      <w:tabs>
        <w:tab w:val="center" w:pos="6750"/>
      </w:tabs>
      <w:spacing w:after="0"/>
      <w:ind w:left="-21"/>
    </w:pPr>
    <w:r>
      <w:t xml:space="preserve">Dexamfetamine for Children and YP </w:t>
    </w:r>
    <w:r>
      <w:tab/>
      <w:t xml:space="preserve"> Date of SWLIMOC approval:27</w:t>
    </w:r>
    <w:r>
      <w:rPr>
        <w:vertAlign w:val="superscript"/>
      </w:rPr>
      <w:t>th</w:t>
    </w:r>
    <w:r>
      <w:t xml:space="preserve"> November 2024 </w:t>
    </w:r>
  </w:p>
  <w:p w14:paraId="0487475B" w14:textId="77777777" w:rsidR="00AB7245" w:rsidRDefault="00601FE5">
    <w:pPr>
      <w:tabs>
        <w:tab w:val="center" w:pos="4492"/>
        <w:tab w:val="center" w:pos="7683"/>
      </w:tabs>
      <w:spacing w:after="0"/>
      <w:ind w:left="-21"/>
    </w:pPr>
    <w:r>
      <w:t xml:space="preserve">Last updated:  November 2024 </w:t>
    </w:r>
    <w:r>
      <w:tab/>
      <w:t xml:space="preserve"> </w:t>
    </w:r>
    <w:r>
      <w:tab/>
      <w:t xml:space="preserve">Review date: November 2026 </w:t>
    </w:r>
  </w:p>
  <w:p w14:paraId="54C92E7F" w14:textId="77777777" w:rsidR="00AB7245" w:rsidRDefault="00601FE5">
    <w:pPr>
      <w:spacing w:after="0"/>
      <w:ind w:right="-26"/>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15</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5963" w14:textId="77777777" w:rsidR="00AB7245" w:rsidRDefault="00601FE5">
    <w:pPr>
      <w:tabs>
        <w:tab w:val="center" w:pos="6750"/>
      </w:tabs>
      <w:spacing w:after="0"/>
      <w:ind w:left="-21"/>
    </w:pPr>
    <w:r>
      <w:t xml:space="preserve">Dexamfetamine for Children and YP </w:t>
    </w:r>
    <w:r>
      <w:tab/>
      <w:t xml:space="preserve"> Date of SWLIMOC approval:27</w:t>
    </w:r>
    <w:r>
      <w:rPr>
        <w:vertAlign w:val="superscript"/>
      </w:rPr>
      <w:t>th</w:t>
    </w:r>
    <w:r>
      <w:t xml:space="preserve"> November 2024 </w:t>
    </w:r>
  </w:p>
  <w:p w14:paraId="1169D3A7" w14:textId="77777777" w:rsidR="00AB7245" w:rsidRDefault="00601FE5">
    <w:pPr>
      <w:tabs>
        <w:tab w:val="center" w:pos="4492"/>
        <w:tab w:val="center" w:pos="7683"/>
      </w:tabs>
      <w:spacing w:after="0"/>
      <w:ind w:left="-21"/>
    </w:pPr>
    <w:r>
      <w:t xml:space="preserve">Last updated:  November 2024 </w:t>
    </w:r>
    <w:r>
      <w:tab/>
      <w:t xml:space="preserve"> </w:t>
    </w:r>
    <w:r>
      <w:tab/>
      <w:t xml:space="preserve">Review date: November 2026 </w:t>
    </w:r>
  </w:p>
  <w:p w14:paraId="23E97959" w14:textId="77777777" w:rsidR="00AB7245" w:rsidRDefault="00601FE5">
    <w:pPr>
      <w:spacing w:after="0"/>
      <w:ind w:right="-26"/>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15</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132E2" w14:textId="77777777" w:rsidR="008C6184" w:rsidRDefault="008C6184">
      <w:pPr>
        <w:spacing w:after="0" w:line="240" w:lineRule="auto"/>
      </w:pPr>
      <w:r>
        <w:separator/>
      </w:r>
    </w:p>
  </w:footnote>
  <w:footnote w:type="continuationSeparator" w:id="0">
    <w:p w14:paraId="2C9BE011" w14:textId="77777777" w:rsidR="008C6184" w:rsidRDefault="008C6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8D31" w14:textId="77777777" w:rsidR="00AB7245" w:rsidRDefault="00AB72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33CF" w14:textId="77777777" w:rsidR="00AB7245" w:rsidRDefault="00AB72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7DC0" w14:textId="77777777" w:rsidR="00AB7245" w:rsidRDefault="00AB724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0308" w14:textId="77777777" w:rsidR="00AB7245" w:rsidRDefault="00601FE5">
    <w:pPr>
      <w:spacing w:after="0"/>
      <w:ind w:right="-235"/>
      <w:jc w:val="center"/>
    </w:pPr>
    <w:r>
      <w:rPr>
        <w:noProof/>
      </w:rPr>
      <w:drawing>
        <wp:anchor distT="0" distB="0" distL="114300" distR="114300" simplePos="0" relativeHeight="251658240" behindDoc="0" locked="0" layoutInCell="1" allowOverlap="0" wp14:anchorId="54693AD1" wp14:editId="64023D17">
          <wp:simplePos x="0" y="0"/>
          <wp:positionH relativeFrom="page">
            <wp:posOffset>4640580</wp:posOffset>
          </wp:positionH>
          <wp:positionV relativeFrom="page">
            <wp:posOffset>450215</wp:posOffset>
          </wp:positionV>
          <wp:extent cx="2011553" cy="816611"/>
          <wp:effectExtent l="0" t="0" r="0" b="0"/>
          <wp:wrapSquare wrapText="bothSides"/>
          <wp:docPr id="850" name="Picture 850"/>
          <wp:cNvGraphicFramePr/>
          <a:graphic xmlns:a="http://schemas.openxmlformats.org/drawingml/2006/main">
            <a:graphicData uri="http://schemas.openxmlformats.org/drawingml/2006/picture">
              <pic:pic xmlns:pic="http://schemas.openxmlformats.org/drawingml/2006/picture">
                <pic:nvPicPr>
                  <pic:cNvPr id="850" name="Picture 850"/>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3259" w14:textId="77777777" w:rsidR="00AB7245" w:rsidRDefault="00601FE5">
    <w:pPr>
      <w:spacing w:after="0"/>
      <w:ind w:right="-235"/>
      <w:jc w:val="center"/>
    </w:pPr>
    <w:r>
      <w:rPr>
        <w:noProof/>
      </w:rPr>
      <w:drawing>
        <wp:anchor distT="0" distB="0" distL="114300" distR="114300" simplePos="0" relativeHeight="251659264" behindDoc="0" locked="0" layoutInCell="1" allowOverlap="0" wp14:anchorId="44EE7B0A" wp14:editId="0BF306C1">
          <wp:simplePos x="0" y="0"/>
          <wp:positionH relativeFrom="page">
            <wp:posOffset>4640580</wp:posOffset>
          </wp:positionH>
          <wp:positionV relativeFrom="page">
            <wp:posOffset>450215</wp:posOffset>
          </wp:positionV>
          <wp:extent cx="2011553" cy="816611"/>
          <wp:effectExtent l="0" t="0" r="0" b="0"/>
          <wp:wrapSquare wrapText="bothSides"/>
          <wp:docPr id="2096157524" name="Picture 2096157524"/>
          <wp:cNvGraphicFramePr/>
          <a:graphic xmlns:a="http://schemas.openxmlformats.org/drawingml/2006/main">
            <a:graphicData uri="http://schemas.openxmlformats.org/drawingml/2006/picture">
              <pic:pic xmlns:pic="http://schemas.openxmlformats.org/drawingml/2006/picture">
                <pic:nvPicPr>
                  <pic:cNvPr id="850" name="Picture 850"/>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DF31" w14:textId="77777777" w:rsidR="00AB7245" w:rsidRDefault="00601FE5">
    <w:pPr>
      <w:spacing w:after="0"/>
      <w:ind w:right="-235"/>
      <w:jc w:val="center"/>
    </w:pPr>
    <w:r>
      <w:rPr>
        <w:noProof/>
      </w:rPr>
      <w:drawing>
        <wp:anchor distT="0" distB="0" distL="114300" distR="114300" simplePos="0" relativeHeight="251660288" behindDoc="0" locked="0" layoutInCell="1" allowOverlap="0" wp14:anchorId="0556BE9B" wp14:editId="6BDB0564">
          <wp:simplePos x="0" y="0"/>
          <wp:positionH relativeFrom="page">
            <wp:posOffset>4640580</wp:posOffset>
          </wp:positionH>
          <wp:positionV relativeFrom="page">
            <wp:posOffset>450215</wp:posOffset>
          </wp:positionV>
          <wp:extent cx="2011553" cy="816611"/>
          <wp:effectExtent l="0" t="0" r="0" b="0"/>
          <wp:wrapSquare wrapText="bothSides"/>
          <wp:docPr id="1796317037" name="Picture 1796317037"/>
          <wp:cNvGraphicFramePr/>
          <a:graphic xmlns:a="http://schemas.openxmlformats.org/drawingml/2006/main">
            <a:graphicData uri="http://schemas.openxmlformats.org/drawingml/2006/picture">
              <pic:pic xmlns:pic="http://schemas.openxmlformats.org/drawingml/2006/picture">
                <pic:nvPicPr>
                  <pic:cNvPr id="850" name="Picture 850"/>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C9A8" w14:textId="77777777" w:rsidR="00AB7245" w:rsidRDefault="00601FE5">
    <w:pPr>
      <w:spacing w:after="0"/>
      <w:ind w:left="-21" w:right="-74"/>
      <w:jc w:val="center"/>
    </w:pPr>
    <w:r>
      <w:rPr>
        <w:noProof/>
      </w:rPr>
      <w:drawing>
        <wp:anchor distT="0" distB="0" distL="114300" distR="114300" simplePos="0" relativeHeight="251661312" behindDoc="0" locked="0" layoutInCell="1" allowOverlap="0" wp14:anchorId="4C6AB94D" wp14:editId="35538F12">
          <wp:simplePos x="0" y="0"/>
          <wp:positionH relativeFrom="page">
            <wp:posOffset>4640580</wp:posOffset>
          </wp:positionH>
          <wp:positionV relativeFrom="page">
            <wp:posOffset>450215</wp:posOffset>
          </wp:positionV>
          <wp:extent cx="2011553" cy="816611"/>
          <wp:effectExtent l="0" t="0" r="0" b="0"/>
          <wp:wrapSquare wrapText="bothSides"/>
          <wp:docPr id="1378219396" name="Picture 1378219396"/>
          <wp:cNvGraphicFramePr/>
          <a:graphic xmlns:a="http://schemas.openxmlformats.org/drawingml/2006/main">
            <a:graphicData uri="http://schemas.openxmlformats.org/drawingml/2006/picture">
              <pic:pic xmlns:pic="http://schemas.openxmlformats.org/drawingml/2006/picture">
                <pic:nvPicPr>
                  <pic:cNvPr id="850" name="Picture 850"/>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0099" w14:textId="77777777" w:rsidR="00AB7245" w:rsidRDefault="00601FE5">
    <w:pPr>
      <w:spacing w:after="0"/>
      <w:ind w:left="-21" w:right="-74"/>
      <w:jc w:val="center"/>
    </w:pPr>
    <w:r>
      <w:rPr>
        <w:noProof/>
      </w:rPr>
      <w:drawing>
        <wp:anchor distT="0" distB="0" distL="114300" distR="114300" simplePos="0" relativeHeight="251662336" behindDoc="0" locked="0" layoutInCell="1" allowOverlap="0" wp14:anchorId="61A4860C" wp14:editId="7FB75266">
          <wp:simplePos x="0" y="0"/>
          <wp:positionH relativeFrom="page">
            <wp:posOffset>4640580</wp:posOffset>
          </wp:positionH>
          <wp:positionV relativeFrom="page">
            <wp:posOffset>450215</wp:posOffset>
          </wp:positionV>
          <wp:extent cx="2011553" cy="816611"/>
          <wp:effectExtent l="0" t="0" r="0" b="0"/>
          <wp:wrapSquare wrapText="bothSides"/>
          <wp:docPr id="631538386" name="Picture 631538386"/>
          <wp:cNvGraphicFramePr/>
          <a:graphic xmlns:a="http://schemas.openxmlformats.org/drawingml/2006/main">
            <a:graphicData uri="http://schemas.openxmlformats.org/drawingml/2006/picture">
              <pic:pic xmlns:pic="http://schemas.openxmlformats.org/drawingml/2006/picture">
                <pic:nvPicPr>
                  <pic:cNvPr id="850" name="Picture 850"/>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9587" w14:textId="77777777" w:rsidR="00AB7245" w:rsidRDefault="00601FE5">
    <w:pPr>
      <w:spacing w:after="0"/>
      <w:ind w:left="-21" w:right="-74"/>
      <w:jc w:val="center"/>
    </w:pPr>
    <w:r>
      <w:rPr>
        <w:noProof/>
      </w:rPr>
      <w:drawing>
        <wp:anchor distT="0" distB="0" distL="114300" distR="114300" simplePos="0" relativeHeight="251663360" behindDoc="0" locked="0" layoutInCell="1" allowOverlap="0" wp14:anchorId="36E0FD4E" wp14:editId="706262B0">
          <wp:simplePos x="0" y="0"/>
          <wp:positionH relativeFrom="page">
            <wp:posOffset>4640580</wp:posOffset>
          </wp:positionH>
          <wp:positionV relativeFrom="page">
            <wp:posOffset>450215</wp:posOffset>
          </wp:positionV>
          <wp:extent cx="2011553" cy="816611"/>
          <wp:effectExtent l="0" t="0" r="0" b="0"/>
          <wp:wrapSquare wrapText="bothSides"/>
          <wp:docPr id="868274260" name="Picture 868274260"/>
          <wp:cNvGraphicFramePr/>
          <a:graphic xmlns:a="http://schemas.openxmlformats.org/drawingml/2006/main">
            <a:graphicData uri="http://schemas.openxmlformats.org/drawingml/2006/picture">
              <pic:pic xmlns:pic="http://schemas.openxmlformats.org/drawingml/2006/picture">
                <pic:nvPicPr>
                  <pic:cNvPr id="850" name="Picture 850"/>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49FC"/>
    <w:multiLevelType w:val="hybridMultilevel"/>
    <w:tmpl w:val="1F24FA74"/>
    <w:lvl w:ilvl="0" w:tplc="E2DE1C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F2438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AE09D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EE8C6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406C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4ACC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00DF4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523B8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580A8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3301D2"/>
    <w:multiLevelType w:val="hybridMultilevel"/>
    <w:tmpl w:val="211A627A"/>
    <w:lvl w:ilvl="0" w:tplc="36861380">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6EB062">
      <w:start w:val="1"/>
      <w:numFmt w:val="bullet"/>
      <w:lvlText w:val="o"/>
      <w:lvlJc w:val="left"/>
      <w:pPr>
        <w:ind w:left="1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B4E14C">
      <w:start w:val="1"/>
      <w:numFmt w:val="bullet"/>
      <w:lvlText w:val="▪"/>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861C7E">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CEBBBA">
      <w:start w:val="1"/>
      <w:numFmt w:val="bullet"/>
      <w:lvlText w:val="o"/>
      <w:lvlJc w:val="left"/>
      <w:pPr>
        <w:ind w:left="3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A0488">
      <w:start w:val="1"/>
      <w:numFmt w:val="bullet"/>
      <w:lvlText w:val="▪"/>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DEC8EE">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05BE4">
      <w:start w:val="1"/>
      <w:numFmt w:val="bullet"/>
      <w:lvlText w:val="o"/>
      <w:lvlJc w:val="left"/>
      <w:pPr>
        <w:ind w:left="5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EA40A0">
      <w:start w:val="1"/>
      <w:numFmt w:val="bullet"/>
      <w:lvlText w:val="▪"/>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726D43"/>
    <w:multiLevelType w:val="hybridMultilevel"/>
    <w:tmpl w:val="037278A4"/>
    <w:lvl w:ilvl="0" w:tplc="9BF0B8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8C92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B4784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E043A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7E4A6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C054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7001F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C0B15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A86E7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7F3661"/>
    <w:multiLevelType w:val="hybridMultilevel"/>
    <w:tmpl w:val="AF1EC61A"/>
    <w:lvl w:ilvl="0" w:tplc="7B34078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90DB76">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DA59E0">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705D0C">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AC7CDA">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6A14BA">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DC1906">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3E2A80">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8C2CF4">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2F72C6"/>
    <w:multiLevelType w:val="hybridMultilevel"/>
    <w:tmpl w:val="ABFA203E"/>
    <w:lvl w:ilvl="0" w:tplc="5178B9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9E499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4430D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06F56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98CAB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0C170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68840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9ABDD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26B4C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0C0A62"/>
    <w:multiLevelType w:val="hybridMultilevel"/>
    <w:tmpl w:val="E37E1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AAE57C8"/>
    <w:multiLevelType w:val="hybridMultilevel"/>
    <w:tmpl w:val="9D0C688E"/>
    <w:lvl w:ilvl="0" w:tplc="9ED0F9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DCA3D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E6A64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BA2EA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B66B9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8C609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84A7B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522E4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ACCA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A335AD"/>
    <w:multiLevelType w:val="hybridMultilevel"/>
    <w:tmpl w:val="FE72292E"/>
    <w:lvl w:ilvl="0" w:tplc="159EAA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AD83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D62286">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BAD84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D8930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5C78B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84BE3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2703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8CC8D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235AB4"/>
    <w:multiLevelType w:val="hybridMultilevel"/>
    <w:tmpl w:val="F9BA079C"/>
    <w:lvl w:ilvl="0" w:tplc="509CEF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14D5C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D0B1B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EE3B0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6097B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8EF83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0853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2432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6E99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7C2438"/>
    <w:multiLevelType w:val="hybridMultilevel"/>
    <w:tmpl w:val="47A86382"/>
    <w:lvl w:ilvl="0" w:tplc="DA2C7C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6A088">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D0C67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64D54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68B56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9AC45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700B9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781B7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007B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8F454D"/>
    <w:multiLevelType w:val="hybridMultilevel"/>
    <w:tmpl w:val="A9A4823E"/>
    <w:lvl w:ilvl="0" w:tplc="2C9E26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22A098">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80CFD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2EFDC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0815B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E6768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66D24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AD65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F2F9E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391033"/>
    <w:multiLevelType w:val="hybridMultilevel"/>
    <w:tmpl w:val="4E187DAC"/>
    <w:lvl w:ilvl="0" w:tplc="9BFEC6C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CD0DA54">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44C15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DC40B2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528229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344939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5A9A1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D889F0">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A8A67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7F50827"/>
    <w:multiLevelType w:val="hybridMultilevel"/>
    <w:tmpl w:val="D23AB80C"/>
    <w:lvl w:ilvl="0" w:tplc="1AC8BA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A35F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FC5F2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327EB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4CB7A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023B3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88A34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667B3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7E498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FF0D89"/>
    <w:multiLevelType w:val="hybridMultilevel"/>
    <w:tmpl w:val="EF18117C"/>
    <w:lvl w:ilvl="0" w:tplc="00AE4A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AB0C6">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7C42860">
      <w:start w:val="1"/>
      <w:numFmt w:val="bullet"/>
      <w:lvlText w:val="▪"/>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6E0B56A">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ACC57EC">
      <w:start w:val="1"/>
      <w:numFmt w:val="bullet"/>
      <w:lvlText w:val="o"/>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ABE6664">
      <w:start w:val="1"/>
      <w:numFmt w:val="bullet"/>
      <w:lvlText w:val="▪"/>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212698C">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F2650EA">
      <w:start w:val="1"/>
      <w:numFmt w:val="bullet"/>
      <w:lvlText w:val="o"/>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46C8568">
      <w:start w:val="1"/>
      <w:numFmt w:val="bullet"/>
      <w:lvlText w:val="▪"/>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097441"/>
    <w:multiLevelType w:val="hybridMultilevel"/>
    <w:tmpl w:val="766C8F96"/>
    <w:lvl w:ilvl="0" w:tplc="177EC2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61B7C">
      <w:start w:val="1"/>
      <w:numFmt w:val="bullet"/>
      <w:lvlText w:val="o"/>
      <w:lvlJc w:val="left"/>
      <w:pPr>
        <w:ind w:left="1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78653A">
      <w:start w:val="1"/>
      <w:numFmt w:val="bullet"/>
      <w:lvlText w:val="▪"/>
      <w:lvlJc w:val="left"/>
      <w:pPr>
        <w:ind w:left="2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DE5874">
      <w:start w:val="1"/>
      <w:numFmt w:val="bullet"/>
      <w:lvlText w:val="•"/>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162882">
      <w:start w:val="1"/>
      <w:numFmt w:val="bullet"/>
      <w:lvlText w:val="o"/>
      <w:lvlJc w:val="left"/>
      <w:pPr>
        <w:ind w:left="3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4DB12">
      <w:start w:val="1"/>
      <w:numFmt w:val="bullet"/>
      <w:lvlText w:val="▪"/>
      <w:lvlJc w:val="left"/>
      <w:pPr>
        <w:ind w:left="4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8664EA">
      <w:start w:val="1"/>
      <w:numFmt w:val="bullet"/>
      <w:lvlText w:val="•"/>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CF2A6">
      <w:start w:val="1"/>
      <w:numFmt w:val="bullet"/>
      <w:lvlText w:val="o"/>
      <w:lvlJc w:val="left"/>
      <w:pPr>
        <w:ind w:left="5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949F84">
      <w:start w:val="1"/>
      <w:numFmt w:val="bullet"/>
      <w:lvlText w:val="▪"/>
      <w:lvlJc w:val="left"/>
      <w:pPr>
        <w:ind w:left="6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744747"/>
    <w:multiLevelType w:val="hybridMultilevel"/>
    <w:tmpl w:val="80305696"/>
    <w:lvl w:ilvl="0" w:tplc="145417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8003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B0014C">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FA36F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DA113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E21BE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298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485BD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CA592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B786F83"/>
    <w:multiLevelType w:val="hybridMultilevel"/>
    <w:tmpl w:val="93F6DBEE"/>
    <w:lvl w:ilvl="0" w:tplc="F07C682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4CD0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6EE85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9E7A1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AB7E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28ED5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82A65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46D8F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86D45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23510208">
    <w:abstractNumId w:val="11"/>
  </w:num>
  <w:num w:numId="2" w16cid:durableId="1667780393">
    <w:abstractNumId w:val="12"/>
  </w:num>
  <w:num w:numId="3" w16cid:durableId="1952349242">
    <w:abstractNumId w:val="7"/>
  </w:num>
  <w:num w:numId="4" w16cid:durableId="517239766">
    <w:abstractNumId w:val="9"/>
  </w:num>
  <w:num w:numId="5" w16cid:durableId="1229074277">
    <w:abstractNumId w:val="10"/>
  </w:num>
  <w:num w:numId="6" w16cid:durableId="275410824">
    <w:abstractNumId w:val="0"/>
  </w:num>
  <w:num w:numId="7" w16cid:durableId="2141995501">
    <w:abstractNumId w:val="8"/>
  </w:num>
  <w:num w:numId="8" w16cid:durableId="883951909">
    <w:abstractNumId w:val="6"/>
  </w:num>
  <w:num w:numId="9" w16cid:durableId="764150839">
    <w:abstractNumId w:val="13"/>
  </w:num>
  <w:num w:numId="10" w16cid:durableId="671957514">
    <w:abstractNumId w:val="4"/>
  </w:num>
  <w:num w:numId="11" w16cid:durableId="187648796">
    <w:abstractNumId w:val="1"/>
  </w:num>
  <w:num w:numId="12" w16cid:durableId="858005884">
    <w:abstractNumId w:val="16"/>
  </w:num>
  <w:num w:numId="13" w16cid:durableId="447159964">
    <w:abstractNumId w:val="14"/>
  </w:num>
  <w:num w:numId="14" w16cid:durableId="817309511">
    <w:abstractNumId w:val="2"/>
  </w:num>
  <w:num w:numId="15" w16cid:durableId="710573429">
    <w:abstractNumId w:val="15"/>
  </w:num>
  <w:num w:numId="16" w16cid:durableId="513811892">
    <w:abstractNumId w:val="3"/>
  </w:num>
  <w:num w:numId="17" w16cid:durableId="159470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ocumentProtection w:edit="readOnly" w:formatting="1" w:enforcement="1" w:cryptProviderType="rsaAES" w:cryptAlgorithmClass="hash" w:cryptAlgorithmType="typeAny" w:cryptAlgorithmSid="14" w:cryptSpinCount="100000" w:hash="8eXRrB7UafUnnBkpovwUw3oJV5OIB8RG85ji163z5ps9DSwX8pBuvguAH7cTy7Vc3c79GpaQWE/FAf/8LmYTpA==" w:salt="+mi2oVx6nwnK2ja21+2/e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45"/>
    <w:rsid w:val="001140FB"/>
    <w:rsid w:val="00130D08"/>
    <w:rsid w:val="001E4775"/>
    <w:rsid w:val="00204FCE"/>
    <w:rsid w:val="003444F9"/>
    <w:rsid w:val="00601FE5"/>
    <w:rsid w:val="007D3DBB"/>
    <w:rsid w:val="008C6184"/>
    <w:rsid w:val="00A02745"/>
    <w:rsid w:val="00A523EE"/>
    <w:rsid w:val="00AB7245"/>
    <w:rsid w:val="00BF493C"/>
    <w:rsid w:val="00D94683"/>
    <w:rsid w:val="00E54116"/>
    <w:rsid w:val="00E95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3469"/>
  <w15:docId w15:val="{80C17020-BADB-441B-9CB4-0A48ECAA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116"/>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753" w:line="259" w:lineRule="auto"/>
      <w:ind w:left="2747"/>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601FE5"/>
    <w:pPr>
      <w:autoSpaceDE w:val="0"/>
      <w:autoSpaceDN w:val="0"/>
      <w:adjustRightInd w:val="0"/>
      <w:spacing w:after="0" w:line="240" w:lineRule="auto"/>
    </w:pPr>
    <w:rPr>
      <w:rFonts w:ascii="Arial" w:eastAsiaTheme="minorHAnsi" w:hAnsi="Arial" w:cs="Arial"/>
      <w:color w:val="000000"/>
      <w:kern w:val="0"/>
      <w:lang w:eastAsia="en-US"/>
      <w14:ligatures w14:val="none"/>
    </w:rPr>
  </w:style>
  <w:style w:type="paragraph" w:styleId="ListParagraph">
    <w:name w:val="List Paragraph"/>
    <w:basedOn w:val="Normal"/>
    <w:uiPriority w:val="34"/>
    <w:qFormat/>
    <w:rsid w:val="00E54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57278">
      <w:bodyDiv w:val="1"/>
      <w:marLeft w:val="0"/>
      <w:marRight w:val="0"/>
      <w:marTop w:val="0"/>
      <w:marBottom w:val="0"/>
      <w:divBdr>
        <w:top w:val="none" w:sz="0" w:space="0" w:color="auto"/>
        <w:left w:val="none" w:sz="0" w:space="0" w:color="auto"/>
        <w:bottom w:val="none" w:sz="0" w:space="0" w:color="auto"/>
        <w:right w:val="none" w:sz="0" w:space="0" w:color="auto"/>
      </w:divBdr>
    </w:div>
    <w:div w:id="475151426">
      <w:bodyDiv w:val="1"/>
      <w:marLeft w:val="0"/>
      <w:marRight w:val="0"/>
      <w:marTop w:val="0"/>
      <w:marBottom w:val="0"/>
      <w:divBdr>
        <w:top w:val="none" w:sz="0" w:space="0" w:color="auto"/>
        <w:left w:val="none" w:sz="0" w:space="0" w:color="auto"/>
        <w:bottom w:val="none" w:sz="0" w:space="0" w:color="auto"/>
        <w:right w:val="none" w:sz="0" w:space="0" w:color="auto"/>
      </w:divBdr>
    </w:div>
    <w:div w:id="1222063833">
      <w:bodyDiv w:val="1"/>
      <w:marLeft w:val="0"/>
      <w:marRight w:val="0"/>
      <w:marTop w:val="0"/>
      <w:marBottom w:val="0"/>
      <w:divBdr>
        <w:top w:val="none" w:sz="0" w:space="0" w:color="auto"/>
        <w:left w:val="none" w:sz="0" w:space="0" w:color="auto"/>
        <w:bottom w:val="none" w:sz="0" w:space="0" w:color="auto"/>
        <w:right w:val="none" w:sz="0" w:space="0" w:color="auto"/>
      </w:divBdr>
    </w:div>
    <w:div w:id="16243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ps.nhs.uk/articles/safety-in-lactation-drugs-for-adhd/" TargetMode="External"/><Relationship Id="rId21" Type="http://schemas.openxmlformats.org/officeDocument/2006/relationships/hyperlink" Target="https://www.choiceandmedication.org/swlstg-tr/printable-leaflets/patient-information-leaflets/41/ALL/" TargetMode="External"/><Relationship Id="rId42" Type="http://schemas.openxmlformats.org/officeDocument/2006/relationships/hyperlink" Target="https://www.medicines.org.uk/emc/search?q=dexamfetamine" TargetMode="External"/><Relationship Id="rId63" Type="http://schemas.openxmlformats.org/officeDocument/2006/relationships/hyperlink" Target="https://www.gov.uk/adhd-and-driving" TargetMode="External"/><Relationship Id="rId84" Type="http://schemas.openxmlformats.org/officeDocument/2006/relationships/hyperlink" Target="https://www.nhs.uk/conditions/attention-deficit-hyperactivity-disorder-adhd" TargetMode="External"/><Relationship Id="rId138" Type="http://schemas.openxmlformats.org/officeDocument/2006/relationships/hyperlink" Target="https://www.nice.org.uk/guidance/ng87/" TargetMode="External"/><Relationship Id="rId159" Type="http://schemas.openxmlformats.org/officeDocument/2006/relationships/hyperlink" Target="https://cks.nice.org.uk/topics/attention-deficit-hyperactivity-disorder/prescribing-information/amfetamines/" TargetMode="External"/><Relationship Id="rId170" Type="http://schemas.openxmlformats.org/officeDocument/2006/relationships/hyperlink" Target="https://www.sps.nhs.uk/articles/rmoc-shared-care-guidance/" TargetMode="External"/><Relationship Id="rId191" Type="http://schemas.openxmlformats.org/officeDocument/2006/relationships/hyperlink" Target="https://www.england.nhs.uk/publication/responsibility-for-prescribing-between-primary-and-secondary-tertiary-care/" TargetMode="External"/><Relationship Id="rId205" Type="http://schemas.openxmlformats.org/officeDocument/2006/relationships/hyperlink" Target="https://www.gmc-uk.org/ethical-guidance/ethical-guidance-for-doctors/good-practice-in-prescribing-and-managing-medicines-and-devices/shared-care" TargetMode="External"/><Relationship Id="rId226" Type="http://schemas.openxmlformats.org/officeDocument/2006/relationships/footer" Target="footer7.xml"/><Relationship Id="rId107" Type="http://schemas.openxmlformats.org/officeDocument/2006/relationships/hyperlink" Target="https://www.medicinesinpregnancy.org/bumps/monographs/USE-OF-AMFETAMINES-IN-PREGNANCY/" TargetMode="External"/><Relationship Id="rId11" Type="http://schemas.openxmlformats.org/officeDocument/2006/relationships/footer" Target="footer1.xml"/><Relationship Id="rId32" Type="http://schemas.openxmlformats.org/officeDocument/2006/relationships/hyperlink" Target="https://www.transformationpartnersinhealthandcare.nhs.uk/cyp-adhd-resources" TargetMode="External"/><Relationship Id="rId53" Type="http://schemas.openxmlformats.org/officeDocument/2006/relationships/footer" Target="footer4.xml"/><Relationship Id="rId74" Type="http://schemas.openxmlformats.org/officeDocument/2006/relationships/hyperlink" Target="https://www.gov.uk/guidance/controlled-drugs-personal-licences" TargetMode="External"/><Relationship Id="rId128" Type="http://schemas.openxmlformats.org/officeDocument/2006/relationships/hyperlink" Target="https://bnfc.nice.org.uk/drugs/dexamfetamine-sulfate/" TargetMode="External"/><Relationship Id="rId149" Type="http://schemas.openxmlformats.org/officeDocument/2006/relationships/hyperlink" Target="https://www.sps.nhs.uk/articles/safety-in-lactation-drugs-for-adhd/" TargetMode="External"/><Relationship Id="rId5" Type="http://schemas.openxmlformats.org/officeDocument/2006/relationships/webSettings" Target="webSettings.xml"/><Relationship Id="rId95" Type="http://schemas.openxmlformats.org/officeDocument/2006/relationships/hyperlink" Target="https://bestpractice.bmj.com/patient-leaflets?" TargetMode="External"/><Relationship Id="rId160" Type="http://schemas.openxmlformats.org/officeDocument/2006/relationships/hyperlink" Target="https://www.gov.uk/drug-driving-law" TargetMode="External"/><Relationship Id="rId181" Type="http://schemas.openxmlformats.org/officeDocument/2006/relationships/hyperlink" Target="https://www.england.nhs.uk/publication/responsibility-for-prescribing-between-primary-and-secondary-tertiary-care/" TargetMode="External"/><Relationship Id="rId216" Type="http://schemas.openxmlformats.org/officeDocument/2006/relationships/hyperlink" Target="https://www.gmc-uk.org/ethical-guidance/ethical-guidance-for-doctors/good-practice-in-prescribing-and-managing-medicines-and-devices/shared-care" TargetMode="External"/><Relationship Id="rId22" Type="http://schemas.openxmlformats.org/officeDocument/2006/relationships/hyperlink" Target="https://www.choiceandmedication.org/swlstg-tr/printable-leaflets/patient-information-leaflets/41/ALL/" TargetMode="External"/><Relationship Id="rId43" Type="http://schemas.openxmlformats.org/officeDocument/2006/relationships/hyperlink" Target="https://bnf.nice.org.uk/guidance/controlled-drugs-and-drug-dependence.html" TargetMode="External"/><Relationship Id="rId64" Type="http://schemas.openxmlformats.org/officeDocument/2006/relationships/hyperlink" Target="https://www.gov.uk/adhd-and-driving" TargetMode="External"/><Relationship Id="rId118" Type="http://schemas.openxmlformats.org/officeDocument/2006/relationships/hyperlink" Target="https://www.sps.nhs.uk/articles/safety-in-lactation-drugs-for-adhd/" TargetMode="External"/><Relationship Id="rId139" Type="http://schemas.openxmlformats.org/officeDocument/2006/relationships/hyperlink" Target="https://www.nice.org.uk/guidance/ng43/" TargetMode="External"/><Relationship Id="rId85" Type="http://schemas.openxmlformats.org/officeDocument/2006/relationships/hyperlink" Target="https://www.nhs.uk/conditions/attention-deficit-hyperactivity-disorder-adhd" TargetMode="External"/><Relationship Id="rId150" Type="http://schemas.openxmlformats.org/officeDocument/2006/relationships/hyperlink" Target="https://www.sps.nhs.uk/articles/safety-in-lactation-drugs-for-adhd/" TargetMode="External"/><Relationship Id="rId171" Type="http://schemas.openxmlformats.org/officeDocument/2006/relationships/hyperlink" Target="https://www.sps.nhs.uk/articles/rmoc-shared-care-guidance/" TargetMode="External"/><Relationship Id="rId192" Type="http://schemas.openxmlformats.org/officeDocument/2006/relationships/hyperlink" Target="https://www.gmc-uk.org/ethical-guidance/ethical-guidance-for-doctors/good-practice-in-prescribing-and-managing-medicines-and-devices/shared-care" TargetMode="External"/><Relationship Id="rId206" Type="http://schemas.openxmlformats.org/officeDocument/2006/relationships/hyperlink" Target="https://www.gmc-uk.org/ethical-guidance/ethical-guidance-for-doctors/good-practice-in-prescribing-and-managing-medicines-and-devices/shared-care" TargetMode="External"/><Relationship Id="rId227" Type="http://schemas.openxmlformats.org/officeDocument/2006/relationships/footer" Target="footer8.xml"/><Relationship Id="rId12" Type="http://schemas.openxmlformats.org/officeDocument/2006/relationships/footer" Target="footer2.xml"/><Relationship Id="rId33" Type="http://schemas.openxmlformats.org/officeDocument/2006/relationships/hyperlink" Target="https://www.transformationpartnersinhealthandcare.nhs.uk/cyp-adhd-resources" TargetMode="External"/><Relationship Id="rId108" Type="http://schemas.openxmlformats.org/officeDocument/2006/relationships/hyperlink" Target="https://www.medicinesinpregnancy.org/bumps/monographs/USE-OF-AMFETAMINES-IN-PREGNANCY/" TargetMode="External"/><Relationship Id="rId129" Type="http://schemas.openxmlformats.org/officeDocument/2006/relationships/hyperlink" Target="https://www.medicines.org.uk/emc/product/11004/smpc" TargetMode="External"/><Relationship Id="rId54" Type="http://schemas.openxmlformats.org/officeDocument/2006/relationships/footer" Target="footer5.xml"/><Relationship Id="rId75" Type="http://schemas.openxmlformats.org/officeDocument/2006/relationships/hyperlink" Target="https://www.gov.uk/guidance/controlled-drugs-personal-licences" TargetMode="External"/><Relationship Id="rId96" Type="http://schemas.openxmlformats.org/officeDocument/2006/relationships/hyperlink" Target="https://www.rcpsych.ac.uk/mental-health/parents-and-young-people/information-for-parents-and-carers/ADHD-and-hyperkinetic-disorder-information-for-parents" TargetMode="External"/><Relationship Id="rId140" Type="http://schemas.openxmlformats.org/officeDocument/2006/relationships/hyperlink" Target="https://www.nice.org.uk/guidance/ng43/" TargetMode="External"/><Relationship Id="rId161" Type="http://schemas.openxmlformats.org/officeDocument/2006/relationships/hyperlink" Target="https://www.gov.uk/drug-driving-law" TargetMode="External"/><Relationship Id="rId182" Type="http://schemas.openxmlformats.org/officeDocument/2006/relationships/hyperlink" Target="https://www.england.nhs.uk/publication/responsibility-for-prescribing-between-primary-and-secondary-tertiary-care/" TargetMode="External"/><Relationship Id="rId217" Type="http://schemas.openxmlformats.org/officeDocument/2006/relationships/hyperlink" Target="https://www.gmc-uk.org/ethical-guidance/ethical-guidance-for-doctors/good-practice-in-prescribing-and-managing-medicines-and-devices/shared-care" TargetMode="External"/><Relationship Id="rId6" Type="http://schemas.openxmlformats.org/officeDocument/2006/relationships/footnotes" Target="footnotes.xml"/><Relationship Id="rId23" Type="http://schemas.openxmlformats.org/officeDocument/2006/relationships/hyperlink" Target="https://www.choiceandmedication.org/swlstg-tr/printable-leaflets/patient-information-leaflets/41/ALL/" TargetMode="External"/><Relationship Id="rId119" Type="http://schemas.openxmlformats.org/officeDocument/2006/relationships/hyperlink" Target="https://www.sps.nhs.uk/articles/safety-in-lactation-drugs-for-adhd/" TargetMode="External"/><Relationship Id="rId44" Type="http://schemas.openxmlformats.org/officeDocument/2006/relationships/hyperlink" Target="https://bnf.nice.org.uk/guidance/controlled-drugs-and-drug-dependence.html" TargetMode="External"/><Relationship Id="rId65" Type="http://schemas.openxmlformats.org/officeDocument/2006/relationships/hyperlink" Target="https://www.gov.uk/adhd-and-driving" TargetMode="External"/><Relationship Id="rId86" Type="http://schemas.openxmlformats.org/officeDocument/2006/relationships/hyperlink" Target="https://www.nhs.uk/conditions/attention-deficit-hyperactivity-disorder-adhd" TargetMode="External"/><Relationship Id="rId130" Type="http://schemas.openxmlformats.org/officeDocument/2006/relationships/hyperlink" Target="https://www.medicines.org.uk/emc/product/11004/smpc" TargetMode="External"/><Relationship Id="rId151" Type="http://schemas.openxmlformats.org/officeDocument/2006/relationships/hyperlink" Target="https://www.sps.nhs.uk/articles/safety-in-lactation-drugs-for-adhd/" TargetMode="External"/><Relationship Id="rId172" Type="http://schemas.openxmlformats.org/officeDocument/2006/relationships/hyperlink" Target="https://www.sps.nhs.uk/articles/rmoc-shared-care-guidance/" TargetMode="External"/><Relationship Id="rId193" Type="http://schemas.openxmlformats.org/officeDocument/2006/relationships/hyperlink" Target="https://www.gmc-uk.org/ethical-guidance/ethical-guidance-for-doctors/good-practice-in-prescribing-and-managing-medicines-and-devices/shared-care" TargetMode="External"/><Relationship Id="rId207" Type="http://schemas.openxmlformats.org/officeDocument/2006/relationships/hyperlink" Target="https://www.gmc-uk.org/ethical-guidance/ethical-guidance-for-doctors/good-practice-in-prescribing-and-managing-medicines-and-devices/shared-care" TargetMode="External"/><Relationship Id="rId228" Type="http://schemas.openxmlformats.org/officeDocument/2006/relationships/header" Target="header9.xml"/><Relationship Id="rId13" Type="http://schemas.openxmlformats.org/officeDocument/2006/relationships/header" Target="header3.xml"/><Relationship Id="rId109" Type="http://schemas.openxmlformats.org/officeDocument/2006/relationships/hyperlink" Target="https://www.medicinesinpregnancy.org/bumps/monographs/USE-OF-AMFETAMINES-IN-PREGNANCY/" TargetMode="External"/><Relationship Id="rId34" Type="http://schemas.openxmlformats.org/officeDocument/2006/relationships/hyperlink" Target="https://www.transformationpartnersinhealthandcare.nhs.uk/cyp-adhd-resources" TargetMode="External"/><Relationship Id="rId55" Type="http://schemas.openxmlformats.org/officeDocument/2006/relationships/header" Target="header6.xml"/><Relationship Id="rId76" Type="http://schemas.openxmlformats.org/officeDocument/2006/relationships/hyperlink" Target="https://www.gov.uk/guidance/controlled-drugs-personal-licences" TargetMode="External"/><Relationship Id="rId97" Type="http://schemas.openxmlformats.org/officeDocument/2006/relationships/hyperlink" Target="https://www.rcpsych.ac.uk/mental-health/parents-and-young-people/information-for-parents-and-carers/ADHD-and-hyperkinetic-disorder-information-for-parents" TargetMode="External"/><Relationship Id="rId120" Type="http://schemas.openxmlformats.org/officeDocument/2006/relationships/hyperlink" Target="https://www.sps.nhs.uk/articles/safety-in-lactation-drugs-for-adhd/" TargetMode="External"/><Relationship Id="rId141" Type="http://schemas.openxmlformats.org/officeDocument/2006/relationships/hyperlink" Target="https://www.sps.nhs.uk/articles/safety-in-lactation-drugs-for-adhd/" TargetMode="External"/><Relationship Id="rId7" Type="http://schemas.openxmlformats.org/officeDocument/2006/relationships/endnotes" Target="endnotes.xml"/><Relationship Id="rId162" Type="http://schemas.openxmlformats.org/officeDocument/2006/relationships/hyperlink" Target="https://www.gov.uk/drug-driving-law" TargetMode="External"/><Relationship Id="rId183" Type="http://schemas.openxmlformats.org/officeDocument/2006/relationships/hyperlink" Target="https://www.england.nhs.uk/publication/responsibility-for-prescribing-between-primary-and-secondary-tertiary-care/" TargetMode="External"/><Relationship Id="rId218" Type="http://schemas.openxmlformats.org/officeDocument/2006/relationships/hyperlink" Target="https://www.gmc-uk.org/ethical-guidance/ethical-guidance-for-doctors/good-practice-in-prescribing-and-managing-medicines-and-devices/shared-care" TargetMode="External"/><Relationship Id="rId24" Type="http://schemas.openxmlformats.org/officeDocument/2006/relationships/hyperlink" Target="https://www.choiceandmedication.org/swlstg-tr/printable-leaflets/patient-information-leaflets/41/ALL/" TargetMode="External"/><Relationship Id="rId45" Type="http://schemas.openxmlformats.org/officeDocument/2006/relationships/hyperlink" Target="https://bnf.nice.org.uk/guidance/controlled-drugs-and-drug-dependence.html" TargetMode="External"/><Relationship Id="rId66" Type="http://schemas.openxmlformats.org/officeDocument/2006/relationships/hyperlink" Target="https://www.gov.uk/adhd-and-driving" TargetMode="External"/><Relationship Id="rId87" Type="http://schemas.openxmlformats.org/officeDocument/2006/relationships/hyperlink" Target="https://www.nhs.uk/conditions/attention-deficit-hyperactivity-disorder-adhd" TargetMode="External"/><Relationship Id="rId110" Type="http://schemas.openxmlformats.org/officeDocument/2006/relationships/hyperlink" Target="https://www.medicinesinpregnancy.org/bumps/monographs/USE-OF-AMFETAMINES-IN-PREGNANCY/" TargetMode="External"/><Relationship Id="rId131" Type="http://schemas.openxmlformats.org/officeDocument/2006/relationships/hyperlink" Target="https://www.medicines.org.uk/emc/product/11004/smpc" TargetMode="External"/><Relationship Id="rId152" Type="http://schemas.openxmlformats.org/officeDocument/2006/relationships/hyperlink" Target="https://www.sps.nhs.uk/articles/safety-in-lactation-drugs-for-adhd/" TargetMode="External"/><Relationship Id="rId173" Type="http://schemas.openxmlformats.org/officeDocument/2006/relationships/hyperlink" Target="https://www.sps.nhs.uk/articles/rmoc-shared-care-guidance/" TargetMode="External"/><Relationship Id="rId194" Type="http://schemas.openxmlformats.org/officeDocument/2006/relationships/hyperlink" Target="https://www.gmc-uk.org/ethical-guidance/ethical-guidance-for-doctors/good-practice-in-prescribing-and-managing-medicines-and-devices/shared-care" TargetMode="External"/><Relationship Id="rId208" Type="http://schemas.openxmlformats.org/officeDocument/2006/relationships/hyperlink" Target="https://www.gmc-uk.org/ethical-guidance/ethical-guidance-for-doctors/good-practice-in-prescribing-and-managing-medicines-and-devices/shared-care" TargetMode="External"/><Relationship Id="rId229" Type="http://schemas.openxmlformats.org/officeDocument/2006/relationships/footer" Target="footer9.xml"/><Relationship Id="rId14" Type="http://schemas.openxmlformats.org/officeDocument/2006/relationships/footer" Target="footer3.xml"/><Relationship Id="rId35" Type="http://schemas.openxmlformats.org/officeDocument/2006/relationships/hyperlink" Target="https://www.transformationpartnersinhealthandcare.nhs.uk/cyp-adhd-resources" TargetMode="External"/><Relationship Id="rId56" Type="http://schemas.openxmlformats.org/officeDocument/2006/relationships/footer" Target="footer6.xml"/><Relationship Id="rId77" Type="http://schemas.openxmlformats.org/officeDocument/2006/relationships/hyperlink" Target="https://www.choiceandmedication.org/swlstg-tr/condition/attention-deficit-hyperactivity-disorder/" TargetMode="External"/><Relationship Id="rId100" Type="http://schemas.openxmlformats.org/officeDocument/2006/relationships/hyperlink" Target="https://www.transformationpartnersinhealthandcare.nhs.uk/cyp-adhd-resources" TargetMode="External"/><Relationship Id="rId8" Type="http://schemas.openxmlformats.org/officeDocument/2006/relationships/image" Target="media/image1.jpg"/><Relationship Id="rId98" Type="http://schemas.openxmlformats.org/officeDocument/2006/relationships/hyperlink" Target="https://www.transformationpartnersinhealthandcare.nhs.uk/cyp-adhd-resources" TargetMode="External"/><Relationship Id="rId121" Type="http://schemas.openxmlformats.org/officeDocument/2006/relationships/hyperlink" Target="https://www.sps.nhs.uk/articles/safety-in-lactation-drugs-for-adhd/" TargetMode="External"/><Relationship Id="rId142" Type="http://schemas.openxmlformats.org/officeDocument/2006/relationships/hyperlink" Target="https://www.sps.nhs.uk/articles/safety-in-lactation-drugs-for-adhd/" TargetMode="External"/><Relationship Id="rId163" Type="http://schemas.openxmlformats.org/officeDocument/2006/relationships/hyperlink" Target="https://www.gov.uk/drug-driving-law" TargetMode="External"/><Relationship Id="rId184" Type="http://schemas.openxmlformats.org/officeDocument/2006/relationships/hyperlink" Target="https://www.england.nhs.uk/publication/responsibility-for-prescribing-between-primary-and-secondary-tertiary-care/" TargetMode="External"/><Relationship Id="rId219" Type="http://schemas.openxmlformats.org/officeDocument/2006/relationships/hyperlink" Target="https://www.gmc-uk.org/ethical-guidance/ethical-guidance-for-doctors/good-practice-in-prescribing-and-managing-medicines-and-devices/shared-care" TargetMode="External"/><Relationship Id="rId230" Type="http://schemas.openxmlformats.org/officeDocument/2006/relationships/fontTable" Target="fontTable.xml"/><Relationship Id="rId25" Type="http://schemas.openxmlformats.org/officeDocument/2006/relationships/hyperlink" Target="https://www.gov.uk/adhd-and-driving" TargetMode="External"/><Relationship Id="rId46" Type="http://schemas.openxmlformats.org/officeDocument/2006/relationships/hyperlink" Target="https://bnf.nice.org.uk/guidance/controlled-drugs-and-drug-dependence.html" TargetMode="External"/><Relationship Id="rId67" Type="http://schemas.openxmlformats.org/officeDocument/2006/relationships/hyperlink" Target="https://www.gov.uk/adhd-and-driving" TargetMode="External"/><Relationship Id="rId20" Type="http://schemas.openxmlformats.org/officeDocument/2006/relationships/hyperlink" Target="https://www.choiceandmedication.org/swlstg-tr/printable-leaflets/patient-information-leaflets/41/ALL/" TargetMode="External"/><Relationship Id="rId41" Type="http://schemas.openxmlformats.org/officeDocument/2006/relationships/hyperlink" Target="https://www.medicines.org.uk/emc/search?q=dexamfetamine" TargetMode="External"/><Relationship Id="rId62" Type="http://schemas.openxmlformats.org/officeDocument/2006/relationships/hyperlink" Target="https://www.nice.org.uk/guidance/ng87/" TargetMode="External"/><Relationship Id="rId83" Type="http://schemas.openxmlformats.org/officeDocument/2006/relationships/hyperlink" Target="https://www.nhs.uk/conditions/attention-deficit-hyperactivity-disorder-adhd" TargetMode="External"/><Relationship Id="rId88" Type="http://schemas.openxmlformats.org/officeDocument/2006/relationships/hyperlink" Target="https://www.nhs.uk/conditions/attention-deficit-hyperactivity-disorder-adhd" TargetMode="External"/><Relationship Id="rId111" Type="http://schemas.openxmlformats.org/officeDocument/2006/relationships/hyperlink" Target="https://www.medicinesinpregnancy.org/bumps/monographs/USE-OF-AMFETAMINES-IN-PREGNANCY/" TargetMode="External"/><Relationship Id="rId132" Type="http://schemas.openxmlformats.org/officeDocument/2006/relationships/hyperlink" Target="https://www.medicines.org.uk/emc/product/11004/smpc" TargetMode="External"/><Relationship Id="rId153" Type="http://schemas.openxmlformats.org/officeDocument/2006/relationships/hyperlink" Target="https://www.nice.org.uk/guidance/ng46" TargetMode="External"/><Relationship Id="rId174" Type="http://schemas.openxmlformats.org/officeDocument/2006/relationships/hyperlink" Target="https://www.england.nhs.uk/publication/responsibility-for-prescribing-between-primary-and-secondary-tertiary-care/" TargetMode="External"/><Relationship Id="rId179" Type="http://schemas.openxmlformats.org/officeDocument/2006/relationships/hyperlink" Target="https://www.england.nhs.uk/publication/responsibility-for-prescribing-between-primary-and-secondary-tertiary-care/" TargetMode="External"/><Relationship Id="rId195" Type="http://schemas.openxmlformats.org/officeDocument/2006/relationships/hyperlink" Target="https://www.gmc-uk.org/ethical-guidance/ethical-guidance-for-doctors/good-practice-in-prescribing-and-managing-medicines-and-devices/shared-care" TargetMode="External"/><Relationship Id="rId209" Type="http://schemas.openxmlformats.org/officeDocument/2006/relationships/hyperlink" Target="https://www.gmc-uk.org/ethical-guidance/ethical-guidance-for-doctors/good-practice-in-prescribing-and-managing-medicines-and-devices/shared-care" TargetMode="External"/><Relationship Id="rId190" Type="http://schemas.openxmlformats.org/officeDocument/2006/relationships/hyperlink" Target="https://www.england.nhs.uk/publication/responsibility-for-prescribing-between-primary-and-secondary-tertiary-care/" TargetMode="External"/><Relationship Id="rId204" Type="http://schemas.openxmlformats.org/officeDocument/2006/relationships/hyperlink" Target="https://www.gmc-uk.org/ethical-guidance/ethical-guidance-for-doctors/good-practice-in-prescribing-and-managing-medicines-and-devices/shared-care" TargetMode="External"/><Relationship Id="rId220" Type="http://schemas.openxmlformats.org/officeDocument/2006/relationships/hyperlink" Target="https://www.gmc-uk.org/ethical-guidance/ethical-guidance-for-doctors/good-practice-in-prescribing-and-managing-medicines-and-devices/shared-care" TargetMode="External"/><Relationship Id="rId225" Type="http://schemas.openxmlformats.org/officeDocument/2006/relationships/header" Target="header8.xml"/><Relationship Id="rId15" Type="http://schemas.openxmlformats.org/officeDocument/2006/relationships/hyperlink" Target="https://www.choiceandmedication.org/swlstg-tr/printable-leaflets/patient-information-leaflets/41/ALL/" TargetMode="External"/><Relationship Id="rId36" Type="http://schemas.openxmlformats.org/officeDocument/2006/relationships/hyperlink" Target="https://www.transformationpartnersinhealthandcare.nhs.uk/cyp-adhd-resources" TargetMode="External"/><Relationship Id="rId57" Type="http://schemas.openxmlformats.org/officeDocument/2006/relationships/hyperlink" Target="http://www.mhra.gov.uk/yellowcard" TargetMode="External"/><Relationship Id="rId106" Type="http://schemas.openxmlformats.org/officeDocument/2006/relationships/hyperlink" Target="https://www.medicinesinpregnancy.org/bumps/monographs/USE-OF-AMFETAMINES-IN-PREGNANCY/" TargetMode="External"/><Relationship Id="rId127" Type="http://schemas.openxmlformats.org/officeDocument/2006/relationships/hyperlink" Target="https://bnfc.nice.org.uk/drugs/dexamfetamine-sulfate/" TargetMode="External"/><Relationship Id="rId10" Type="http://schemas.openxmlformats.org/officeDocument/2006/relationships/header" Target="header2.xml"/><Relationship Id="rId31" Type="http://schemas.openxmlformats.org/officeDocument/2006/relationships/hyperlink" Target="https://www.transformationpartnersinhealthandcare.nhs.uk/cyp-adhd-resources" TargetMode="External"/><Relationship Id="rId52" Type="http://schemas.openxmlformats.org/officeDocument/2006/relationships/header" Target="header5.xml"/><Relationship Id="rId73" Type="http://schemas.openxmlformats.org/officeDocument/2006/relationships/hyperlink" Target="https://www.gov.uk/guidance/controlled-drugs-personal-licences" TargetMode="External"/><Relationship Id="rId78" Type="http://schemas.openxmlformats.org/officeDocument/2006/relationships/hyperlink" Target="https://www.choiceandmedication.org/swlstg-tr/condition/attention-deficit-hyperactivity-disorder/" TargetMode="External"/><Relationship Id="rId94" Type="http://schemas.openxmlformats.org/officeDocument/2006/relationships/hyperlink" Target="https://bestpractice.bmj.com/patient-leaflets?" TargetMode="External"/><Relationship Id="rId99" Type="http://schemas.openxmlformats.org/officeDocument/2006/relationships/hyperlink" Target="https://www.transformationpartnersinhealthandcare.nhs.uk/cyp-adhd-resources" TargetMode="External"/><Relationship Id="rId101" Type="http://schemas.openxmlformats.org/officeDocument/2006/relationships/hyperlink" Target="https://www.transformationpartnersinhealthandcare.nhs.uk/cyp-adhd-resources" TargetMode="External"/><Relationship Id="rId122" Type="http://schemas.openxmlformats.org/officeDocument/2006/relationships/hyperlink" Target="https://www.sps.nhs.uk/articles/safety-in-lactation-drugs-for-adhd/" TargetMode="External"/><Relationship Id="rId143" Type="http://schemas.openxmlformats.org/officeDocument/2006/relationships/hyperlink" Target="https://www.sps.nhs.uk/articles/safety-in-lactation-drugs-for-adhd/" TargetMode="External"/><Relationship Id="rId148" Type="http://schemas.openxmlformats.org/officeDocument/2006/relationships/hyperlink" Target="https://www.sps.nhs.uk/articles/safety-in-lactation-drugs-for-adhd/" TargetMode="External"/><Relationship Id="rId164" Type="http://schemas.openxmlformats.org/officeDocument/2006/relationships/hyperlink" Target="https://www.gov.uk/drug-driving-law" TargetMode="External"/><Relationship Id="rId169" Type="http://schemas.openxmlformats.org/officeDocument/2006/relationships/hyperlink" Target="https://www.sps.nhs.uk/articles/rmoc-shared-care-guidance/" TargetMode="External"/><Relationship Id="rId185" Type="http://schemas.openxmlformats.org/officeDocument/2006/relationships/hyperlink" Target="https://www.england.nhs.uk/publication/responsibility-for-prescribing-between-primary-and-secondary-tertiary-care/"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england.nhs.uk/publication/responsibility-for-prescribing-between-primary-and-secondary-tertiary-care/" TargetMode="External"/><Relationship Id="rId210" Type="http://schemas.openxmlformats.org/officeDocument/2006/relationships/hyperlink" Target="https://www.gmc-uk.org/ethical-guidance/ethical-guidance-for-doctors/good-practice-in-prescribing-and-managing-medicines-and-devices/shared-care" TargetMode="External"/><Relationship Id="rId215" Type="http://schemas.openxmlformats.org/officeDocument/2006/relationships/hyperlink" Target="https://www.gmc-uk.org/ethical-guidance/ethical-guidance-for-doctors/good-practice-in-prescribing-and-managing-medicines-and-devices/shared-care" TargetMode="External"/><Relationship Id="rId26" Type="http://schemas.openxmlformats.org/officeDocument/2006/relationships/hyperlink" Target="https://www.gov.uk/adhd-and-driving" TargetMode="External"/><Relationship Id="rId231" Type="http://schemas.openxmlformats.org/officeDocument/2006/relationships/theme" Target="theme/theme1.xml"/><Relationship Id="rId47" Type="http://schemas.openxmlformats.org/officeDocument/2006/relationships/hyperlink" Target="https://bnf.nice.org.uk/drug/ciclosporin.html" TargetMode="External"/><Relationship Id="rId68" Type="http://schemas.openxmlformats.org/officeDocument/2006/relationships/hyperlink" Target="https://www.gov.uk/adhd-and-driving" TargetMode="External"/><Relationship Id="rId89" Type="http://schemas.openxmlformats.org/officeDocument/2006/relationships/hyperlink" Target="https://www.nhs.uk/conditions/attention-deficit-hyperactivity-disorder-adhd" TargetMode="External"/><Relationship Id="rId112" Type="http://schemas.openxmlformats.org/officeDocument/2006/relationships/hyperlink" Target="https://www.medicinesinpregnancy.org/bumps/monographs/USE-OF-AMFETAMINES-IN-PREGNANCY/" TargetMode="External"/><Relationship Id="rId133" Type="http://schemas.openxmlformats.org/officeDocument/2006/relationships/hyperlink" Target="https://www.medicines.org.uk/emc/product/11004/smpc" TargetMode="External"/><Relationship Id="rId154" Type="http://schemas.openxmlformats.org/officeDocument/2006/relationships/hyperlink" Target="https://www.nice.org.uk/guidance/ng46" TargetMode="External"/><Relationship Id="rId175" Type="http://schemas.openxmlformats.org/officeDocument/2006/relationships/hyperlink" Target="https://www.england.nhs.uk/publication/responsibility-for-prescribing-between-primary-and-secondary-tertiary-care/" TargetMode="External"/><Relationship Id="rId196" Type="http://schemas.openxmlformats.org/officeDocument/2006/relationships/hyperlink" Target="https://www.gmc-uk.org/ethical-guidance/ethical-guidance-for-doctors/good-practice-in-prescribing-and-managing-medicines-and-devices/shared-care" TargetMode="External"/><Relationship Id="rId200" Type="http://schemas.openxmlformats.org/officeDocument/2006/relationships/hyperlink" Target="https://www.gmc-uk.org/ethical-guidance/ethical-guidance-for-doctors/good-practice-in-prescribing-and-managing-medicines-and-devices/shared-care" TargetMode="External"/><Relationship Id="rId16" Type="http://schemas.openxmlformats.org/officeDocument/2006/relationships/hyperlink" Target="https://www.choiceandmedication.org/swlstg-tr/printable-leaflets/patient-information-leaflets/41/ALL/" TargetMode="External"/><Relationship Id="rId221" Type="http://schemas.openxmlformats.org/officeDocument/2006/relationships/hyperlink" Target="https://www.gmc-uk.org/ethical-guidance/ethical-guidance-for-doctors/good-practice-in-prescribing-and-managing-medicines-and-devices/shared-care" TargetMode="External"/><Relationship Id="rId37" Type="http://schemas.openxmlformats.org/officeDocument/2006/relationships/hyperlink" Target="https://bnf.nice.org.uk/drug/ciclosporin.html" TargetMode="External"/><Relationship Id="rId58" Type="http://schemas.openxmlformats.org/officeDocument/2006/relationships/hyperlink" Target="http://www.mhra.gov.uk/yellowcard" TargetMode="External"/><Relationship Id="rId79" Type="http://schemas.openxmlformats.org/officeDocument/2006/relationships/hyperlink" Target="https://www.youngminds.org.uk/young-person/mental-health-conditions/adhd-and-mental-health/" TargetMode="External"/><Relationship Id="rId102" Type="http://schemas.openxmlformats.org/officeDocument/2006/relationships/hyperlink" Target="https://www.transformationpartnersinhealthandcare.nhs.uk/cyp-adhd-resources" TargetMode="External"/><Relationship Id="rId123" Type="http://schemas.openxmlformats.org/officeDocument/2006/relationships/hyperlink" Target="https://www.sps.nhs.uk/articles/safety-in-lactation-drugs-for-adhd/" TargetMode="External"/><Relationship Id="rId144" Type="http://schemas.openxmlformats.org/officeDocument/2006/relationships/hyperlink" Target="https://www.sps.nhs.uk/articles/safety-in-lactation-drugs-for-adhd/" TargetMode="External"/><Relationship Id="rId90" Type="http://schemas.openxmlformats.org/officeDocument/2006/relationships/hyperlink" Target="https://www.nhs.uk/conditions/attention-deficit-hyperactivity-disorder-adhd" TargetMode="External"/><Relationship Id="rId165" Type="http://schemas.openxmlformats.org/officeDocument/2006/relationships/hyperlink" Target="https://www.gov.uk/drug-driving-law" TargetMode="External"/><Relationship Id="rId186" Type="http://schemas.openxmlformats.org/officeDocument/2006/relationships/hyperlink" Target="https://www.england.nhs.uk/publication/responsibility-for-prescribing-between-primary-and-secondary-tertiary-care/" TargetMode="External"/><Relationship Id="rId211" Type="http://schemas.openxmlformats.org/officeDocument/2006/relationships/hyperlink" Target="https://www.gmc-uk.org/ethical-guidance/ethical-guidance-for-doctors/good-practice-in-prescribing-and-managing-medicines-and-devices/shared-care" TargetMode="External"/><Relationship Id="rId232" Type="http://schemas.openxmlformats.org/officeDocument/2006/relationships/customXml" Target="../customXml/item2.xml"/><Relationship Id="rId27" Type="http://schemas.openxmlformats.org/officeDocument/2006/relationships/hyperlink" Target="https://www.gov.uk/adhd-and-driving" TargetMode="External"/><Relationship Id="rId48" Type="http://schemas.openxmlformats.org/officeDocument/2006/relationships/hyperlink" Target="https://bnf.nice.org.uk/drug/ciclosporin.html" TargetMode="External"/><Relationship Id="rId69" Type="http://schemas.openxmlformats.org/officeDocument/2006/relationships/hyperlink" Target="https://www.gov.uk/guidance/controlled-drugs-personal-licences" TargetMode="External"/><Relationship Id="rId113" Type="http://schemas.openxmlformats.org/officeDocument/2006/relationships/hyperlink" Target="https://www.medicinesinpregnancy.org/bumps/monographs/USE-OF-AMFETAMINES-IN-PREGNANCY/" TargetMode="External"/><Relationship Id="rId134" Type="http://schemas.openxmlformats.org/officeDocument/2006/relationships/hyperlink" Target="https://www.medicines.org.uk/emc/product/11004/smpc" TargetMode="External"/><Relationship Id="rId80" Type="http://schemas.openxmlformats.org/officeDocument/2006/relationships/hyperlink" Target="https://www.youngminds.org.uk/young-person/mental-health-conditions/adhd-and-mental-health/" TargetMode="External"/><Relationship Id="rId155" Type="http://schemas.openxmlformats.org/officeDocument/2006/relationships/hyperlink" Target="https://www.nice.org.uk/guidance/ng46" TargetMode="External"/><Relationship Id="rId176" Type="http://schemas.openxmlformats.org/officeDocument/2006/relationships/hyperlink" Target="https://www.england.nhs.uk/publication/responsibility-for-prescribing-between-primary-and-secondary-tertiary-care/" TargetMode="External"/><Relationship Id="rId197" Type="http://schemas.openxmlformats.org/officeDocument/2006/relationships/hyperlink" Target="https://www.gmc-uk.org/ethical-guidance/ethical-guidance-for-doctors/good-practice-in-prescribing-and-managing-medicines-and-devices/shared-care" TargetMode="External"/><Relationship Id="rId201" Type="http://schemas.openxmlformats.org/officeDocument/2006/relationships/hyperlink" Target="https://www.gmc-uk.org/ethical-guidance/ethical-guidance-for-doctors/good-practice-in-prescribing-and-managing-medicines-and-devices/shared-care" TargetMode="External"/><Relationship Id="rId222" Type="http://schemas.openxmlformats.org/officeDocument/2006/relationships/hyperlink" Target="https://www.nice.org.uk/guidance/ng197/" TargetMode="External"/><Relationship Id="rId17" Type="http://schemas.openxmlformats.org/officeDocument/2006/relationships/hyperlink" Target="https://www.choiceandmedication.org/swlstg-tr/printable-leaflets/patient-information-leaflets/41/ALL/" TargetMode="External"/><Relationship Id="rId38" Type="http://schemas.openxmlformats.org/officeDocument/2006/relationships/hyperlink" Target="https://bnf.nice.org.uk/drug/ciclosporin.html" TargetMode="External"/><Relationship Id="rId59" Type="http://schemas.openxmlformats.org/officeDocument/2006/relationships/hyperlink" Target="https://www.medicines.org.uk/emc" TargetMode="External"/><Relationship Id="rId103" Type="http://schemas.openxmlformats.org/officeDocument/2006/relationships/hyperlink" Target="https://www.transformationpartnersinhealthandcare.nhs.uk/cyp-adhd-resources" TargetMode="External"/><Relationship Id="rId124" Type="http://schemas.openxmlformats.org/officeDocument/2006/relationships/hyperlink" Target="https://www.sps.nhs.uk/articles/safety-in-lactation-drugs-for-adhd/" TargetMode="External"/><Relationship Id="rId70" Type="http://schemas.openxmlformats.org/officeDocument/2006/relationships/hyperlink" Target="https://www.gov.uk/guidance/controlled-drugs-personal-licences" TargetMode="External"/><Relationship Id="rId91" Type="http://schemas.openxmlformats.org/officeDocument/2006/relationships/hyperlink" Target="https://www.nhs.uk/conditions/attention-deficit-hyperactivity-disorder-adhd" TargetMode="External"/><Relationship Id="rId145" Type="http://schemas.openxmlformats.org/officeDocument/2006/relationships/hyperlink" Target="https://www.sps.nhs.uk/articles/safety-in-lactation-drugs-for-adhd/" TargetMode="External"/><Relationship Id="rId166" Type="http://schemas.openxmlformats.org/officeDocument/2006/relationships/hyperlink" Target="https://www.sps.nhs.uk/articles/rmoc-shared-care-guidance/" TargetMode="External"/><Relationship Id="rId187" Type="http://schemas.openxmlformats.org/officeDocument/2006/relationships/hyperlink" Target="https://www.england.nhs.uk/publication/responsibility-for-prescribing-between-primary-and-secondary-tertiary-care/" TargetMode="External"/><Relationship Id="rId1" Type="http://schemas.openxmlformats.org/officeDocument/2006/relationships/customXml" Target="../customXml/item1.xml"/><Relationship Id="rId212" Type="http://schemas.openxmlformats.org/officeDocument/2006/relationships/hyperlink" Target="https://www.gmc-uk.org/ethical-guidance/ethical-guidance-for-doctors/good-practice-in-prescribing-and-managing-medicines-and-devices/shared-care" TargetMode="External"/><Relationship Id="rId233" Type="http://schemas.openxmlformats.org/officeDocument/2006/relationships/customXml" Target="../customXml/item3.xml"/><Relationship Id="rId28" Type="http://schemas.openxmlformats.org/officeDocument/2006/relationships/hyperlink" Target="https://www.gov.uk/adhd-and-driving" TargetMode="External"/><Relationship Id="rId49" Type="http://schemas.openxmlformats.org/officeDocument/2006/relationships/hyperlink" Target="https://www.medicines.org.uk/emc/search?q=ciclosporin" TargetMode="External"/><Relationship Id="rId114" Type="http://schemas.openxmlformats.org/officeDocument/2006/relationships/hyperlink" Target="https://www.sps.nhs.uk/articles/safety-in-lactation-drugs-for-adhd/" TargetMode="External"/><Relationship Id="rId60" Type="http://schemas.openxmlformats.org/officeDocument/2006/relationships/hyperlink" Target="https://www.medicines.org.uk/emc" TargetMode="External"/><Relationship Id="rId81" Type="http://schemas.openxmlformats.org/officeDocument/2006/relationships/hyperlink" Target="https://www.nhs.uk/conditions/attention-deficit-hyperactivity-disorder-adhd" TargetMode="External"/><Relationship Id="rId135" Type="http://schemas.openxmlformats.org/officeDocument/2006/relationships/hyperlink" Target="https://www.medicines.org.uk/emc/product/11004/smpc" TargetMode="External"/><Relationship Id="rId156" Type="http://schemas.openxmlformats.org/officeDocument/2006/relationships/hyperlink" Target="https://www.nice.org.uk/guidance/ng46" TargetMode="External"/><Relationship Id="rId177" Type="http://schemas.openxmlformats.org/officeDocument/2006/relationships/hyperlink" Target="https://www.england.nhs.uk/publication/responsibility-for-prescribing-between-primary-and-secondary-tertiary-care/" TargetMode="External"/><Relationship Id="rId198" Type="http://schemas.openxmlformats.org/officeDocument/2006/relationships/hyperlink" Target="https://www.gmc-uk.org/ethical-guidance/ethical-guidance-for-doctors/good-practice-in-prescribing-and-managing-medicines-and-devices/shared-care" TargetMode="External"/><Relationship Id="rId202" Type="http://schemas.openxmlformats.org/officeDocument/2006/relationships/hyperlink" Target="https://www.gmc-uk.org/ethical-guidance/ethical-guidance-for-doctors/good-practice-in-prescribing-and-managing-medicines-and-devices/shared-care" TargetMode="External"/><Relationship Id="rId223" Type="http://schemas.openxmlformats.org/officeDocument/2006/relationships/hyperlink" Target="https://www.nice.org.uk/guidance/ng197/" TargetMode="External"/><Relationship Id="rId18" Type="http://schemas.openxmlformats.org/officeDocument/2006/relationships/hyperlink" Target="https://www.choiceandmedication.org/swlstg-tr/printable-leaflets/patient-information-leaflets/41/ALL/" TargetMode="External"/><Relationship Id="rId39" Type="http://schemas.openxmlformats.org/officeDocument/2006/relationships/hyperlink" Target="https://www.medicines.org.uk/emc/search?q=ciclosporin" TargetMode="External"/><Relationship Id="rId50" Type="http://schemas.openxmlformats.org/officeDocument/2006/relationships/hyperlink" Target="https://www.medicines.org.uk/emc/search?q=ciclosporin" TargetMode="External"/><Relationship Id="rId104" Type="http://schemas.openxmlformats.org/officeDocument/2006/relationships/hyperlink" Target="https://www.medicinesinpregnancy.org/bumps/monographs/USE-OF-AMFETAMINES-IN-PREGNANCY/" TargetMode="External"/><Relationship Id="rId125" Type="http://schemas.openxmlformats.org/officeDocument/2006/relationships/hyperlink" Target="https://www.sps.nhs.uk/articles/safety-in-lactation-drugs-for-adhd/" TargetMode="External"/><Relationship Id="rId146" Type="http://schemas.openxmlformats.org/officeDocument/2006/relationships/hyperlink" Target="https://www.sps.nhs.uk/articles/safety-in-lactation-drugs-for-adhd/" TargetMode="External"/><Relationship Id="rId167" Type="http://schemas.openxmlformats.org/officeDocument/2006/relationships/hyperlink" Target="https://www.sps.nhs.uk/articles/rmoc-shared-care-guidance/" TargetMode="External"/><Relationship Id="rId188" Type="http://schemas.openxmlformats.org/officeDocument/2006/relationships/hyperlink" Target="https://www.england.nhs.uk/publication/responsibility-for-prescribing-between-primary-and-secondary-tertiary-care/" TargetMode="External"/><Relationship Id="rId71" Type="http://schemas.openxmlformats.org/officeDocument/2006/relationships/hyperlink" Target="https://www.gov.uk/guidance/controlled-drugs-personal-licences" TargetMode="External"/><Relationship Id="rId92" Type="http://schemas.openxmlformats.org/officeDocument/2006/relationships/hyperlink" Target="https://www.ukadhd.com/support-groups.htm" TargetMode="External"/><Relationship Id="rId213" Type="http://schemas.openxmlformats.org/officeDocument/2006/relationships/hyperlink" Target="https://www.gmc-uk.org/ethical-guidance/ethical-guidance-for-doctors/good-practice-in-prescribing-and-managing-medicines-and-devices/shared-care" TargetMode="External"/><Relationship Id="rId234" Type="http://schemas.openxmlformats.org/officeDocument/2006/relationships/customXml" Target="../customXml/item4.xml"/><Relationship Id="rId2" Type="http://schemas.openxmlformats.org/officeDocument/2006/relationships/numbering" Target="numbering.xml"/><Relationship Id="rId29" Type="http://schemas.openxmlformats.org/officeDocument/2006/relationships/hyperlink" Target="https://www.gov.uk/adhd-and-driving" TargetMode="External"/><Relationship Id="rId40" Type="http://schemas.openxmlformats.org/officeDocument/2006/relationships/hyperlink" Target="https://www.medicines.org.uk/emc/search?q=ciclosporin" TargetMode="External"/><Relationship Id="rId115" Type="http://schemas.openxmlformats.org/officeDocument/2006/relationships/hyperlink" Target="https://www.sps.nhs.uk/articles/safety-in-lactation-drugs-for-adhd/" TargetMode="External"/><Relationship Id="rId136" Type="http://schemas.openxmlformats.org/officeDocument/2006/relationships/hyperlink" Target="https://www.medicines.org.uk/emc/product/11004/smpc" TargetMode="External"/><Relationship Id="rId157" Type="http://schemas.openxmlformats.org/officeDocument/2006/relationships/hyperlink" Target="https://cks.nice.org.uk/topics/attention-deficit-hyperactivity-disorder/prescribing-information/amfetamines/" TargetMode="External"/><Relationship Id="rId178" Type="http://schemas.openxmlformats.org/officeDocument/2006/relationships/hyperlink" Target="https://www.england.nhs.uk/publication/responsibility-for-prescribing-between-primary-and-secondary-tertiary-care/" TargetMode="External"/><Relationship Id="rId61" Type="http://schemas.openxmlformats.org/officeDocument/2006/relationships/hyperlink" Target="https://www.nice.org.uk/guidance/ng87/" TargetMode="External"/><Relationship Id="rId82" Type="http://schemas.openxmlformats.org/officeDocument/2006/relationships/hyperlink" Target="https://www.nhs.uk/conditions/attention-deficit-hyperactivity-disorder-adhd" TargetMode="External"/><Relationship Id="rId199" Type="http://schemas.openxmlformats.org/officeDocument/2006/relationships/hyperlink" Target="https://www.gmc-uk.org/ethical-guidance/ethical-guidance-for-doctors/good-practice-in-prescribing-and-managing-medicines-and-devices/shared-care" TargetMode="External"/><Relationship Id="rId203" Type="http://schemas.openxmlformats.org/officeDocument/2006/relationships/hyperlink" Target="https://www.gmc-uk.org/ethical-guidance/ethical-guidance-for-doctors/good-practice-in-prescribing-and-managing-medicines-and-devices/shared-care" TargetMode="External"/><Relationship Id="rId19" Type="http://schemas.openxmlformats.org/officeDocument/2006/relationships/hyperlink" Target="https://www.choiceandmedication.org/swlstg-tr/printable-leaflets/patient-information-leaflets/41/ALL/" TargetMode="External"/><Relationship Id="rId224" Type="http://schemas.openxmlformats.org/officeDocument/2006/relationships/header" Target="header7.xml"/><Relationship Id="rId30" Type="http://schemas.openxmlformats.org/officeDocument/2006/relationships/hyperlink" Target="https://www.gov.uk/adhd-and-driving" TargetMode="External"/><Relationship Id="rId105" Type="http://schemas.openxmlformats.org/officeDocument/2006/relationships/hyperlink" Target="https://www.medicinesinpregnancy.org/bumps/monographs/USE-OF-AMFETAMINES-IN-PREGNANCY/" TargetMode="External"/><Relationship Id="rId126" Type="http://schemas.openxmlformats.org/officeDocument/2006/relationships/hyperlink" Target="https://bnfc.nice.org.uk/drugs/dexamfetamine-sulfate/" TargetMode="External"/><Relationship Id="rId147" Type="http://schemas.openxmlformats.org/officeDocument/2006/relationships/hyperlink" Target="https://www.sps.nhs.uk/articles/safety-in-lactation-drugs-for-adhd/" TargetMode="External"/><Relationship Id="rId168" Type="http://schemas.openxmlformats.org/officeDocument/2006/relationships/hyperlink" Target="https://www.sps.nhs.uk/articles/rmoc-shared-care-guidance/" TargetMode="External"/><Relationship Id="rId51" Type="http://schemas.openxmlformats.org/officeDocument/2006/relationships/header" Target="header4.xml"/><Relationship Id="rId72" Type="http://schemas.openxmlformats.org/officeDocument/2006/relationships/hyperlink" Target="https://www.gov.uk/guidance/controlled-drugs-personal-licences" TargetMode="External"/><Relationship Id="rId93" Type="http://schemas.openxmlformats.org/officeDocument/2006/relationships/hyperlink" Target="https://www.ukadhd.com/support-groups.htm" TargetMode="External"/><Relationship Id="rId189" Type="http://schemas.openxmlformats.org/officeDocument/2006/relationships/hyperlink" Target="https://www.england.nhs.uk/publication/responsibility-for-prescribing-between-primary-and-secondary-tertiary-care/" TargetMode="External"/><Relationship Id="rId3" Type="http://schemas.openxmlformats.org/officeDocument/2006/relationships/styles" Target="styles.xml"/><Relationship Id="rId214" Type="http://schemas.openxmlformats.org/officeDocument/2006/relationships/hyperlink" Target="https://www.gmc-uk.org/ethical-guidance/ethical-guidance-for-doctors/good-practice-in-prescribing-and-managing-medicines-and-devices/shared-care" TargetMode="External"/><Relationship Id="rId116" Type="http://schemas.openxmlformats.org/officeDocument/2006/relationships/hyperlink" Target="https://www.sps.nhs.uk/articles/safety-in-lactation-drugs-for-adhd/" TargetMode="External"/><Relationship Id="rId137" Type="http://schemas.openxmlformats.org/officeDocument/2006/relationships/hyperlink" Target="https://www.nice.org.uk/guidance/ng87/" TargetMode="External"/><Relationship Id="rId158" Type="http://schemas.openxmlformats.org/officeDocument/2006/relationships/hyperlink" Target="https://cks.nice.org.uk/topics/attention-deficit-hyperactivity-disorder/prescribing-information/amfetamine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3" ma:contentTypeDescription="Create a new document." ma:contentTypeScope="" ma:versionID="e3bc770bdf025d97657d662706f797d4">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e322336955129c7f2b29221fedf73387"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documentManagement>
</p:properties>
</file>

<file path=customXml/itemProps1.xml><?xml version="1.0" encoding="utf-8"?>
<ds:datastoreItem xmlns:ds="http://schemas.openxmlformats.org/officeDocument/2006/customXml" ds:itemID="{0C4A176E-7CA6-4DDC-82C9-04C549B407BA}">
  <ds:schemaRefs>
    <ds:schemaRef ds:uri="http://schemas.openxmlformats.org/officeDocument/2006/bibliography"/>
  </ds:schemaRefs>
</ds:datastoreItem>
</file>

<file path=customXml/itemProps2.xml><?xml version="1.0" encoding="utf-8"?>
<ds:datastoreItem xmlns:ds="http://schemas.openxmlformats.org/officeDocument/2006/customXml" ds:itemID="{C9FD0548-A45F-4A3C-BA97-B56EEA44ACD7}"/>
</file>

<file path=customXml/itemProps3.xml><?xml version="1.0" encoding="utf-8"?>
<ds:datastoreItem xmlns:ds="http://schemas.openxmlformats.org/officeDocument/2006/customXml" ds:itemID="{3694D34F-725B-45B5-A497-8BB17014DB09}"/>
</file>

<file path=customXml/itemProps4.xml><?xml version="1.0" encoding="utf-8"?>
<ds:datastoreItem xmlns:ds="http://schemas.openxmlformats.org/officeDocument/2006/customXml" ds:itemID="{5A39D310-5C6F-405A-B1ED-CB64C23A3494}"/>
</file>

<file path=docProps/app.xml><?xml version="1.0" encoding="utf-8"?>
<Properties xmlns="http://schemas.openxmlformats.org/officeDocument/2006/extended-properties" xmlns:vt="http://schemas.openxmlformats.org/officeDocument/2006/docPropsVTypes">
  <Template>Normal</Template>
  <TotalTime>35</TotalTime>
  <Pages>18</Pages>
  <Words>8771</Words>
  <Characters>50001</Characters>
  <Application>Microsoft Office Word</Application>
  <DocSecurity>8</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SWLSTG</Company>
  <LinksUpToDate>false</LinksUpToDate>
  <CharactersWithSpaces>58655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Sophia Oso (NHS South West London ICB)</cp:lastModifiedBy>
  <cp:revision>4</cp:revision>
  <dcterms:created xsi:type="dcterms:W3CDTF">2025-03-24T10:46:00Z</dcterms:created>
  <dcterms:modified xsi:type="dcterms:W3CDTF">2025-03-27T14:53:00Z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ies>
</file>