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4101E2B9" w:rsidR="00C3089D" w:rsidRDefault="00C3089D" w:rsidP="00C3089D">
      <w:pPr>
        <w:spacing w:line="240" w:lineRule="auto"/>
        <w:ind w:left="-709" w:right="-711"/>
        <w:rPr>
          <w:rFonts w:cs="Arial"/>
          <w:sz w:val="36"/>
          <w:szCs w:val="36"/>
        </w:rPr>
      </w:pPr>
      <w:r w:rsidRPr="00F30AE3">
        <w:rPr>
          <w:rFonts w:cs="Arial"/>
          <w:sz w:val="36"/>
          <w:szCs w:val="36"/>
        </w:rPr>
        <w:t>National shared care protocol:</w:t>
      </w:r>
    </w:p>
    <w:p w14:paraId="60DFABD4" w14:textId="7002C262" w:rsidR="003F10A6" w:rsidRPr="003F10A6" w:rsidRDefault="003F10A6" w:rsidP="003F10A6">
      <w:pPr>
        <w:rPr>
          <w:rFonts w:cs="Arial"/>
          <w:sz w:val="36"/>
          <w:szCs w:val="36"/>
        </w:rPr>
      </w:pPr>
    </w:p>
    <w:p w14:paraId="0E9835F7" w14:textId="77777777" w:rsidR="005E6B42" w:rsidRDefault="005E6B42" w:rsidP="00224121">
      <w:pPr>
        <w:pStyle w:val="Title"/>
        <w:ind w:left="-709"/>
        <w:rPr>
          <w:b/>
          <w:bCs/>
          <w:sz w:val="36"/>
          <w:szCs w:val="36"/>
        </w:rPr>
      </w:pPr>
    </w:p>
    <w:p w14:paraId="67CDA68C" w14:textId="2F74518C" w:rsidR="00E95AF3" w:rsidRPr="00E95AF3" w:rsidRDefault="001C7A02" w:rsidP="00E95AF3">
      <w:pPr>
        <w:pStyle w:val="Title"/>
        <w:ind w:left="-709"/>
        <w:rPr>
          <w:b/>
          <w:bCs/>
          <w:sz w:val="36"/>
          <w:szCs w:val="36"/>
        </w:rPr>
      </w:pPr>
      <w:r w:rsidRPr="00224121">
        <w:rPr>
          <w:b/>
          <w:bCs/>
          <w:sz w:val="36"/>
          <w:szCs w:val="36"/>
        </w:rPr>
        <w:t>Mycophenolate mofetil and mycophenolic acid for patients within adult services (non-transplant indications)</w:t>
      </w:r>
    </w:p>
    <w:p w14:paraId="0BEDCEE3" w14:textId="547C8915" w:rsidR="004206F9" w:rsidRPr="005E6B42" w:rsidRDefault="005E6B42" w:rsidP="00224121">
      <w:pPr>
        <w:pStyle w:val="Title"/>
        <w:ind w:left="-709"/>
        <w:rPr>
          <w:sz w:val="32"/>
          <w:szCs w:val="32"/>
        </w:rPr>
      </w:pPr>
      <w:r w:rsidRPr="00224121">
        <w:rPr>
          <w:rFonts w:cs="Arial"/>
          <w:b/>
          <w:bCs/>
          <w:noProof/>
          <w:sz w:val="36"/>
          <w:szCs w:val="36"/>
        </w:rPr>
        <mc:AlternateContent>
          <mc:Choice Requires="wps">
            <w:drawing>
              <wp:anchor distT="45720" distB="45720" distL="114300" distR="114300" simplePos="0" relativeHeight="251657216" behindDoc="0" locked="0" layoutInCell="1" allowOverlap="1" wp14:anchorId="450992F6" wp14:editId="43A165B9">
                <wp:simplePos x="0" y="0"/>
                <wp:positionH relativeFrom="margin">
                  <wp:posOffset>-690880</wp:posOffset>
                </wp:positionH>
                <wp:positionV relativeFrom="paragraph">
                  <wp:posOffset>360680</wp:posOffset>
                </wp:positionV>
                <wp:extent cx="7143750" cy="6838950"/>
                <wp:effectExtent l="19050" t="19050" r="19050" b="19050"/>
                <wp:wrapThrough wrapText="bothSides">
                  <wp:wrapPolygon edited="0">
                    <wp:start x="-58" y="-60"/>
                    <wp:lineTo x="-58" y="21600"/>
                    <wp:lineTo x="21600" y="21600"/>
                    <wp:lineTo x="21600" y="-60"/>
                    <wp:lineTo x="-58" y="-6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838950"/>
                        </a:xfrm>
                        <a:prstGeom prst="rect">
                          <a:avLst/>
                        </a:prstGeom>
                        <a:noFill/>
                        <a:ln w="38100">
                          <a:solidFill>
                            <a:srgbClr val="00B050"/>
                          </a:solidFill>
                          <a:miter lim="800000"/>
                          <a:headEnd/>
                          <a:tailEnd/>
                        </a:ln>
                      </wps:spPr>
                      <wps:txbx>
                        <w:txbxContent>
                          <w:p w14:paraId="4191CE83" w14:textId="41C32295" w:rsidR="00DF5BC9" w:rsidRDefault="00A06A2C" w:rsidP="00984203">
                            <w:pPr>
                              <w:spacing w:line="20" w:lineRule="atLeast"/>
                              <w:rPr>
                                <w:rFonts w:cs="Arial"/>
                                <w:b/>
                                <w:bCs/>
                                <w:sz w:val="22"/>
                              </w:rPr>
                            </w:pPr>
                            <w:r w:rsidRPr="00220A6C">
                              <w:rPr>
                                <w:rFonts w:cstheme="minorHAnsi"/>
                                <w:b/>
                                <w:bCs/>
                                <w:color w:val="005EB8"/>
                                <w:sz w:val="28"/>
                              </w:rPr>
                              <w:t>SWL</w:t>
                            </w:r>
                            <w:r w:rsidR="00DF5BC9" w:rsidRPr="00220A6C">
                              <w:rPr>
                                <w:rFonts w:cstheme="minorHAnsi"/>
                                <w:b/>
                                <w:bCs/>
                                <w:color w:val="005EB8"/>
                                <w:sz w:val="28"/>
                              </w:rPr>
                              <w:t xml:space="preserve"> </w:t>
                            </w:r>
                            <w:r w:rsidR="00220A6C">
                              <w:rPr>
                                <w:rFonts w:cstheme="minorHAnsi"/>
                                <w:b/>
                                <w:bCs/>
                                <w:color w:val="005EB8"/>
                                <w:sz w:val="28"/>
                              </w:rPr>
                              <w:t>Local Adaptation</w:t>
                            </w:r>
                            <w:r w:rsidR="00984203">
                              <w:rPr>
                                <w:rFonts w:cs="Arial"/>
                                <w:b/>
                                <w:bCs/>
                                <w:sz w:val="22"/>
                              </w:rPr>
                              <w:br/>
                            </w:r>
                            <w:r>
                              <w:rPr>
                                <w:rFonts w:cs="Arial"/>
                                <w:b/>
                                <w:bCs/>
                                <w:sz w:val="22"/>
                              </w:rPr>
                              <w:t>November</w:t>
                            </w:r>
                            <w:r w:rsidR="00DF5BC9">
                              <w:rPr>
                                <w:rFonts w:cs="Arial"/>
                                <w:b/>
                                <w:bCs/>
                                <w:sz w:val="22"/>
                              </w:rPr>
                              <w:t xml:space="preserve"> 202</w:t>
                            </w:r>
                            <w:r>
                              <w:rPr>
                                <w:rFonts w:cs="Arial"/>
                                <w:b/>
                                <w:bCs/>
                                <w:sz w:val="22"/>
                              </w:rPr>
                              <w:t>2</w:t>
                            </w:r>
                          </w:p>
                          <w:p w14:paraId="11AC4153" w14:textId="1EA3AA2B" w:rsidR="00DF5BC9" w:rsidRDefault="00DF5BC9" w:rsidP="00DF5BC9">
                            <w:pPr>
                              <w:rPr>
                                <w:rStyle w:val="Heading3Char"/>
                                <w:rFonts w:cs="Arial"/>
                                <w:sz w:val="22"/>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DF5BC9">
                                <w:rPr>
                                  <w:rStyle w:val="Hyperlink"/>
                                  <w:rFonts w:cs="Arial"/>
                                  <w:sz w:val="22"/>
                                  <w:szCs w:val="24"/>
                                  <w:lang w:eastAsia="en-GB"/>
                                </w:rPr>
                                <w:t>Locally agreed off-label use</w:t>
                              </w:r>
                            </w:hyperlink>
                          </w:p>
                          <w:p w14:paraId="69D786B8" w14:textId="5F6068AA" w:rsidR="00DF5BC9" w:rsidRDefault="00DF5BC9" w:rsidP="00984203">
                            <w:pPr>
                              <w:numPr>
                                <w:ilvl w:val="0"/>
                                <w:numId w:val="25"/>
                              </w:numPr>
                              <w:spacing w:before="60" w:after="0"/>
                              <w:ind w:left="360"/>
                              <w:rPr>
                                <w:rFonts w:eastAsia="Arial" w:cs="Arial"/>
                                <w:sz w:val="22"/>
                              </w:rPr>
                            </w:pPr>
                            <w:r w:rsidRPr="00CB33F5">
                              <w:rPr>
                                <w:rFonts w:eastAsia="Arial" w:cs="Arial"/>
                                <w:color w:val="000000"/>
                                <w:sz w:val="22"/>
                              </w:rPr>
                              <w:t xml:space="preserve">The word ‘normally’ under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 </w:t>
                            </w:r>
                            <w:r w:rsidR="004B3221">
                              <w:rPr>
                                <w:rFonts w:eastAsia="Arial" w:cs="Arial"/>
                                <w:color w:val="000000"/>
                                <w:sz w:val="22"/>
                              </w:rPr>
                              <w:t>5</w:t>
                            </w:r>
                            <w:r w:rsidRPr="00CB33F5">
                              <w:rPr>
                                <w:rFonts w:eastAsia="Arial" w:cs="Arial"/>
                                <w:color w:val="000000"/>
                                <w:sz w:val="22"/>
                              </w:rPr>
                              <w:t xml:space="preserve"> and </w:t>
                            </w:r>
                            <w:hyperlink w:anchor="_Initiation_and_ongoing" w:history="1">
                              <w:r w:rsidRPr="00DF5BC9">
                                <w:rPr>
                                  <w:rStyle w:val="Hyperlink"/>
                                  <w:rFonts w:eastAsia="Arial" w:cs="Arial"/>
                                  <w:sz w:val="22"/>
                                  <w:lang w:eastAsia="en-GB"/>
                                </w:rPr>
                                <w:t>section 5</w:t>
                              </w:r>
                            </w:hyperlink>
                            <w:r w:rsidRPr="00CB33F5">
                              <w:rPr>
                                <w:rFonts w:eastAsia="Arial" w:cs="Arial"/>
                                <w:color w:val="000000"/>
                                <w:sz w:val="22"/>
                              </w:rPr>
                              <w:t>, first bullet point has been deleted</w:t>
                            </w:r>
                            <w:r w:rsidR="00EC7C3B">
                              <w:rPr>
                                <w:rFonts w:eastAsia="Arial" w:cs="Arial"/>
                                <w:color w:val="000000"/>
                                <w:sz w:val="22"/>
                              </w:rPr>
                              <w:t>: ‘</w:t>
                            </w:r>
                            <w:r w:rsidR="00EC7C3B" w:rsidRPr="00744A1A">
                              <w:rPr>
                                <w:rFonts w:eastAsia="Arial" w:cs="Arial"/>
                                <w:color w:val="000000"/>
                                <w:sz w:val="22"/>
                              </w:rPr>
                              <w:t xml:space="preserve">Transfer to primary care is </w:t>
                            </w:r>
                            <w:r w:rsidR="00EC7C3B" w:rsidRPr="00744A1A">
                              <w:rPr>
                                <w:rFonts w:eastAsia="Arial" w:cs="Arial"/>
                                <w:strike/>
                                <w:color w:val="000000"/>
                                <w:sz w:val="22"/>
                              </w:rPr>
                              <w:t>normally</w:t>
                            </w:r>
                            <w:r w:rsidR="00EC7C3B" w:rsidRPr="00744A1A">
                              <w:rPr>
                                <w:rFonts w:eastAsia="Arial" w:cs="Arial"/>
                                <w:color w:val="000000"/>
                                <w:sz w:val="22"/>
                              </w:rPr>
                              <w:t xml:space="preserve"> after the patient has been treated for 3 months and with satisfactory investigation results for at least 4 weeks.</w:t>
                            </w:r>
                            <w:r w:rsidR="00EC7C3B">
                              <w:rPr>
                                <w:rFonts w:eastAsia="Arial" w:cs="Arial"/>
                                <w:color w:val="000000"/>
                                <w:sz w:val="22"/>
                              </w:rPr>
                              <w:t>’</w:t>
                            </w:r>
                            <w:r w:rsidR="00EC7C3B" w:rsidRPr="00004070">
                              <w:rPr>
                                <w:rFonts w:eastAsia="Arial" w:cs="Arial"/>
                                <w:color w:val="000000"/>
                                <w:szCs w:val="24"/>
                              </w:rPr>
                              <w:t xml:space="preserve"> </w:t>
                            </w:r>
                            <w:r w:rsidR="00EC7C3B">
                              <w:rPr>
                                <w:rFonts w:eastAsia="Arial" w:cs="Arial"/>
                                <w:color w:val="000000"/>
                                <w:sz w:val="22"/>
                              </w:rPr>
                              <w:t xml:space="preserve"> </w:t>
                            </w:r>
                            <w:r w:rsidRPr="00CB33F5">
                              <w:rPr>
                                <w:rFonts w:eastAsia="Arial" w:cs="Arial"/>
                                <w:color w:val="000000"/>
                                <w:sz w:val="22"/>
                              </w:rPr>
                              <w:t xml:space="preserve">This is to highlight that transfer to primary care is after the patient has been treated for a minimum of 3 months and with satisfactory investigation results for at least 4 weeks. </w:t>
                            </w:r>
                          </w:p>
                          <w:p w14:paraId="7BAB9760" w14:textId="2D50E511" w:rsidR="00264924" w:rsidRPr="00AE656C" w:rsidRDefault="00264924" w:rsidP="00984203">
                            <w:pPr>
                              <w:numPr>
                                <w:ilvl w:val="0"/>
                                <w:numId w:val="25"/>
                              </w:numPr>
                              <w:spacing w:before="60" w:after="0"/>
                              <w:ind w:left="360"/>
                              <w:rPr>
                                <w:rFonts w:eastAsia="Arial" w:cs="Arial"/>
                                <w:sz w:val="22"/>
                              </w:rPr>
                            </w:pPr>
                            <w:r>
                              <w:rPr>
                                <w:rFonts w:eastAsia="Arial" w:cs="Arial"/>
                                <w:color w:val="000000" w:themeColor="text1"/>
                                <w:sz w:val="22"/>
                              </w:rPr>
                              <w:t xml:space="preserve">Amendment to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sidR="004B3221">
                              <w:rPr>
                                <w:rFonts w:eastAsia="Arial" w:cs="Arial"/>
                                <w:color w:val="000000"/>
                                <w:sz w:val="22"/>
                              </w:rPr>
                              <w:t xml:space="preserve"> 5</w:t>
                            </w:r>
                            <w:r w:rsidR="00675B5F">
                              <w:rPr>
                                <w:rFonts w:eastAsia="Arial" w:cs="Arial"/>
                                <w:color w:val="000000"/>
                                <w:sz w:val="22"/>
                              </w:rPr>
                              <w:br/>
                            </w:r>
                            <w:r w:rsidR="00675B5F">
                              <w:rPr>
                                <w:rFonts w:eastAsia="Arial" w:cs="Arial"/>
                                <w:color w:val="000000" w:themeColor="text1"/>
                                <w:sz w:val="22"/>
                              </w:rPr>
                              <w:t>We have deleted ‘</w:t>
                            </w:r>
                            <w:r w:rsidR="00675B5F" w:rsidRPr="00675B5F">
                              <w:rPr>
                                <w:rFonts w:eastAsia="Arial"/>
                                <w:color w:val="000000" w:themeColor="text1"/>
                                <w:sz w:val="22"/>
                              </w:rPr>
                              <w:t>Prescribe the maintenance treatment for at least 4 weeks and until optimised</w:t>
                            </w:r>
                            <w:r w:rsidR="00675B5F">
                              <w:rPr>
                                <w:rFonts w:eastAsia="Arial"/>
                                <w:color w:val="000000" w:themeColor="text1"/>
                                <w:sz w:val="22"/>
                              </w:rPr>
                              <w:t>’</w:t>
                            </w:r>
                            <w:r w:rsidR="00F6143B">
                              <w:rPr>
                                <w:rFonts w:eastAsia="Arial"/>
                                <w:color w:val="000000" w:themeColor="text1"/>
                                <w:sz w:val="22"/>
                              </w:rPr>
                              <w:t xml:space="preserve"> to highlight that transfer to primary care is after the </w:t>
                            </w:r>
                            <w:r w:rsidR="00F6143B" w:rsidRPr="00CB33F5">
                              <w:rPr>
                                <w:rFonts w:eastAsia="Arial" w:cs="Arial"/>
                                <w:color w:val="000000"/>
                                <w:sz w:val="22"/>
                              </w:rPr>
                              <w:t xml:space="preserve">patient has been treated for a minimum of 3 months and with satisfactory investigation results for at least 4 weeks. </w:t>
                            </w:r>
                            <w:r w:rsidR="00AE656C">
                              <w:rPr>
                                <w:rFonts w:eastAsia="Arial" w:cs="Arial"/>
                                <w:color w:val="000000"/>
                                <w:sz w:val="22"/>
                              </w:rPr>
                              <w:t xml:space="preserve">This is so we are consistent with the first bullet point above. </w:t>
                            </w:r>
                          </w:p>
                          <w:p w14:paraId="14CD1C3A" w14:textId="07DB47D6" w:rsidR="00DF5BC9" w:rsidRPr="00EE5ADA" w:rsidRDefault="00DF5BC9" w:rsidP="00EE5ADA">
                            <w:pPr>
                              <w:pStyle w:val="ListParagraph"/>
                              <w:numPr>
                                <w:ilvl w:val="0"/>
                                <w:numId w:val="25"/>
                              </w:numPr>
                              <w:ind w:left="360"/>
                              <w:rPr>
                                <w:sz w:val="22"/>
                              </w:rPr>
                            </w:pPr>
                            <w:r>
                              <w:rPr>
                                <w:sz w:val="22"/>
                              </w:rPr>
                              <w:t xml:space="preserve">Amendment to </w:t>
                            </w:r>
                            <w:hyperlink w:anchor="_Ongoing_monitoring_requirements" w:history="1">
                              <w:r w:rsidRPr="00DF5BC9">
                                <w:rPr>
                                  <w:rStyle w:val="Hyperlink"/>
                                  <w:sz w:val="22"/>
                                </w:rPr>
                                <w:t>section 9</w:t>
                              </w:r>
                            </w:hyperlink>
                            <w:r>
                              <w:rPr>
                                <w:sz w:val="22"/>
                              </w:rPr>
                              <w:t>:</w:t>
                            </w:r>
                            <w:r w:rsidRPr="00EE5ADA">
                              <w:rPr>
                                <w:rFonts w:eastAsia="Arial" w:cs="Arial"/>
                                <w:color w:val="000000" w:themeColor="text1"/>
                                <w:sz w:val="22"/>
                              </w:rPr>
                              <w:t>We have deleted ‘unless already’ and added ‘which should be’ to read as the following:</w:t>
                            </w:r>
                          </w:p>
                          <w:p w14:paraId="7D6BE7D3" w14:textId="789AB56C" w:rsidR="0016298D" w:rsidRDefault="00DF5BC9" w:rsidP="00984203">
                            <w:pPr>
                              <w:pStyle w:val="ListParagraph"/>
                              <w:ind w:left="360"/>
                              <w:rPr>
                                <w:rFonts w:eastAsia="Arial" w:cs="Arial"/>
                                <w:color w:val="000000" w:themeColor="text1"/>
                                <w:sz w:val="22"/>
                              </w:rPr>
                            </w:pPr>
                            <w:r>
                              <w:rPr>
                                <w:rFonts w:eastAsia="Arial" w:cs="Arial"/>
                                <w:color w:val="000000" w:themeColor="text1"/>
                                <w:sz w:val="22"/>
                              </w:rPr>
                              <w:t>‘</w:t>
                            </w:r>
                            <w:r w:rsidRPr="0042420D">
                              <w:rPr>
                                <w:rFonts w:eastAsia="Arial" w:cs="Arial"/>
                                <w:color w:val="000000" w:themeColor="text1"/>
                                <w:sz w:val="22"/>
                              </w:rPr>
                              <w:t xml:space="preserve">Monthly for three months, </w:t>
                            </w:r>
                            <w:r w:rsidRPr="0042420D">
                              <w:rPr>
                                <w:rFonts w:eastAsia="Arial" w:cs="Arial"/>
                                <w:strike/>
                                <w:color w:val="000000" w:themeColor="text1"/>
                                <w:sz w:val="22"/>
                              </w:rPr>
                              <w:t>unless</w:t>
                            </w:r>
                            <w:r w:rsidRPr="0042420D">
                              <w:rPr>
                                <w:rFonts w:eastAsia="Arial" w:cs="Arial"/>
                                <w:color w:val="000000" w:themeColor="text1"/>
                                <w:sz w:val="22"/>
                              </w:rPr>
                              <w:t xml:space="preserve"> </w:t>
                            </w:r>
                            <w:r w:rsidRPr="0042420D">
                              <w:rPr>
                                <w:rFonts w:eastAsia="Arial" w:cs="Arial"/>
                                <w:strike/>
                                <w:color w:val="000000" w:themeColor="text1"/>
                                <w:sz w:val="22"/>
                              </w:rPr>
                              <w:t>already</w:t>
                            </w:r>
                            <w:r w:rsidRPr="0042420D">
                              <w:rPr>
                                <w:rFonts w:eastAsia="Arial" w:cs="Arial"/>
                                <w:color w:val="000000" w:themeColor="text1"/>
                                <w:sz w:val="22"/>
                              </w:rPr>
                              <w:t xml:space="preserve"> </w:t>
                            </w:r>
                            <w:r w:rsidRPr="00952C71">
                              <w:rPr>
                                <w:rFonts w:eastAsia="Arial" w:cs="Arial"/>
                                <w:color w:val="000000" w:themeColor="text1"/>
                                <w:sz w:val="22"/>
                              </w:rPr>
                              <w:t xml:space="preserve">which should be </w:t>
                            </w:r>
                            <w:r w:rsidRPr="0042420D">
                              <w:rPr>
                                <w:rFonts w:eastAsia="Arial" w:cs="Arial"/>
                                <w:color w:val="000000" w:themeColor="text1"/>
                                <w:sz w:val="22"/>
                              </w:rPr>
                              <w:t>completed in secondary care.</w:t>
                            </w:r>
                            <w:r>
                              <w:rPr>
                                <w:rFonts w:eastAsia="Arial" w:cs="Arial"/>
                                <w:color w:val="000000" w:themeColor="text1"/>
                                <w:sz w:val="22"/>
                              </w:rPr>
                              <w:t>’</w:t>
                            </w:r>
                            <w:r w:rsidRPr="0042420D">
                              <w:rPr>
                                <w:rFonts w:eastAsia="Arial" w:cs="Arial"/>
                                <w:color w:val="000000" w:themeColor="text1"/>
                                <w:sz w:val="22"/>
                              </w:rPr>
                              <w:t xml:space="preserve"> Amendment to highlight </w:t>
                            </w:r>
                            <w:r>
                              <w:rPr>
                                <w:rFonts w:eastAsia="Arial" w:cs="Arial"/>
                                <w:color w:val="000000" w:themeColor="text1"/>
                                <w:sz w:val="22"/>
                              </w:rPr>
                              <w:t xml:space="preserve">that </w:t>
                            </w:r>
                            <w:r w:rsidRPr="0042420D">
                              <w:rPr>
                                <w:rFonts w:eastAsia="Arial" w:cs="Arial"/>
                                <w:color w:val="000000" w:themeColor="text1"/>
                                <w:sz w:val="22"/>
                              </w:rPr>
                              <w:t xml:space="preserve">all initial monitoring for first 3 months should be undertaken by the specialist in secondary care. </w:t>
                            </w:r>
                          </w:p>
                          <w:p w14:paraId="26BF957B" w14:textId="66C89BE6" w:rsidR="0099265D" w:rsidRPr="00DE29CB" w:rsidRDefault="00DF5BC9" w:rsidP="00984203">
                            <w:pPr>
                              <w:pStyle w:val="ListParagraph"/>
                              <w:numPr>
                                <w:ilvl w:val="0"/>
                                <w:numId w:val="25"/>
                              </w:numPr>
                              <w:ind w:left="360"/>
                              <w:rPr>
                                <w:rStyle w:val="eop"/>
                                <w:rFonts w:eastAsia="Arial" w:cs="Arial"/>
                                <w:color w:val="000000" w:themeColor="text1"/>
                                <w:sz w:val="22"/>
                              </w:rPr>
                            </w:pPr>
                            <w:r w:rsidRPr="00E7559E">
                              <w:rPr>
                                <w:rFonts w:eastAsia="Times New Roman" w:cs="Arial"/>
                                <w:sz w:val="22"/>
                                <w:lang w:eastAsia="en-GB"/>
                              </w:rPr>
                              <w:t xml:space="preserve">To reiterate, as stated in </w:t>
                            </w:r>
                            <w:hyperlink w:anchor="_Baseline_investigations,_initial" w:history="1">
                              <w:r w:rsidRPr="00E7559E">
                                <w:rPr>
                                  <w:rStyle w:val="Hyperlink"/>
                                  <w:rFonts w:eastAsia="Times New Roman" w:cs="Arial"/>
                                  <w:sz w:val="22"/>
                                  <w:lang w:eastAsia="en-GB"/>
                                </w:rPr>
                                <w:t>section 8</w:t>
                              </w:r>
                            </w:hyperlink>
                            <w:r w:rsidRPr="00E7559E">
                              <w:rPr>
                                <w:rFonts w:eastAsia="Times New Roman" w:cs="Arial"/>
                                <w:sz w:val="22"/>
                                <w:lang w:eastAsia="en-GB"/>
                              </w:rPr>
                              <w:t>: ‘</w:t>
                            </w:r>
                            <w:r w:rsidRPr="00E7559E">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99265D" w:rsidRPr="00E7559E">
                              <w:rPr>
                                <w:rStyle w:val="normaltextrun"/>
                                <w:rFonts w:cs="Arial"/>
                                <w:sz w:val="22"/>
                              </w:rPr>
                              <w:t xml:space="preserve"> After each review, advise primary care whether treatment should be continued, confirm the ongoing dose, and whether the ongoing monitoring outlined in </w:t>
                            </w:r>
                            <w:hyperlink r:id="rId11" w:tgtFrame="_blank" w:history="1">
                              <w:r w:rsidR="0099265D" w:rsidRPr="00E7559E">
                                <w:rPr>
                                  <w:rStyle w:val="normaltextrun"/>
                                  <w:rFonts w:cs="Arial"/>
                                  <w:color w:val="0000FF"/>
                                  <w:sz w:val="22"/>
                                  <w:u w:val="single"/>
                                </w:rPr>
                                <w:t>section 9</w:t>
                              </w:r>
                            </w:hyperlink>
                            <w:r w:rsidR="0099265D" w:rsidRPr="00E7559E">
                              <w:rPr>
                                <w:rStyle w:val="normaltextrun"/>
                                <w:rFonts w:cs="Arial"/>
                                <w:sz w:val="22"/>
                              </w:rPr>
                              <w:t xml:space="preserve"> remains appropriate.</w:t>
                            </w:r>
                            <w:r w:rsidR="00E7559E">
                              <w:rPr>
                                <w:rStyle w:val="eop"/>
                                <w:rFonts w:cs="Arial"/>
                                <w:sz w:val="22"/>
                              </w:rPr>
                              <w:t>’</w:t>
                            </w:r>
                          </w:p>
                          <w:p w14:paraId="35BC23F7" w14:textId="77777777" w:rsidR="00673387" w:rsidRDefault="00673387" w:rsidP="00DE29CB">
                            <w:pPr>
                              <w:spacing w:after="120" w:line="240" w:lineRule="auto"/>
                              <w:ind w:left="360"/>
                              <w:rPr>
                                <w:b/>
                                <w:bCs/>
                                <w:sz w:val="22"/>
                              </w:rPr>
                            </w:pPr>
                          </w:p>
                          <w:p w14:paraId="11836751" w14:textId="7961BDD2" w:rsidR="00DE29CB" w:rsidRPr="00DE29CB" w:rsidRDefault="00DE29CB" w:rsidP="003F10A6">
                            <w:pPr>
                              <w:spacing w:after="0" w:line="240" w:lineRule="auto"/>
                              <w:ind w:left="360"/>
                              <w:rPr>
                                <w:b/>
                                <w:bCs/>
                                <w:sz w:val="22"/>
                              </w:rPr>
                            </w:pPr>
                            <w:r w:rsidRPr="00DE29CB">
                              <w:rPr>
                                <w:b/>
                                <w:bCs/>
                                <w:sz w:val="22"/>
                              </w:rPr>
                              <w:t>Version Control History</w:t>
                            </w:r>
                          </w:p>
                          <w:p w14:paraId="791F554E" w14:textId="77777777" w:rsidR="00DE29CB" w:rsidRPr="00DE29CB" w:rsidRDefault="00DE29CB" w:rsidP="003F10A6">
                            <w:pPr>
                              <w:spacing w:after="0" w:line="240" w:lineRule="auto"/>
                              <w:ind w:left="360"/>
                              <w:rPr>
                                <w:sz w:val="22"/>
                              </w:rPr>
                            </w:pPr>
                            <w:r w:rsidRPr="00DE29CB">
                              <w:rPr>
                                <w:sz w:val="22"/>
                              </w:rPr>
                              <w:t>Date: 15</w:t>
                            </w:r>
                            <w:r w:rsidRPr="00DE29CB">
                              <w:rPr>
                                <w:sz w:val="22"/>
                                <w:vertAlign w:val="superscript"/>
                              </w:rPr>
                              <w:t>th</w:t>
                            </w:r>
                            <w:r w:rsidRPr="00DE29CB">
                              <w:rPr>
                                <w:sz w:val="22"/>
                              </w:rPr>
                              <w:t xml:space="preserve"> February 2023, updated January 25</w:t>
                            </w:r>
                          </w:p>
                          <w:p w14:paraId="42188B18" w14:textId="77777777" w:rsidR="00DE29CB" w:rsidRPr="00DE29CB" w:rsidRDefault="00DE29CB" w:rsidP="003F10A6">
                            <w:pPr>
                              <w:spacing w:after="0" w:line="240" w:lineRule="auto"/>
                              <w:ind w:left="360"/>
                              <w:rPr>
                                <w:sz w:val="22"/>
                              </w:rPr>
                            </w:pPr>
                            <w:r w:rsidRPr="00DE29CB">
                              <w:rPr>
                                <w:sz w:val="22"/>
                              </w:rPr>
                              <w:t>Version: 1.1</w:t>
                            </w:r>
                          </w:p>
                          <w:p w14:paraId="429CF800" w14:textId="77777777" w:rsidR="00DE29CB" w:rsidRPr="00DE29CB" w:rsidRDefault="00DE29CB" w:rsidP="003F10A6">
                            <w:pPr>
                              <w:spacing w:after="0" w:line="240" w:lineRule="auto"/>
                              <w:ind w:left="360"/>
                              <w:rPr>
                                <w:sz w:val="22"/>
                              </w:rPr>
                            </w:pPr>
                            <w:r w:rsidRPr="00DE29CB">
                              <w:rPr>
                                <w:sz w:val="22"/>
                              </w:rPr>
                              <w:t>Type of change: Minor</w:t>
                            </w:r>
                          </w:p>
                          <w:p w14:paraId="1AE30180" w14:textId="77777777" w:rsidR="00DE29CB" w:rsidRPr="00DE29CB" w:rsidRDefault="00DE29CB" w:rsidP="003F10A6">
                            <w:pPr>
                              <w:spacing w:after="0" w:line="240" w:lineRule="auto"/>
                              <w:ind w:left="360"/>
                              <w:rPr>
                                <w:sz w:val="22"/>
                              </w:rPr>
                            </w:pPr>
                            <w:r w:rsidRPr="00DE29CB">
                              <w:rPr>
                                <w:sz w:val="22"/>
                              </w:rPr>
                              <w:t>Summary of change: Review date extended to February 26</w:t>
                            </w:r>
                          </w:p>
                          <w:p w14:paraId="6F78DEAC" w14:textId="77777777" w:rsidR="00DE29CB" w:rsidRPr="00E7559E" w:rsidRDefault="00DE29CB" w:rsidP="00DE29CB">
                            <w:pPr>
                              <w:pStyle w:val="ListParagraph"/>
                              <w:ind w:left="360"/>
                              <w:rPr>
                                <w:rStyle w:val="eop"/>
                                <w:rFonts w:eastAsia="Arial" w:cs="Arial"/>
                                <w:color w:val="000000" w:themeColor="text1"/>
                                <w:sz w:val="22"/>
                              </w:rPr>
                            </w:pPr>
                          </w:p>
                          <w:p w14:paraId="382DC3C0" w14:textId="3B896B26" w:rsidR="00DF5BC9" w:rsidRPr="00CB33F5" w:rsidRDefault="00DF5BC9" w:rsidP="00E7559E">
                            <w:pPr>
                              <w:spacing w:after="0"/>
                              <w:ind w:left="360"/>
                              <w:rPr>
                                <w:rFonts w:eastAsia="Arial" w:cs="Arial"/>
                                <w:color w:val="000000" w:themeColor="text1"/>
                                <w:sz w:val="22"/>
                              </w:rPr>
                            </w:pPr>
                          </w:p>
                          <w:p w14:paraId="06712B2C" w14:textId="77777777" w:rsidR="00DF5BC9" w:rsidRPr="00CB33F5" w:rsidRDefault="00DF5BC9" w:rsidP="00DF5BC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992F6" id="_x0000_t202" coordsize="21600,21600" o:spt="202" path="m,l,21600r21600,l21600,xe">
                <v:stroke joinstyle="miter"/>
                <v:path gradientshapeok="t" o:connecttype="rect"/>
              </v:shapetype>
              <v:shape id="_x0000_s1026" type="#_x0000_t202" style="position:absolute;left:0;text-align:left;margin-left:-54.4pt;margin-top:28.4pt;width:562.5pt;height:53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" filled="f" strokecolor="#00b050" strokeweight="3pt">
                <v:textbox>
                  <w:txbxContent>
                    <w:p w14:paraId="4191CE83" w14:textId="41C32295" w:rsidR="00DF5BC9" w:rsidRDefault="00A06A2C" w:rsidP="00984203">
                      <w:pPr>
                        <w:spacing w:line="20" w:lineRule="atLeast"/>
                        <w:rPr>
                          <w:rFonts w:cs="Arial"/>
                          <w:b/>
                          <w:bCs/>
                          <w:sz w:val="22"/>
                        </w:rPr>
                      </w:pPr>
                      <w:r w:rsidRPr="00220A6C">
                        <w:rPr>
                          <w:rFonts w:cstheme="minorHAnsi"/>
                          <w:b/>
                          <w:bCs/>
                          <w:color w:val="005EB8"/>
                          <w:sz w:val="28"/>
                        </w:rPr>
                        <w:t>SWL</w:t>
                      </w:r>
                      <w:r w:rsidR="00DF5BC9" w:rsidRPr="00220A6C">
                        <w:rPr>
                          <w:rFonts w:cstheme="minorHAnsi"/>
                          <w:b/>
                          <w:bCs/>
                          <w:color w:val="005EB8"/>
                          <w:sz w:val="28"/>
                        </w:rPr>
                        <w:t xml:space="preserve"> </w:t>
                      </w:r>
                      <w:r w:rsidR="00220A6C">
                        <w:rPr>
                          <w:rFonts w:cstheme="minorHAnsi"/>
                          <w:b/>
                          <w:bCs/>
                          <w:color w:val="005EB8"/>
                          <w:sz w:val="28"/>
                        </w:rPr>
                        <w:t>Local Adaptation</w:t>
                      </w:r>
                      <w:r w:rsidR="00984203">
                        <w:rPr>
                          <w:rFonts w:cs="Arial"/>
                          <w:b/>
                          <w:bCs/>
                          <w:sz w:val="22"/>
                        </w:rPr>
                        <w:br/>
                      </w:r>
                      <w:r>
                        <w:rPr>
                          <w:rFonts w:cs="Arial"/>
                          <w:b/>
                          <w:bCs/>
                          <w:sz w:val="22"/>
                        </w:rPr>
                        <w:t>November</w:t>
                      </w:r>
                      <w:r w:rsidR="00DF5BC9">
                        <w:rPr>
                          <w:rFonts w:cs="Arial"/>
                          <w:b/>
                          <w:bCs/>
                          <w:sz w:val="22"/>
                        </w:rPr>
                        <w:t xml:space="preserve"> 202</w:t>
                      </w:r>
                      <w:r>
                        <w:rPr>
                          <w:rFonts w:cs="Arial"/>
                          <w:b/>
                          <w:bCs/>
                          <w:sz w:val="22"/>
                        </w:rPr>
                        <w:t>2</w:t>
                      </w:r>
                    </w:p>
                    <w:p w14:paraId="11AC4153" w14:textId="1EA3AA2B" w:rsidR="00DF5BC9" w:rsidRDefault="00DF5BC9" w:rsidP="00DF5BC9">
                      <w:pPr>
                        <w:rPr>
                          <w:rStyle w:val="Heading3Char"/>
                          <w:rFonts w:cs="Arial"/>
                          <w:sz w:val="22"/>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DF5BC9">
                          <w:rPr>
                            <w:rStyle w:val="Hyperlink"/>
                            <w:rFonts w:cs="Arial"/>
                            <w:sz w:val="22"/>
                            <w:szCs w:val="24"/>
                            <w:lang w:eastAsia="en-GB"/>
                          </w:rPr>
                          <w:t>Locally agreed off-label use</w:t>
                        </w:r>
                      </w:hyperlink>
                    </w:p>
                    <w:p w14:paraId="69D786B8" w14:textId="5F6068AA" w:rsidR="00DF5BC9" w:rsidRDefault="00DF5BC9" w:rsidP="00984203">
                      <w:pPr>
                        <w:numPr>
                          <w:ilvl w:val="0"/>
                          <w:numId w:val="25"/>
                        </w:numPr>
                        <w:spacing w:before="60" w:after="0"/>
                        <w:ind w:left="360"/>
                        <w:rPr>
                          <w:rFonts w:eastAsia="Arial" w:cs="Arial"/>
                          <w:sz w:val="22"/>
                        </w:rPr>
                      </w:pPr>
                      <w:r w:rsidRPr="00CB33F5">
                        <w:rPr>
                          <w:rFonts w:eastAsia="Arial" w:cs="Arial"/>
                          <w:color w:val="000000"/>
                          <w:sz w:val="22"/>
                        </w:rPr>
                        <w:t xml:space="preserve">The word ‘normally’ under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 </w:t>
                      </w:r>
                      <w:r w:rsidR="004B3221">
                        <w:rPr>
                          <w:rFonts w:eastAsia="Arial" w:cs="Arial"/>
                          <w:color w:val="000000"/>
                          <w:sz w:val="22"/>
                        </w:rPr>
                        <w:t>5</w:t>
                      </w:r>
                      <w:r w:rsidRPr="00CB33F5">
                        <w:rPr>
                          <w:rFonts w:eastAsia="Arial" w:cs="Arial"/>
                          <w:color w:val="000000"/>
                          <w:sz w:val="22"/>
                        </w:rPr>
                        <w:t xml:space="preserve"> and </w:t>
                      </w:r>
                      <w:hyperlink w:anchor="_Initiation_and_ongoing" w:history="1">
                        <w:r w:rsidRPr="00DF5BC9">
                          <w:rPr>
                            <w:rStyle w:val="Hyperlink"/>
                            <w:rFonts w:eastAsia="Arial" w:cs="Arial"/>
                            <w:sz w:val="22"/>
                            <w:lang w:eastAsia="en-GB"/>
                          </w:rPr>
                          <w:t>section 5</w:t>
                        </w:r>
                      </w:hyperlink>
                      <w:r w:rsidRPr="00CB33F5">
                        <w:rPr>
                          <w:rFonts w:eastAsia="Arial" w:cs="Arial"/>
                          <w:color w:val="000000"/>
                          <w:sz w:val="22"/>
                        </w:rPr>
                        <w:t>, first bullet point has been deleted</w:t>
                      </w:r>
                      <w:r w:rsidR="00EC7C3B">
                        <w:rPr>
                          <w:rFonts w:eastAsia="Arial" w:cs="Arial"/>
                          <w:color w:val="000000"/>
                          <w:sz w:val="22"/>
                        </w:rPr>
                        <w:t>: ‘</w:t>
                      </w:r>
                      <w:r w:rsidR="00EC7C3B" w:rsidRPr="00744A1A">
                        <w:rPr>
                          <w:rFonts w:eastAsia="Arial" w:cs="Arial"/>
                          <w:color w:val="000000"/>
                          <w:sz w:val="22"/>
                        </w:rPr>
                        <w:t xml:space="preserve">Transfer to primary care is </w:t>
                      </w:r>
                      <w:r w:rsidR="00EC7C3B" w:rsidRPr="00744A1A">
                        <w:rPr>
                          <w:rFonts w:eastAsia="Arial" w:cs="Arial"/>
                          <w:strike/>
                          <w:color w:val="000000"/>
                          <w:sz w:val="22"/>
                        </w:rPr>
                        <w:t>normally</w:t>
                      </w:r>
                      <w:r w:rsidR="00EC7C3B" w:rsidRPr="00744A1A">
                        <w:rPr>
                          <w:rFonts w:eastAsia="Arial" w:cs="Arial"/>
                          <w:color w:val="000000"/>
                          <w:sz w:val="22"/>
                        </w:rPr>
                        <w:t xml:space="preserve"> after the patient has been treated for 3 months and with satisfactory investigation results for at least 4 weeks.</w:t>
                      </w:r>
                      <w:r w:rsidR="00EC7C3B">
                        <w:rPr>
                          <w:rFonts w:eastAsia="Arial" w:cs="Arial"/>
                          <w:color w:val="000000"/>
                          <w:sz w:val="22"/>
                        </w:rPr>
                        <w:t>’</w:t>
                      </w:r>
                      <w:r w:rsidR="00EC7C3B" w:rsidRPr="00004070">
                        <w:rPr>
                          <w:rFonts w:eastAsia="Arial" w:cs="Arial"/>
                          <w:color w:val="000000"/>
                          <w:szCs w:val="24"/>
                        </w:rPr>
                        <w:t xml:space="preserve"> </w:t>
                      </w:r>
                      <w:r w:rsidR="00EC7C3B">
                        <w:rPr>
                          <w:rFonts w:eastAsia="Arial" w:cs="Arial"/>
                          <w:color w:val="000000"/>
                          <w:sz w:val="22"/>
                        </w:rPr>
                        <w:t xml:space="preserve"> </w:t>
                      </w:r>
                      <w:r w:rsidRPr="00CB33F5">
                        <w:rPr>
                          <w:rFonts w:eastAsia="Arial" w:cs="Arial"/>
                          <w:color w:val="000000"/>
                          <w:sz w:val="22"/>
                        </w:rPr>
                        <w:t xml:space="preserve">This is to highlight that transfer to primary care is after the patient has been treated for a minimum of 3 months and with satisfactory investigation results for at least 4 weeks. </w:t>
                      </w:r>
                    </w:p>
                    <w:p w14:paraId="7BAB9760" w14:textId="2D50E511" w:rsidR="00264924" w:rsidRPr="00AE656C" w:rsidRDefault="00264924" w:rsidP="00984203">
                      <w:pPr>
                        <w:numPr>
                          <w:ilvl w:val="0"/>
                          <w:numId w:val="25"/>
                        </w:numPr>
                        <w:spacing w:before="60" w:after="0"/>
                        <w:ind w:left="360"/>
                        <w:rPr>
                          <w:rFonts w:eastAsia="Arial" w:cs="Arial"/>
                          <w:sz w:val="22"/>
                        </w:rPr>
                      </w:pPr>
                      <w:r>
                        <w:rPr>
                          <w:rFonts w:eastAsia="Arial" w:cs="Arial"/>
                          <w:color w:val="000000" w:themeColor="text1"/>
                          <w:sz w:val="22"/>
                        </w:rPr>
                        <w:t xml:space="preserve">Amendment to </w:t>
                      </w:r>
                      <w:hyperlink w:anchor="_Specialist_responsibilities" w:history="1">
                        <w:r w:rsidRPr="00DF5BC9">
                          <w:rPr>
                            <w:rStyle w:val="Hyperlink"/>
                            <w:rFonts w:eastAsia="Arial" w:cs="Arial"/>
                            <w:sz w:val="22"/>
                            <w:lang w:eastAsia="en-GB"/>
                          </w:rPr>
                          <w:t>specialist responsibilities</w:t>
                        </w:r>
                      </w:hyperlink>
                      <w:r w:rsidRPr="00CB33F5">
                        <w:rPr>
                          <w:rFonts w:eastAsia="Arial" w:cs="Arial"/>
                          <w:color w:val="000000"/>
                          <w:sz w:val="22"/>
                        </w:rPr>
                        <w:t xml:space="preserve"> section bullet point</w:t>
                      </w:r>
                      <w:r w:rsidR="004B3221">
                        <w:rPr>
                          <w:rFonts w:eastAsia="Arial" w:cs="Arial"/>
                          <w:color w:val="000000"/>
                          <w:sz w:val="22"/>
                        </w:rPr>
                        <w:t xml:space="preserve"> 5</w:t>
                      </w:r>
                      <w:r w:rsidR="00675B5F">
                        <w:rPr>
                          <w:rFonts w:eastAsia="Arial" w:cs="Arial"/>
                          <w:color w:val="000000"/>
                          <w:sz w:val="22"/>
                        </w:rPr>
                        <w:br/>
                      </w:r>
                      <w:r w:rsidR="00675B5F">
                        <w:rPr>
                          <w:rFonts w:eastAsia="Arial" w:cs="Arial"/>
                          <w:color w:val="000000" w:themeColor="text1"/>
                          <w:sz w:val="22"/>
                        </w:rPr>
                        <w:t>We have deleted ‘</w:t>
                      </w:r>
                      <w:r w:rsidR="00675B5F" w:rsidRPr="00675B5F">
                        <w:rPr>
                          <w:rFonts w:eastAsia="Arial"/>
                          <w:color w:val="000000" w:themeColor="text1"/>
                          <w:sz w:val="22"/>
                        </w:rPr>
                        <w:t>Prescribe the maintenance treatment for at least 4 weeks and until optimised</w:t>
                      </w:r>
                      <w:r w:rsidR="00675B5F">
                        <w:rPr>
                          <w:rFonts w:eastAsia="Arial"/>
                          <w:color w:val="000000" w:themeColor="text1"/>
                          <w:sz w:val="22"/>
                        </w:rPr>
                        <w:t>’</w:t>
                      </w:r>
                      <w:r w:rsidR="00F6143B">
                        <w:rPr>
                          <w:rFonts w:eastAsia="Arial"/>
                          <w:color w:val="000000" w:themeColor="text1"/>
                          <w:sz w:val="22"/>
                        </w:rPr>
                        <w:t xml:space="preserve"> to highlight that transfer to primary care is after the </w:t>
                      </w:r>
                      <w:r w:rsidR="00F6143B" w:rsidRPr="00CB33F5">
                        <w:rPr>
                          <w:rFonts w:eastAsia="Arial" w:cs="Arial"/>
                          <w:color w:val="000000"/>
                          <w:sz w:val="22"/>
                        </w:rPr>
                        <w:t xml:space="preserve">patient has been treated for a minimum of 3 months and with satisfactory investigation results for at least 4 weeks. </w:t>
                      </w:r>
                      <w:r w:rsidR="00AE656C">
                        <w:rPr>
                          <w:rFonts w:eastAsia="Arial" w:cs="Arial"/>
                          <w:color w:val="000000"/>
                          <w:sz w:val="22"/>
                        </w:rPr>
                        <w:t xml:space="preserve">This is so we are consistent with the first bullet point above. </w:t>
                      </w:r>
                    </w:p>
                    <w:p w14:paraId="14CD1C3A" w14:textId="07DB47D6" w:rsidR="00DF5BC9" w:rsidRPr="00EE5ADA" w:rsidRDefault="00DF5BC9" w:rsidP="00EE5ADA">
                      <w:pPr>
                        <w:pStyle w:val="ListParagraph"/>
                        <w:numPr>
                          <w:ilvl w:val="0"/>
                          <w:numId w:val="25"/>
                        </w:numPr>
                        <w:ind w:left="360"/>
                        <w:rPr>
                          <w:sz w:val="22"/>
                        </w:rPr>
                      </w:pPr>
                      <w:r>
                        <w:rPr>
                          <w:sz w:val="22"/>
                        </w:rPr>
                        <w:t xml:space="preserve">Amendment to </w:t>
                      </w:r>
                      <w:hyperlink w:anchor="_Ongoing_monitoring_requirements" w:history="1">
                        <w:r w:rsidRPr="00DF5BC9">
                          <w:rPr>
                            <w:rStyle w:val="Hyperlink"/>
                            <w:sz w:val="22"/>
                          </w:rPr>
                          <w:t>section 9</w:t>
                        </w:r>
                      </w:hyperlink>
                      <w:r>
                        <w:rPr>
                          <w:sz w:val="22"/>
                        </w:rPr>
                        <w:t>:</w:t>
                      </w:r>
                      <w:r w:rsidRPr="00EE5ADA">
                        <w:rPr>
                          <w:rFonts w:eastAsia="Arial" w:cs="Arial"/>
                          <w:color w:val="000000" w:themeColor="text1"/>
                          <w:sz w:val="22"/>
                        </w:rPr>
                        <w:t>We have deleted ‘unless already’ and added ‘which should be’ to read as the following:</w:t>
                      </w:r>
                    </w:p>
                    <w:p w14:paraId="7D6BE7D3" w14:textId="789AB56C" w:rsidR="0016298D" w:rsidRDefault="00DF5BC9" w:rsidP="00984203">
                      <w:pPr>
                        <w:pStyle w:val="ListParagraph"/>
                        <w:ind w:left="360"/>
                        <w:rPr>
                          <w:rFonts w:eastAsia="Arial" w:cs="Arial"/>
                          <w:color w:val="000000" w:themeColor="text1"/>
                          <w:sz w:val="22"/>
                        </w:rPr>
                      </w:pPr>
                      <w:r>
                        <w:rPr>
                          <w:rFonts w:eastAsia="Arial" w:cs="Arial"/>
                          <w:color w:val="000000" w:themeColor="text1"/>
                          <w:sz w:val="22"/>
                        </w:rPr>
                        <w:t>‘</w:t>
                      </w:r>
                      <w:r w:rsidRPr="0042420D">
                        <w:rPr>
                          <w:rFonts w:eastAsia="Arial" w:cs="Arial"/>
                          <w:color w:val="000000" w:themeColor="text1"/>
                          <w:sz w:val="22"/>
                        </w:rPr>
                        <w:t xml:space="preserve">Monthly for three months, </w:t>
                      </w:r>
                      <w:r w:rsidRPr="0042420D">
                        <w:rPr>
                          <w:rFonts w:eastAsia="Arial" w:cs="Arial"/>
                          <w:strike/>
                          <w:color w:val="000000" w:themeColor="text1"/>
                          <w:sz w:val="22"/>
                        </w:rPr>
                        <w:t>unless</w:t>
                      </w:r>
                      <w:r w:rsidRPr="0042420D">
                        <w:rPr>
                          <w:rFonts w:eastAsia="Arial" w:cs="Arial"/>
                          <w:color w:val="000000" w:themeColor="text1"/>
                          <w:sz w:val="22"/>
                        </w:rPr>
                        <w:t xml:space="preserve"> </w:t>
                      </w:r>
                      <w:r w:rsidRPr="0042420D">
                        <w:rPr>
                          <w:rFonts w:eastAsia="Arial" w:cs="Arial"/>
                          <w:strike/>
                          <w:color w:val="000000" w:themeColor="text1"/>
                          <w:sz w:val="22"/>
                        </w:rPr>
                        <w:t>already</w:t>
                      </w:r>
                      <w:r w:rsidRPr="0042420D">
                        <w:rPr>
                          <w:rFonts w:eastAsia="Arial" w:cs="Arial"/>
                          <w:color w:val="000000" w:themeColor="text1"/>
                          <w:sz w:val="22"/>
                        </w:rPr>
                        <w:t xml:space="preserve"> </w:t>
                      </w:r>
                      <w:r w:rsidRPr="00952C71">
                        <w:rPr>
                          <w:rFonts w:eastAsia="Arial" w:cs="Arial"/>
                          <w:color w:val="000000" w:themeColor="text1"/>
                          <w:sz w:val="22"/>
                        </w:rPr>
                        <w:t xml:space="preserve">which should be </w:t>
                      </w:r>
                      <w:r w:rsidRPr="0042420D">
                        <w:rPr>
                          <w:rFonts w:eastAsia="Arial" w:cs="Arial"/>
                          <w:color w:val="000000" w:themeColor="text1"/>
                          <w:sz w:val="22"/>
                        </w:rPr>
                        <w:t>completed in secondary care.</w:t>
                      </w:r>
                      <w:r>
                        <w:rPr>
                          <w:rFonts w:eastAsia="Arial" w:cs="Arial"/>
                          <w:color w:val="000000" w:themeColor="text1"/>
                          <w:sz w:val="22"/>
                        </w:rPr>
                        <w:t>’</w:t>
                      </w:r>
                      <w:r w:rsidRPr="0042420D">
                        <w:rPr>
                          <w:rFonts w:eastAsia="Arial" w:cs="Arial"/>
                          <w:color w:val="000000" w:themeColor="text1"/>
                          <w:sz w:val="22"/>
                        </w:rPr>
                        <w:t xml:space="preserve"> Amendment to highlight </w:t>
                      </w:r>
                      <w:r>
                        <w:rPr>
                          <w:rFonts w:eastAsia="Arial" w:cs="Arial"/>
                          <w:color w:val="000000" w:themeColor="text1"/>
                          <w:sz w:val="22"/>
                        </w:rPr>
                        <w:t xml:space="preserve">that </w:t>
                      </w:r>
                      <w:r w:rsidRPr="0042420D">
                        <w:rPr>
                          <w:rFonts w:eastAsia="Arial" w:cs="Arial"/>
                          <w:color w:val="000000" w:themeColor="text1"/>
                          <w:sz w:val="22"/>
                        </w:rPr>
                        <w:t xml:space="preserve">all initial monitoring for first 3 months should be undertaken by the specialist in secondary care. </w:t>
                      </w:r>
                    </w:p>
                    <w:p w14:paraId="26BF957B" w14:textId="66C89BE6" w:rsidR="0099265D" w:rsidRPr="00DE29CB" w:rsidRDefault="00DF5BC9" w:rsidP="00984203">
                      <w:pPr>
                        <w:pStyle w:val="ListParagraph"/>
                        <w:numPr>
                          <w:ilvl w:val="0"/>
                          <w:numId w:val="25"/>
                        </w:numPr>
                        <w:ind w:left="360"/>
                        <w:rPr>
                          <w:rStyle w:val="eop"/>
                          <w:rFonts w:eastAsia="Arial" w:cs="Arial"/>
                          <w:color w:val="000000" w:themeColor="text1"/>
                          <w:sz w:val="22"/>
                        </w:rPr>
                      </w:pPr>
                      <w:r w:rsidRPr="00E7559E">
                        <w:rPr>
                          <w:rFonts w:eastAsia="Times New Roman" w:cs="Arial"/>
                          <w:sz w:val="22"/>
                          <w:lang w:eastAsia="en-GB"/>
                        </w:rPr>
                        <w:t xml:space="preserve">To reiterate, as stated in </w:t>
                      </w:r>
                      <w:hyperlink w:anchor="_Baseline_investigations,_initial" w:history="1">
                        <w:r w:rsidRPr="00E7559E">
                          <w:rPr>
                            <w:rStyle w:val="Hyperlink"/>
                            <w:rFonts w:eastAsia="Times New Roman" w:cs="Arial"/>
                            <w:sz w:val="22"/>
                            <w:lang w:eastAsia="en-GB"/>
                          </w:rPr>
                          <w:t>section 8</w:t>
                        </w:r>
                      </w:hyperlink>
                      <w:r w:rsidRPr="00E7559E">
                        <w:rPr>
                          <w:rFonts w:eastAsia="Times New Roman" w:cs="Arial"/>
                          <w:sz w:val="22"/>
                          <w:lang w:eastAsia="en-GB"/>
                        </w:rPr>
                        <w:t>: ‘</w:t>
                      </w:r>
                      <w:r w:rsidRPr="00E7559E">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99265D" w:rsidRPr="00E7559E">
                        <w:rPr>
                          <w:rStyle w:val="normaltextrun"/>
                          <w:rFonts w:cs="Arial"/>
                          <w:sz w:val="22"/>
                        </w:rPr>
                        <w:t xml:space="preserve"> After each review, advise primary care whether treatment should be continued, confirm the ongoing dose, and whether the ongoing monitoring outlined in </w:t>
                      </w:r>
                      <w:hyperlink r:id="rId12" w:tgtFrame="_blank" w:history="1">
                        <w:r w:rsidR="0099265D" w:rsidRPr="00E7559E">
                          <w:rPr>
                            <w:rStyle w:val="normaltextrun"/>
                            <w:rFonts w:cs="Arial"/>
                            <w:color w:val="0000FF"/>
                            <w:sz w:val="22"/>
                            <w:u w:val="single"/>
                          </w:rPr>
                          <w:t>section 9</w:t>
                        </w:r>
                      </w:hyperlink>
                      <w:r w:rsidR="0099265D" w:rsidRPr="00E7559E">
                        <w:rPr>
                          <w:rStyle w:val="normaltextrun"/>
                          <w:rFonts w:cs="Arial"/>
                          <w:sz w:val="22"/>
                        </w:rPr>
                        <w:t xml:space="preserve"> remains appropriate.</w:t>
                      </w:r>
                      <w:r w:rsidR="00E7559E">
                        <w:rPr>
                          <w:rStyle w:val="eop"/>
                          <w:rFonts w:cs="Arial"/>
                          <w:sz w:val="22"/>
                        </w:rPr>
                        <w:t>’</w:t>
                      </w:r>
                    </w:p>
                    <w:p w14:paraId="35BC23F7" w14:textId="77777777" w:rsidR="00673387" w:rsidRDefault="00673387" w:rsidP="00DE29CB">
                      <w:pPr>
                        <w:spacing w:after="120" w:line="240" w:lineRule="auto"/>
                        <w:ind w:left="360"/>
                        <w:rPr>
                          <w:b/>
                          <w:bCs/>
                          <w:sz w:val="22"/>
                        </w:rPr>
                      </w:pPr>
                    </w:p>
                    <w:p w14:paraId="11836751" w14:textId="7961BDD2" w:rsidR="00DE29CB" w:rsidRPr="00DE29CB" w:rsidRDefault="00DE29CB" w:rsidP="003F10A6">
                      <w:pPr>
                        <w:spacing w:after="0" w:line="240" w:lineRule="auto"/>
                        <w:ind w:left="360"/>
                        <w:rPr>
                          <w:b/>
                          <w:bCs/>
                          <w:sz w:val="22"/>
                        </w:rPr>
                      </w:pPr>
                      <w:r w:rsidRPr="00DE29CB">
                        <w:rPr>
                          <w:b/>
                          <w:bCs/>
                          <w:sz w:val="22"/>
                        </w:rPr>
                        <w:t>Version Control History</w:t>
                      </w:r>
                    </w:p>
                    <w:p w14:paraId="791F554E" w14:textId="77777777" w:rsidR="00DE29CB" w:rsidRPr="00DE29CB" w:rsidRDefault="00DE29CB" w:rsidP="003F10A6">
                      <w:pPr>
                        <w:spacing w:after="0" w:line="240" w:lineRule="auto"/>
                        <w:ind w:left="360"/>
                        <w:rPr>
                          <w:sz w:val="22"/>
                        </w:rPr>
                      </w:pPr>
                      <w:r w:rsidRPr="00DE29CB">
                        <w:rPr>
                          <w:sz w:val="22"/>
                        </w:rPr>
                        <w:t>Date: 15</w:t>
                      </w:r>
                      <w:r w:rsidRPr="00DE29CB">
                        <w:rPr>
                          <w:sz w:val="22"/>
                          <w:vertAlign w:val="superscript"/>
                        </w:rPr>
                        <w:t>th</w:t>
                      </w:r>
                      <w:r w:rsidRPr="00DE29CB">
                        <w:rPr>
                          <w:sz w:val="22"/>
                        </w:rPr>
                        <w:t xml:space="preserve"> February 2023, updated January 25</w:t>
                      </w:r>
                    </w:p>
                    <w:p w14:paraId="42188B18" w14:textId="77777777" w:rsidR="00DE29CB" w:rsidRPr="00DE29CB" w:rsidRDefault="00DE29CB" w:rsidP="003F10A6">
                      <w:pPr>
                        <w:spacing w:after="0" w:line="240" w:lineRule="auto"/>
                        <w:ind w:left="360"/>
                        <w:rPr>
                          <w:sz w:val="22"/>
                        </w:rPr>
                      </w:pPr>
                      <w:r w:rsidRPr="00DE29CB">
                        <w:rPr>
                          <w:sz w:val="22"/>
                        </w:rPr>
                        <w:t>Version: 1.1</w:t>
                      </w:r>
                    </w:p>
                    <w:p w14:paraId="429CF800" w14:textId="77777777" w:rsidR="00DE29CB" w:rsidRPr="00DE29CB" w:rsidRDefault="00DE29CB" w:rsidP="003F10A6">
                      <w:pPr>
                        <w:spacing w:after="0" w:line="240" w:lineRule="auto"/>
                        <w:ind w:left="360"/>
                        <w:rPr>
                          <w:sz w:val="22"/>
                        </w:rPr>
                      </w:pPr>
                      <w:r w:rsidRPr="00DE29CB">
                        <w:rPr>
                          <w:sz w:val="22"/>
                        </w:rPr>
                        <w:t>Type of change: Minor</w:t>
                      </w:r>
                    </w:p>
                    <w:p w14:paraId="1AE30180" w14:textId="77777777" w:rsidR="00DE29CB" w:rsidRPr="00DE29CB" w:rsidRDefault="00DE29CB" w:rsidP="003F10A6">
                      <w:pPr>
                        <w:spacing w:after="0" w:line="240" w:lineRule="auto"/>
                        <w:ind w:left="360"/>
                        <w:rPr>
                          <w:sz w:val="22"/>
                        </w:rPr>
                      </w:pPr>
                      <w:r w:rsidRPr="00DE29CB">
                        <w:rPr>
                          <w:sz w:val="22"/>
                        </w:rPr>
                        <w:t>Summary of change: Review date extended to February 26</w:t>
                      </w:r>
                    </w:p>
                    <w:p w14:paraId="6F78DEAC" w14:textId="77777777" w:rsidR="00DE29CB" w:rsidRPr="00E7559E" w:rsidRDefault="00DE29CB" w:rsidP="00DE29CB">
                      <w:pPr>
                        <w:pStyle w:val="ListParagraph"/>
                        <w:ind w:left="360"/>
                        <w:rPr>
                          <w:rStyle w:val="eop"/>
                          <w:rFonts w:eastAsia="Arial" w:cs="Arial"/>
                          <w:color w:val="000000" w:themeColor="text1"/>
                          <w:sz w:val="22"/>
                        </w:rPr>
                      </w:pPr>
                    </w:p>
                    <w:p w14:paraId="382DC3C0" w14:textId="3B896B26" w:rsidR="00DF5BC9" w:rsidRPr="00CB33F5" w:rsidRDefault="00DF5BC9" w:rsidP="00E7559E">
                      <w:pPr>
                        <w:spacing w:after="0"/>
                        <w:ind w:left="360"/>
                        <w:rPr>
                          <w:rFonts w:eastAsia="Arial" w:cs="Arial"/>
                          <w:color w:val="000000" w:themeColor="text1"/>
                          <w:sz w:val="22"/>
                        </w:rPr>
                      </w:pPr>
                    </w:p>
                    <w:p w14:paraId="06712B2C" w14:textId="77777777" w:rsidR="00DF5BC9" w:rsidRPr="00CB33F5" w:rsidRDefault="00DF5BC9" w:rsidP="00DF5BC9">
                      <w:pPr>
                        <w:rPr>
                          <w:sz w:val="22"/>
                        </w:rPr>
                      </w:pPr>
                    </w:p>
                  </w:txbxContent>
                </v:textbox>
                <w10:wrap type="through" anchorx="margin"/>
              </v:shape>
            </w:pict>
          </mc:Fallback>
        </mc:AlternateContent>
      </w:r>
      <w:r w:rsidR="00EE5ADA" w:rsidRPr="005E6B42">
        <w:rPr>
          <w:rFonts w:cs="Arial"/>
          <w:noProof/>
          <w:sz w:val="32"/>
          <w:szCs w:val="32"/>
        </w:rPr>
        <w:drawing>
          <wp:anchor distT="0" distB="0" distL="114300" distR="114300" simplePos="0" relativeHeight="251659264" behindDoc="1" locked="0" layoutInCell="1" allowOverlap="1" wp14:anchorId="123F8D0C" wp14:editId="770C8364">
            <wp:simplePos x="0" y="0"/>
            <wp:positionH relativeFrom="margin">
              <wp:posOffset>4921250</wp:posOffset>
            </wp:positionH>
            <wp:positionV relativeFrom="paragraph">
              <wp:posOffset>447675</wp:posOffset>
            </wp:positionV>
            <wp:extent cx="1466850" cy="544195"/>
            <wp:effectExtent l="0" t="0" r="0" b="8255"/>
            <wp:wrapTight wrapText="bothSides">
              <wp:wrapPolygon edited="0">
                <wp:start x="0" y="0"/>
                <wp:lineTo x="0" y="21172"/>
                <wp:lineTo x="21319" y="21172"/>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206F9" w:rsidRPr="005E6B42">
        <w:rPr>
          <w:sz w:val="32"/>
          <w:szCs w:val="32"/>
        </w:rPr>
        <w:t>Version 1</w:t>
      </w:r>
      <w:r w:rsidR="000E4BF9" w:rsidRPr="005E6B42">
        <w:rPr>
          <w:sz w:val="32"/>
          <w:szCs w:val="32"/>
        </w:rPr>
        <w:t>.1</w:t>
      </w:r>
    </w:p>
    <w:p w14:paraId="0BE9F11D" w14:textId="6EB9DE61" w:rsidR="009A5BCE" w:rsidRDefault="009A5BCE" w:rsidP="00697C30">
      <w:pPr>
        <w:spacing w:after="0" w:line="240" w:lineRule="auto"/>
        <w:ind w:left="-567"/>
      </w:pPr>
      <w:r>
        <w:lastRenderedPageBreak/>
        <w:t>Approved by: Integrated medicines committee (IMOC)</w:t>
      </w:r>
    </w:p>
    <w:p w14:paraId="28D3A42D" w14:textId="75FE2C51" w:rsidR="009A5BCE" w:rsidRDefault="009A5BCE" w:rsidP="00697C30">
      <w:pPr>
        <w:spacing w:after="0" w:line="240" w:lineRule="auto"/>
        <w:ind w:left="-567"/>
        <w:rPr>
          <w:b/>
          <w:bCs/>
        </w:rPr>
      </w:pPr>
      <w:r>
        <w:t xml:space="preserve">Approval date: </w:t>
      </w:r>
      <w:r w:rsidR="00925A4F">
        <w:t>15</w:t>
      </w:r>
      <w:r w:rsidR="00925A4F" w:rsidRPr="30609D3A">
        <w:rPr>
          <w:vertAlign w:val="superscript"/>
        </w:rPr>
        <w:t>th</w:t>
      </w:r>
      <w:r w:rsidR="00925A4F">
        <w:t xml:space="preserve"> February 2023</w:t>
      </w:r>
    </w:p>
    <w:p w14:paraId="5F0B7414" w14:textId="7FEB09B2" w:rsidR="0290989A" w:rsidRDefault="0290989A" w:rsidP="00697C30">
      <w:pPr>
        <w:spacing w:after="0" w:line="240" w:lineRule="auto"/>
        <w:ind w:left="-567"/>
        <w:rPr>
          <w:rFonts w:eastAsia="Arial" w:cs="Arial"/>
          <w:color w:val="000000" w:themeColor="text1"/>
          <w:szCs w:val="24"/>
        </w:rPr>
      </w:pPr>
      <w:r w:rsidRPr="30609D3A">
        <w:rPr>
          <w:rFonts w:eastAsia="Arial" w:cs="Arial"/>
          <w:color w:val="000000" w:themeColor="text1"/>
          <w:szCs w:val="24"/>
        </w:rPr>
        <w:t>Review Date: January 2025, as per NHS England. Extended to February 26, agreed by Integrated Medicines Optimisation Committee January 25</w:t>
      </w:r>
    </w:p>
    <w:p w14:paraId="24BB3FAA" w14:textId="77777777" w:rsidR="00B82519" w:rsidRDefault="00B82519" w:rsidP="00B82519">
      <w:pPr>
        <w:spacing w:after="0"/>
        <w:rPr>
          <w:rFonts w:eastAsia="Arial" w:cs="Arial"/>
          <w:szCs w:val="24"/>
        </w:rPr>
      </w:pPr>
    </w:p>
    <w:p w14:paraId="69FD2FF5" w14:textId="4CC325F6" w:rsidR="00A933E3" w:rsidRPr="00F30AE3" w:rsidRDefault="00A933E3" w:rsidP="004206F9">
      <w:pPr>
        <w:ind w:left="-709"/>
        <w:sectPr w:rsidR="00A933E3" w:rsidRPr="00F30AE3" w:rsidSect="00224121">
          <w:headerReference w:type="default" r:id="rId14"/>
          <w:footerReference w:type="default" r:id="rId15"/>
          <w:headerReference w:type="first" r:id="rId16"/>
          <w:footerReference w:type="first" r:id="rId17"/>
          <w:pgSz w:w="11906" w:h="16838"/>
          <w:pgMar w:top="1701" w:right="1418" w:bottom="1134" w:left="1418" w:header="709" w:footer="257" w:gutter="0"/>
          <w:cols w:space="708"/>
          <w:titlePg/>
          <w:docGrid w:linePitch="360"/>
        </w:sectPr>
      </w:pPr>
      <w:r w:rsidRPr="00F30AE3">
        <w:rPr>
          <w:noProof/>
        </w:rPr>
        <mc:AlternateContent>
          <mc:Choice Requires="wps">
            <w:drawing>
              <wp:inline distT="45720" distB="45720" distL="114300" distR="114300" wp14:anchorId="75943DDC" wp14:editId="6A699712">
                <wp:extent cx="6597650" cy="1219200"/>
                <wp:effectExtent l="0" t="0" r="12700" b="1905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219200"/>
                        </a:xfrm>
                        <a:prstGeom prst="rect">
                          <a:avLst/>
                        </a:prstGeom>
                        <a:solidFill>
                          <a:srgbClr val="FFFFFF"/>
                        </a:solidFill>
                        <a:ln w="9525">
                          <a:solidFill>
                            <a:srgbClr val="000000"/>
                          </a:solidFill>
                          <a:miter lim="800000"/>
                          <a:headEnd/>
                          <a:tailEnd/>
                        </a:ln>
                      </wps:spPr>
                      <wps:txbx>
                        <w:txbxContent>
                          <w:p w14:paraId="7A65E57E" w14:textId="77777777" w:rsidR="00744254" w:rsidRPr="00C55EA7" w:rsidRDefault="00744254" w:rsidP="00744254">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ECBFC77" w14:textId="77777777" w:rsidR="00A933E3" w:rsidRDefault="00A933E3" w:rsidP="00A933E3"/>
                        </w:txbxContent>
                      </wps:txbx>
                      <wps:bodyPr rot="0" vert="horz" wrap="square" lIns="91440" tIns="45720" rIns="91440" bIns="45720" anchor="t" anchorCtr="0">
                        <a:noAutofit/>
                      </wps:bodyPr>
                    </wps:wsp>
                  </a:graphicData>
                </a:graphic>
              </wp:inline>
            </w:drawing>
          </mc:Choice>
          <mc:Fallback>
            <w:pict>
              <v:shape w14:anchorId="75943DDC" id="Text Box 2" o:spid="_x0000_s1027" type="#_x0000_t202" style="width:5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">
                <v:textbox>
                  <w:txbxContent>
                    <w:p w14:paraId="7A65E57E" w14:textId="77777777" w:rsidR="00744254" w:rsidRPr="00C55EA7" w:rsidRDefault="00744254" w:rsidP="00744254">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2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2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ECBFC77" w14:textId="77777777" w:rsidR="00A933E3" w:rsidRDefault="00A933E3" w:rsidP="00A933E3"/>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F30AE3" w14:paraId="146E6787" w14:textId="77777777" w:rsidTr="396AAE02">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F30AE3" w:rsidRDefault="00055685" w:rsidP="007C7494">
            <w:pPr>
              <w:pStyle w:val="Heading2"/>
              <w:spacing w:before="0"/>
              <w:rPr>
                <w:lang w:eastAsia="en-GB"/>
              </w:rPr>
            </w:pPr>
            <w:bookmarkStart w:id="0" w:name="_Specialist_responsibilities"/>
            <w:bookmarkStart w:id="1" w:name="Responsibilities"/>
            <w:bookmarkEnd w:id="0"/>
            <w:r w:rsidRPr="00F30AE3">
              <w:rPr>
                <w:lang w:eastAsia="en-GB"/>
              </w:rPr>
              <w:t>Specialist responsibilities</w:t>
            </w:r>
          </w:p>
          <w:bookmarkEnd w:id="1"/>
          <w:p w14:paraId="69491714"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Assess the patient and provide diagnosis; ensure that this diagnosis is within scope of this shared care protocol (</w:t>
            </w:r>
            <w:hyperlink r:id="rId26" w:tgtFrame="_blank" w:history="1">
              <w:r w:rsidRPr="00F30AE3">
                <w:rPr>
                  <w:rStyle w:val="normaltextrun"/>
                  <w:rFonts w:ascii="Arial" w:hAnsi="Arial" w:cs="Arial"/>
                  <w:color w:val="0000FF"/>
                  <w:u w:val="single"/>
                </w:rPr>
                <w:t>section 2</w:t>
              </w:r>
            </w:hyperlink>
            <w:r w:rsidRPr="00F30AE3">
              <w:rPr>
                <w:rStyle w:val="normaltextrun"/>
                <w:rFonts w:ascii="Arial" w:hAnsi="Arial" w:cs="Arial"/>
                <w:color w:val="0000FF"/>
                <w:u w:val="single"/>
              </w:rPr>
              <w:t>)</w:t>
            </w:r>
            <w:r w:rsidRPr="00F30AE3">
              <w:rPr>
                <w:rStyle w:val="normaltextrun"/>
                <w:rFonts w:ascii="Arial" w:hAnsi="Arial" w:cs="Arial"/>
                <w:color w:val="000000"/>
              </w:rPr>
              <w:t xml:space="preserve"> and communicated to primary care.</w:t>
            </w:r>
            <w:r w:rsidRPr="00F30AE3">
              <w:rPr>
                <w:rStyle w:val="eop"/>
                <w:rFonts w:ascii="Arial" w:hAnsi="Arial" w:cs="Arial"/>
                <w:color w:val="000000"/>
              </w:rPr>
              <w:t> </w:t>
            </w:r>
          </w:p>
          <w:p w14:paraId="340740FE"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Use a shared decision making approach; discuss the benefits and risks of the treatment with the patient and/or their carer and provide the appropriate counselling (see </w:t>
            </w:r>
            <w:hyperlink r:id="rId27" w:tgtFrame="_blank" w:history="1">
              <w:r w:rsidRPr="00F30AE3">
                <w:rPr>
                  <w:rStyle w:val="normaltextrun"/>
                  <w:rFonts w:ascii="Arial" w:hAnsi="Arial" w:cs="Arial"/>
                  <w:color w:val="0000FF"/>
                  <w:u w:val="single"/>
                </w:rPr>
                <w:t>section 11</w:t>
              </w:r>
            </w:hyperlink>
            <w:r w:rsidRPr="00F30AE3">
              <w:rPr>
                <w:rStyle w:val="normaltextrun"/>
                <w:rFonts w:ascii="Arial" w:hAnsi="Arial" w:cs="Arial"/>
                <w:color w:val="000000"/>
              </w:rPr>
              <w:t>), to enable the patient to reach an informed decision. Obtain and document patient consent. Provide an appropriate patient information leaflet.</w:t>
            </w:r>
            <w:r w:rsidRPr="00F30AE3">
              <w:rPr>
                <w:rStyle w:val="eop"/>
                <w:rFonts w:ascii="Arial" w:hAnsi="Arial" w:cs="Arial"/>
                <w:color w:val="000000"/>
              </w:rPr>
              <w:t> </w:t>
            </w:r>
          </w:p>
          <w:p w14:paraId="15552B3D"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Assess for contraindications and cautions (see </w:t>
            </w:r>
            <w:hyperlink r:id="rId28" w:tgtFrame="_blank" w:history="1">
              <w:r w:rsidRPr="00F30AE3">
                <w:rPr>
                  <w:rStyle w:val="normaltextrun"/>
                  <w:rFonts w:ascii="Arial" w:hAnsi="Arial" w:cs="Arial"/>
                  <w:color w:val="0000FF"/>
                  <w:u w:val="single"/>
                </w:rPr>
                <w:t>section 4</w:t>
              </w:r>
            </w:hyperlink>
            <w:r w:rsidRPr="00F30AE3">
              <w:rPr>
                <w:rStyle w:val="normaltextrun"/>
                <w:rFonts w:ascii="Arial" w:hAnsi="Arial" w:cs="Arial"/>
                <w:color w:val="000000"/>
              </w:rPr>
              <w:t>)</w:t>
            </w:r>
            <w:r w:rsidRPr="00F30AE3">
              <w:rPr>
                <w:rStyle w:val="normaltextrun"/>
                <w:rFonts w:ascii="Arial" w:hAnsi="Arial" w:cs="Arial"/>
              </w:rPr>
              <w:t xml:space="preserve"> </w:t>
            </w:r>
            <w:r w:rsidRPr="00F30AE3">
              <w:rPr>
                <w:rStyle w:val="normaltextrun"/>
                <w:rFonts w:ascii="Arial" w:hAnsi="Arial" w:cs="Arial"/>
                <w:color w:val="000000"/>
              </w:rPr>
              <w:t xml:space="preserve">and interactions (see </w:t>
            </w:r>
            <w:hyperlink r:id="rId29"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7F688A43"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Conduct required baseline investigations and initial monitoring (see </w:t>
            </w:r>
            <w:hyperlink r:id="rId30" w:tgtFrame="_blank" w:history="1">
              <w:r w:rsidRPr="00F30AE3">
                <w:rPr>
                  <w:rStyle w:val="normaltextrun"/>
                  <w:rFonts w:ascii="Arial" w:hAnsi="Arial" w:cs="Arial"/>
                  <w:color w:val="0000FF"/>
                  <w:u w:val="single"/>
                </w:rPr>
                <w:t>section 8</w:t>
              </w:r>
            </w:hyperlink>
            <w:r w:rsidRPr="00F30AE3">
              <w:rPr>
                <w:rStyle w:val="normaltextrun"/>
                <w:rFonts w:ascii="Arial" w:hAnsi="Arial" w:cs="Arial"/>
                <w:color w:val="000000"/>
              </w:rPr>
              <w:t>).</w:t>
            </w:r>
            <w:r w:rsidRPr="00F30AE3">
              <w:rPr>
                <w:rStyle w:val="eop"/>
                <w:rFonts w:ascii="Arial" w:hAnsi="Arial" w:cs="Arial"/>
                <w:color w:val="000000"/>
              </w:rPr>
              <w:t> </w:t>
            </w:r>
          </w:p>
          <w:p w14:paraId="688D3B00" w14:textId="22221CE5"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Initiate and optimise treatment as outlined in </w:t>
            </w:r>
            <w:hyperlink r:id="rId31" w:tgtFrame="_blank" w:history="1">
              <w:r w:rsidRPr="00F30AE3">
                <w:rPr>
                  <w:rStyle w:val="normaltextrun"/>
                  <w:rFonts w:ascii="Arial" w:hAnsi="Arial" w:cs="Arial"/>
                  <w:color w:val="0000FF"/>
                  <w:u w:val="single"/>
                </w:rPr>
                <w:t>section 5</w:t>
              </w:r>
            </w:hyperlink>
            <w:r w:rsidRPr="00F30AE3">
              <w:rPr>
                <w:rStyle w:val="normaltextrun"/>
                <w:rFonts w:ascii="Arial" w:hAnsi="Arial" w:cs="Arial"/>
                <w:color w:val="000000"/>
              </w:rPr>
              <w:t>. Transfer to primary care is after the patient has been treated for 3 months and with satisfactory investigation results for at least 4 weeks. Prescribe sufficient medication to enable transfer to primary care, including where there are unforeseen delays to transfer of care.</w:t>
            </w:r>
            <w:r w:rsidRPr="00F30AE3">
              <w:rPr>
                <w:rStyle w:val="eop"/>
                <w:rFonts w:ascii="Arial" w:hAnsi="Arial" w:cs="Arial"/>
                <w:color w:val="000000"/>
              </w:rPr>
              <w:t> </w:t>
            </w:r>
          </w:p>
          <w:p w14:paraId="0D1D6936"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Once treatment is optimised, complete the shared care documentation and send to patient’s GP practice detailing the diagnosis, current and ongoing dose and form, baseline and most recent test results, confirm the monitoring schedule, and when the next monitoring is required. Include contact information (</w:t>
            </w:r>
            <w:hyperlink r:id="rId32" w:tgtFrame="_blank" w:history="1">
              <w:r w:rsidRPr="00F30AE3">
                <w:rPr>
                  <w:rStyle w:val="normaltextrun"/>
                  <w:rFonts w:ascii="Arial" w:hAnsi="Arial" w:cs="Arial"/>
                  <w:color w:val="0000FF"/>
                  <w:u w:val="single"/>
                </w:rPr>
                <w:t>section 13</w:t>
              </w:r>
            </w:hyperlink>
            <w:r w:rsidRPr="00F30AE3">
              <w:rPr>
                <w:rStyle w:val="normaltextrun"/>
                <w:rFonts w:ascii="Arial" w:hAnsi="Arial" w:cs="Arial"/>
                <w:color w:val="000000"/>
              </w:rPr>
              <w:t>).</w:t>
            </w:r>
            <w:r w:rsidRPr="00F30AE3">
              <w:rPr>
                <w:rStyle w:val="eop"/>
                <w:rFonts w:ascii="Arial" w:hAnsi="Arial" w:cs="Arial"/>
                <w:color w:val="000000"/>
              </w:rPr>
              <w:t> </w:t>
            </w:r>
          </w:p>
          <w:p w14:paraId="3C59F9E9"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Conduct the required monitoring in </w:t>
            </w:r>
            <w:hyperlink r:id="rId33" w:tgtFrame="_blank" w:history="1">
              <w:r w:rsidRPr="00F30AE3">
                <w:rPr>
                  <w:rStyle w:val="normaltextrun"/>
                  <w:rFonts w:ascii="Arial" w:hAnsi="Arial" w:cs="Arial"/>
                  <w:color w:val="0000FF"/>
                  <w:u w:val="single"/>
                </w:rPr>
                <w:t>section 8</w:t>
              </w:r>
            </w:hyperlink>
            <w:r w:rsidRPr="00F30AE3">
              <w:rPr>
                <w:rStyle w:val="normaltextrun"/>
                <w:rFonts w:ascii="Arial" w:hAnsi="Arial" w:cs="Arial"/>
                <w:color w:val="000000"/>
              </w:rPr>
              <w:t xml:space="preserve"> and communicate the results to primary care. After each review, advise primary care whether treatment should be continued, confirm the ongoing dose, and whether the ongoing monitoring outlined in </w:t>
            </w:r>
            <w:hyperlink r:id="rId34" w:tgtFrame="_blank" w:history="1">
              <w:r w:rsidRPr="00F30AE3">
                <w:rPr>
                  <w:rStyle w:val="normaltextrun"/>
                  <w:rFonts w:ascii="Arial" w:hAnsi="Arial" w:cs="Arial"/>
                  <w:color w:val="0000FF"/>
                  <w:u w:val="single"/>
                </w:rPr>
                <w:t>section 9</w:t>
              </w:r>
            </w:hyperlink>
            <w:r w:rsidRPr="00F30AE3">
              <w:rPr>
                <w:rStyle w:val="normaltextrun"/>
                <w:rFonts w:ascii="Arial" w:hAnsi="Arial" w:cs="Arial"/>
                <w:color w:val="000000"/>
              </w:rPr>
              <w:t xml:space="preserve"> remains appropriate.</w:t>
            </w:r>
            <w:r w:rsidRPr="00F30AE3">
              <w:rPr>
                <w:rStyle w:val="eop"/>
                <w:rFonts w:ascii="Arial" w:hAnsi="Arial" w:cs="Arial"/>
                <w:color w:val="000000"/>
              </w:rPr>
              <w:t> </w:t>
            </w:r>
          </w:p>
          <w:p w14:paraId="62D52972"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Review treatment and reassume prescribing responsibility if a patient becomes or wishes to become pregnant.</w:t>
            </w:r>
            <w:r w:rsidRPr="00F30AE3">
              <w:rPr>
                <w:rStyle w:val="eop"/>
                <w:rFonts w:ascii="Arial" w:hAnsi="Arial" w:cs="Arial"/>
                <w:color w:val="000000"/>
              </w:rPr>
              <w:t> </w:t>
            </w:r>
          </w:p>
          <w:p w14:paraId="26A3F765"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Provide advice to primary care on the management of adverse effects if required.</w:t>
            </w:r>
            <w:r w:rsidRPr="00F30AE3">
              <w:rPr>
                <w:rStyle w:val="eop"/>
                <w:rFonts w:ascii="Arial" w:hAnsi="Arial" w:cs="Arial"/>
                <w:color w:val="000000"/>
              </w:rPr>
              <w:t> </w:t>
            </w:r>
          </w:p>
          <w:p w14:paraId="777ACBA6" w14:textId="77777777" w:rsidR="00055685" w:rsidRPr="00F30AE3" w:rsidRDefault="00055685" w:rsidP="007C7494">
            <w:pPr>
              <w:pStyle w:val="Heading2"/>
              <w:rPr>
                <w:lang w:eastAsia="en-GB"/>
              </w:rPr>
            </w:pPr>
            <w:r w:rsidRPr="00F30AE3">
              <w:rPr>
                <w:lang w:eastAsia="en-GB"/>
              </w:rPr>
              <w:lastRenderedPageBreak/>
              <w:t>Primary care responsibilities</w:t>
            </w:r>
          </w:p>
          <w:p w14:paraId="11757556"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Respond to the request from the specialist for shared care in writing. It is asked that this be undertaken within 14 days of the request being made, where possible.</w:t>
            </w:r>
            <w:r w:rsidRPr="00F30AE3">
              <w:rPr>
                <w:rStyle w:val="eop"/>
                <w:rFonts w:ascii="Arial" w:hAnsi="Arial" w:cs="Arial"/>
                <w:color w:val="000000"/>
              </w:rPr>
              <w:t> </w:t>
            </w:r>
          </w:p>
          <w:p w14:paraId="62231265"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If accepted, prescribe ongoing treatment as detailed in the specialists request and as per </w:t>
            </w:r>
            <w:hyperlink r:id="rId35" w:tgtFrame="_blank" w:history="1">
              <w:r w:rsidRPr="00F30AE3">
                <w:rPr>
                  <w:rStyle w:val="normaltextrun"/>
                  <w:rFonts w:ascii="Arial" w:hAnsi="Arial" w:cs="Arial"/>
                  <w:color w:val="0000FF"/>
                  <w:u w:val="single"/>
                </w:rPr>
                <w:t>section 5</w:t>
              </w:r>
            </w:hyperlink>
            <w:r w:rsidRPr="00F30AE3">
              <w:rPr>
                <w:rStyle w:val="normaltextrun"/>
                <w:rFonts w:ascii="Arial" w:hAnsi="Arial" w:cs="Arial"/>
                <w:color w:val="000000"/>
              </w:rPr>
              <w:t xml:space="preserve"> taking into any account potential drug interactions in </w:t>
            </w:r>
            <w:hyperlink r:id="rId36"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7685A8B2"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Adjust the dose of mycophenolate mofetil prescribed as advised by the specialist.</w:t>
            </w:r>
            <w:r w:rsidRPr="00F30AE3">
              <w:rPr>
                <w:rStyle w:val="eop"/>
                <w:rFonts w:ascii="Arial" w:hAnsi="Arial" w:cs="Arial"/>
                <w:color w:val="000000"/>
              </w:rPr>
              <w:t> </w:t>
            </w:r>
          </w:p>
          <w:p w14:paraId="00A5A61C"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Conduct the required monitoring as outlined in </w:t>
            </w:r>
            <w:hyperlink r:id="rId37" w:tgtFrame="_blank" w:history="1">
              <w:r w:rsidRPr="00F30AE3">
                <w:rPr>
                  <w:rStyle w:val="normaltextrun"/>
                  <w:rFonts w:ascii="Arial" w:hAnsi="Arial" w:cs="Arial"/>
                  <w:color w:val="0000FF"/>
                  <w:u w:val="single"/>
                </w:rPr>
                <w:t>section 9</w:t>
              </w:r>
            </w:hyperlink>
            <w:r w:rsidRPr="00F30AE3">
              <w:rPr>
                <w:rStyle w:val="normaltextrun"/>
                <w:rFonts w:ascii="Arial" w:hAnsi="Arial" w:cs="Arial"/>
                <w:color w:val="000000"/>
              </w:rPr>
              <w:t>.</w:t>
            </w:r>
            <w:r w:rsidRPr="00F30AE3">
              <w:rPr>
                <w:rStyle w:val="eop"/>
                <w:rFonts w:ascii="Arial" w:hAnsi="Arial" w:cs="Arial"/>
                <w:color w:val="000000"/>
              </w:rPr>
              <w:t> </w:t>
            </w:r>
          </w:p>
          <w:p w14:paraId="6DE233F2"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Assess for possible interactions with mycophenolate mofetil when starting new medicines (see </w:t>
            </w:r>
            <w:hyperlink r:id="rId38"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19EFB877"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Manage any adverse effects as detailed in </w:t>
            </w:r>
            <w:hyperlink r:id="rId39" w:tgtFrame="_blank" w:history="1">
              <w:r w:rsidRPr="00F30AE3">
                <w:rPr>
                  <w:rStyle w:val="normaltextrun"/>
                  <w:rFonts w:ascii="Arial" w:hAnsi="Arial" w:cs="Arial"/>
                  <w:color w:val="0000FF"/>
                  <w:u w:val="single"/>
                </w:rPr>
                <w:t>section 10</w:t>
              </w:r>
            </w:hyperlink>
            <w:r w:rsidRPr="00F30AE3">
              <w:rPr>
                <w:rStyle w:val="normaltextrun"/>
                <w:rFonts w:ascii="Arial" w:hAnsi="Arial" w:cs="Arial"/>
                <w:color w:val="000000"/>
              </w:rPr>
              <w:t xml:space="preserve"> and discuss with specialist team when required.</w:t>
            </w:r>
            <w:r w:rsidRPr="00F30AE3">
              <w:rPr>
                <w:rStyle w:val="eop"/>
                <w:rFonts w:ascii="Arial" w:hAnsi="Arial" w:cs="Arial"/>
                <w:color w:val="000000"/>
              </w:rPr>
              <w:t> </w:t>
            </w:r>
          </w:p>
          <w:p w14:paraId="1C845B50"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Stop mycophenolate mofetil and discuss urgently with the specialist if gastrointestinal bleeding or perforation is suspected.</w:t>
            </w:r>
            <w:r w:rsidRPr="00F30AE3">
              <w:rPr>
                <w:rStyle w:val="eop"/>
                <w:rFonts w:ascii="Arial" w:hAnsi="Arial" w:cs="Arial"/>
                <w:color w:val="000000"/>
              </w:rPr>
              <w:t> </w:t>
            </w:r>
          </w:p>
          <w:p w14:paraId="1CAFDABD"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Discuss other adverse effects with the specialist team as clinically appropriate (see </w:t>
            </w:r>
            <w:hyperlink r:id="rId40" w:tgtFrame="_blank" w:history="1">
              <w:r w:rsidRPr="00F30AE3">
                <w:rPr>
                  <w:rStyle w:val="normaltextrun"/>
                  <w:rFonts w:ascii="Arial" w:hAnsi="Arial" w:cs="Arial"/>
                  <w:color w:val="0000FF"/>
                  <w:u w:val="single"/>
                </w:rPr>
                <w:t>section 10</w:t>
              </w:r>
            </w:hyperlink>
            <w:r w:rsidRPr="00F30AE3">
              <w:rPr>
                <w:rStyle w:val="normaltextrun"/>
                <w:rFonts w:ascii="Arial" w:hAnsi="Arial" w:cs="Arial"/>
                <w:color w:val="000000"/>
              </w:rPr>
              <w:t>). </w:t>
            </w:r>
            <w:r w:rsidRPr="00F30AE3">
              <w:rPr>
                <w:rStyle w:val="eop"/>
                <w:rFonts w:ascii="Arial" w:hAnsi="Arial" w:cs="Arial"/>
                <w:color w:val="000000"/>
              </w:rPr>
              <w:t> </w:t>
            </w:r>
          </w:p>
          <w:p w14:paraId="216753DD"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Refer the management back to the specialist if the patient becomes or plans to become pregnant.</w:t>
            </w:r>
            <w:r w:rsidRPr="00F30AE3">
              <w:rPr>
                <w:rStyle w:val="eop"/>
                <w:rFonts w:ascii="Arial" w:hAnsi="Arial" w:cs="Arial"/>
                <w:color w:val="000000"/>
              </w:rPr>
              <w:t> </w:t>
            </w:r>
          </w:p>
          <w:p w14:paraId="1408F88A"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Stop treatment as advised by the specialist.</w:t>
            </w:r>
            <w:r w:rsidRPr="00F30AE3">
              <w:rPr>
                <w:rStyle w:val="eop"/>
                <w:rFonts w:ascii="Arial" w:hAnsi="Arial" w:cs="Arial"/>
                <w:color w:val="000000"/>
              </w:rPr>
              <w:t> </w:t>
            </w:r>
          </w:p>
          <w:p w14:paraId="0D4A677D" w14:textId="0FE9BA9D" w:rsidR="00055685" w:rsidRPr="00F30AE3" w:rsidRDefault="00055685" w:rsidP="00FA713C">
            <w:pPr>
              <w:pStyle w:val="Heading2"/>
              <w:rPr>
                <w:lang w:eastAsia="en-GB"/>
              </w:rPr>
            </w:pPr>
            <w:r w:rsidRPr="00F30AE3">
              <w:rPr>
                <w:lang w:eastAsia="en-GB"/>
              </w:rPr>
              <w:t>Patient and/or carer responsibilities</w:t>
            </w:r>
          </w:p>
          <w:p w14:paraId="274078F4"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Take mycophenolate mofetil as prescribed and do not stop taking it without speaking to their primary care prescriber or specialist. Tell anyone who prescribes them a medicine that they are taking mycophenolate. </w:t>
            </w:r>
            <w:r w:rsidRPr="00F30AE3">
              <w:rPr>
                <w:rStyle w:val="eop"/>
                <w:rFonts w:ascii="Arial" w:hAnsi="Arial" w:cs="Arial"/>
                <w:color w:val="000000"/>
              </w:rPr>
              <w:t> </w:t>
            </w:r>
          </w:p>
          <w:p w14:paraId="6F6CE4CE"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Attend regularly for monitoring and review appointments with primary care and specialist. Be aware that medicines may be stopped if they do not attend appointments. </w:t>
            </w:r>
            <w:r w:rsidRPr="00F30AE3">
              <w:rPr>
                <w:rStyle w:val="eop"/>
                <w:rFonts w:ascii="Arial" w:hAnsi="Arial" w:cs="Arial"/>
                <w:color w:val="000000"/>
              </w:rPr>
              <w:t> </w:t>
            </w:r>
          </w:p>
          <w:p w14:paraId="3F92AD92"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 xml:space="preserve">Report adverse effects to their primary care prescriber. Seek immediate medical attention if they develop any symptoms as detailed in </w:t>
            </w:r>
            <w:hyperlink r:id="rId41" w:tgtFrame="_blank" w:history="1">
              <w:r w:rsidRPr="00F30AE3">
                <w:rPr>
                  <w:rStyle w:val="normaltextrun"/>
                  <w:rFonts w:ascii="Arial" w:hAnsi="Arial" w:cs="Arial"/>
                  <w:color w:val="0000FF"/>
                  <w:u w:val="single"/>
                </w:rPr>
                <w:t>section 11</w:t>
              </w:r>
            </w:hyperlink>
            <w:r w:rsidRPr="00F30AE3">
              <w:rPr>
                <w:rStyle w:val="normaltextrun"/>
                <w:rFonts w:ascii="Arial" w:hAnsi="Arial" w:cs="Arial"/>
                <w:color w:val="000000"/>
              </w:rPr>
              <w:t>.</w:t>
            </w:r>
            <w:r w:rsidRPr="00F30AE3">
              <w:rPr>
                <w:rStyle w:val="eop"/>
                <w:rFonts w:ascii="Arial" w:hAnsi="Arial" w:cs="Arial"/>
                <w:color w:val="000000"/>
              </w:rPr>
              <w:t> </w:t>
            </w:r>
          </w:p>
          <w:p w14:paraId="791981E4"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Report the use of any over the counter medications to their prescriber and be aware they should discuss the use of mycophenolate mofetil with their pharmacist before purchasing any OTC medicines.</w:t>
            </w:r>
            <w:r w:rsidRPr="00F30AE3">
              <w:rPr>
                <w:rStyle w:val="eop"/>
                <w:rFonts w:ascii="Arial" w:hAnsi="Arial" w:cs="Arial"/>
                <w:color w:val="000000"/>
              </w:rPr>
              <w:t> </w:t>
            </w:r>
          </w:p>
          <w:p w14:paraId="61DDC8D4" w14:textId="7D99F731" w:rsidR="00055685"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rPr>
              <w:t xml:space="preserve">Use an appropriate form of contraception, as agreed with their doctor/nurse/sexual health service, and </w:t>
            </w:r>
            <w:r w:rsidRPr="00F30AE3">
              <w:rPr>
                <w:rStyle w:val="normaltextrun"/>
                <w:rFonts w:ascii="Arial" w:hAnsi="Arial" w:cs="Arial"/>
                <w:color w:val="000000"/>
              </w:rPr>
              <w:t>to inform their prescriber as soon as possible if they or their partner become pregnant or wish to become pregnant.</w:t>
            </w:r>
            <w:r w:rsidRPr="00F30AE3">
              <w:rPr>
                <w:rStyle w:val="eop"/>
                <w:rFonts w:ascii="Arial" w:hAnsi="Arial" w:cs="Arial"/>
                <w:color w:val="000000"/>
              </w:rPr>
              <w:t> </w:t>
            </w:r>
          </w:p>
        </w:tc>
      </w:tr>
      <w:tr w:rsidR="00055685" w:rsidRPr="00F30AE3" w14:paraId="2BBEC1D0" w14:textId="77777777" w:rsidTr="396AAE02">
        <w:trPr>
          <w:jc w:val="center"/>
        </w:trPr>
        <w:tc>
          <w:tcPr>
            <w:tcW w:w="10455" w:type="dxa"/>
            <w:gridSpan w:val="3"/>
            <w:tcBorders>
              <w:bottom w:val="nil"/>
            </w:tcBorders>
            <w:shd w:val="clear" w:color="auto" w:fill="F2F2F2" w:themeFill="background1" w:themeFillShade="F2"/>
          </w:tcPr>
          <w:p w14:paraId="14521365" w14:textId="6DDD4E82" w:rsidR="00055685" w:rsidRPr="00F30AE3" w:rsidRDefault="00055685" w:rsidP="00FA713C">
            <w:pPr>
              <w:pStyle w:val="Heading1"/>
              <w:tabs>
                <w:tab w:val="right" w:pos="10238"/>
              </w:tabs>
              <w:rPr>
                <w:rFonts w:cs="Arial"/>
              </w:rPr>
            </w:pPr>
            <w:bookmarkStart w:id="2" w:name="One_background"/>
            <w:r w:rsidRPr="00F30AE3">
              <w:rPr>
                <w:lang w:eastAsia="en-GB"/>
              </w:rPr>
              <w:lastRenderedPageBreak/>
              <w:t>Background</w:t>
            </w:r>
            <w:bookmarkEnd w:id="2"/>
            <w:r w:rsidRPr="00F30AE3">
              <w:rPr>
                <w:lang w:eastAsia="en-GB"/>
              </w:rPr>
              <w:t xml:space="preserve"> </w:t>
            </w:r>
            <w:r w:rsidRPr="00F30AE3">
              <w:rPr>
                <w:lang w:eastAsia="en-GB"/>
              </w:rPr>
              <w:tab/>
            </w:r>
            <w:hyperlink w:anchor="Responsibilities" w:history="1">
              <w:r w:rsidR="00FA713C" w:rsidRPr="00F30AE3">
                <w:rPr>
                  <w:rStyle w:val="Hyperlink"/>
                  <w:rFonts w:eastAsia="Times New Roman" w:cs="Arial"/>
                  <w:b w:val="0"/>
                  <w:bCs w:val="0"/>
                  <w:sz w:val="24"/>
                  <w:szCs w:val="24"/>
                  <w:lang w:eastAsia="en-GB"/>
                </w:rPr>
                <w:t>Back to top</w:t>
              </w:r>
            </w:hyperlink>
          </w:p>
        </w:tc>
      </w:tr>
      <w:tr w:rsidR="00055685" w:rsidRPr="00F30AE3" w14:paraId="295ECE79" w14:textId="77777777" w:rsidTr="396AAE02">
        <w:trPr>
          <w:jc w:val="center"/>
        </w:trPr>
        <w:tc>
          <w:tcPr>
            <w:tcW w:w="10455" w:type="dxa"/>
            <w:gridSpan w:val="3"/>
            <w:tcBorders>
              <w:top w:val="nil"/>
              <w:bottom w:val="single" w:sz="4" w:space="0" w:color="auto"/>
            </w:tcBorders>
            <w:shd w:val="clear" w:color="auto" w:fill="auto"/>
          </w:tcPr>
          <w:p w14:paraId="7C8C6416" w14:textId="77777777" w:rsidR="001C7A02" w:rsidRPr="00F30AE3" w:rsidRDefault="001C7A02" w:rsidP="00C77005">
            <w:pPr>
              <w:rPr>
                <w:sz w:val="28"/>
                <w:szCs w:val="28"/>
                <w:lang w:eastAsia="en-GB"/>
              </w:rPr>
            </w:pPr>
            <w:r w:rsidRPr="00F30AE3">
              <w:rPr>
                <w:lang w:eastAsia="en-GB"/>
              </w:rPr>
              <w:t>Mycophenolate mofetil is a pro-drug of the active metabolite mycophenolic acid.  Mycophenolic acid is a suppressor of T and B cell proliferation and adhesion and inhibits inosine monophosphate dehydrogenase and eventually blocks the progression to DNA synthesis and proliferation. </w:t>
            </w:r>
          </w:p>
          <w:p w14:paraId="024610B8" w14:textId="77777777" w:rsidR="00CC6A32" w:rsidRPr="00F30AE3" w:rsidRDefault="001C7A02" w:rsidP="00C77005">
            <w:pPr>
              <w:rPr>
                <w:sz w:val="28"/>
                <w:szCs w:val="28"/>
                <w:lang w:eastAsia="en-GB"/>
              </w:rPr>
            </w:pPr>
            <w:r w:rsidRPr="00F30AE3">
              <w:rPr>
                <w:lang w:eastAsia="en-GB"/>
              </w:rPr>
              <w:t>Mycophenolate is only licensed for the prevention of acute kidney, heart or liver transplant rejection (in combination with prednisolone or ciclosporin). It is not licensed for all the conditions it is used to treat. However, its use as a disease modifying anti-rheumatic drug (DMARD) and for the indications below are well established and supported by clinical specialists. </w:t>
            </w:r>
          </w:p>
          <w:p w14:paraId="548264B8" w14:textId="1E3F6D05" w:rsidR="001150CD" w:rsidRPr="00F30AE3" w:rsidRDefault="001150CD" w:rsidP="001C7A02">
            <w:pPr>
              <w:spacing w:before="100" w:beforeAutospacing="1" w:after="100" w:afterAutospacing="1"/>
              <w:textAlignment w:val="baseline"/>
              <w:rPr>
                <w:rFonts w:eastAsia="Times New Roman" w:cs="Arial"/>
                <w:sz w:val="28"/>
                <w:szCs w:val="28"/>
                <w:lang w:eastAsia="en-GB"/>
              </w:rPr>
            </w:pPr>
          </w:p>
        </w:tc>
      </w:tr>
      <w:tr w:rsidR="00055685" w:rsidRPr="00F30AE3" w14:paraId="061A519D" w14:textId="77777777" w:rsidTr="396AAE02">
        <w:trPr>
          <w:jc w:val="center"/>
        </w:trPr>
        <w:tc>
          <w:tcPr>
            <w:tcW w:w="10455" w:type="dxa"/>
            <w:gridSpan w:val="3"/>
            <w:tcBorders>
              <w:bottom w:val="nil"/>
            </w:tcBorders>
            <w:shd w:val="clear" w:color="auto" w:fill="F2F2F2" w:themeFill="background1" w:themeFillShade="F2"/>
          </w:tcPr>
          <w:p w14:paraId="31A445E6" w14:textId="7822028A" w:rsidR="00055685" w:rsidRPr="00F30AE3" w:rsidRDefault="00055685" w:rsidP="00595041">
            <w:pPr>
              <w:pStyle w:val="Heading1"/>
              <w:tabs>
                <w:tab w:val="right" w:pos="10240"/>
              </w:tabs>
              <w:rPr>
                <w:lang w:eastAsia="en-GB"/>
              </w:rPr>
            </w:pPr>
            <w:bookmarkStart w:id="3" w:name="Two_indications"/>
            <w:r w:rsidRPr="00F30AE3">
              <w:rPr>
                <w:lang w:eastAsia="en-GB"/>
              </w:rPr>
              <w:t>Indications</w:t>
            </w:r>
            <w:bookmarkEnd w:id="3"/>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055685" w:rsidRPr="00F30AE3" w14:paraId="29A3FC11" w14:textId="77777777" w:rsidTr="396AAE02">
        <w:trPr>
          <w:jc w:val="center"/>
        </w:trPr>
        <w:tc>
          <w:tcPr>
            <w:tcW w:w="10455" w:type="dxa"/>
            <w:gridSpan w:val="3"/>
            <w:tcBorders>
              <w:top w:val="nil"/>
              <w:bottom w:val="single" w:sz="4" w:space="0" w:color="auto"/>
            </w:tcBorders>
            <w:shd w:val="clear" w:color="auto" w:fill="auto"/>
          </w:tcPr>
          <w:p w14:paraId="3928763B" w14:textId="77777777" w:rsidR="001C7A02" w:rsidRPr="00F30AE3" w:rsidRDefault="001C7A02" w:rsidP="001C7A02">
            <w:pPr>
              <w:pStyle w:val="paragraph"/>
              <w:spacing w:line="360" w:lineRule="atLeast"/>
              <w:textAlignment w:val="baseline"/>
              <w:rPr>
                <w:rFonts w:ascii="Arial" w:hAnsi="Arial" w:cs="Arial"/>
                <w:sz w:val="28"/>
                <w:szCs w:val="28"/>
              </w:rPr>
            </w:pPr>
            <w:r w:rsidRPr="00F30AE3">
              <w:rPr>
                <w:rStyle w:val="normaltextrun"/>
                <w:rFonts w:ascii="Arial" w:hAnsi="Arial" w:cs="Arial"/>
                <w:color w:val="000000"/>
              </w:rPr>
              <w:t>Off-label use for the treatment of chronic inflammatory conditions where use of mycophenolate mofetil is appropriate, including but not limited to the following specialities and conditions:</w:t>
            </w:r>
            <w:r w:rsidRPr="00F30AE3">
              <w:rPr>
                <w:rStyle w:val="eop"/>
                <w:rFonts w:ascii="Arial" w:hAnsi="Arial" w:cs="Arial"/>
                <w:color w:val="000000"/>
              </w:rPr>
              <w:t> </w:t>
            </w:r>
          </w:p>
          <w:p w14:paraId="604C8A7A"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Dermatology (e.g. myositis, severe psoriasis, severe atopic dermatitis/eczema, autoimmune bullous dermatoses, SLE)</w:t>
            </w:r>
            <w:r w:rsidRPr="00F30AE3">
              <w:rPr>
                <w:rStyle w:val="eop"/>
                <w:rFonts w:cs="Arial"/>
                <w:color w:val="000000"/>
              </w:rPr>
              <w:t> </w:t>
            </w:r>
          </w:p>
          <w:p w14:paraId="73694A60"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Gastroenterology (e.g. Crohn’s disease, ulcerative colitis)</w:t>
            </w:r>
            <w:r w:rsidRPr="00F30AE3">
              <w:rPr>
                <w:rStyle w:val="eop"/>
                <w:rFonts w:cs="Arial"/>
                <w:color w:val="000000"/>
              </w:rPr>
              <w:t> </w:t>
            </w:r>
          </w:p>
          <w:p w14:paraId="29573FD6"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Haematology (e.g. idiopathic thrombocytopenic purpura)</w:t>
            </w:r>
            <w:r w:rsidRPr="00F30AE3">
              <w:rPr>
                <w:rStyle w:val="eop"/>
                <w:rFonts w:cs="Arial"/>
                <w:color w:val="000000"/>
              </w:rPr>
              <w:t> </w:t>
            </w:r>
          </w:p>
          <w:p w14:paraId="1338AB11"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Hepatology (e.g. auto-immune hepatitis)</w:t>
            </w:r>
            <w:r w:rsidRPr="00F30AE3">
              <w:rPr>
                <w:rStyle w:val="eop"/>
                <w:rFonts w:cs="Arial"/>
                <w:color w:val="000000"/>
              </w:rPr>
              <w:t> </w:t>
            </w:r>
          </w:p>
          <w:p w14:paraId="0007791B"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Neurology (e.g. inflammatory neuropathies, myasthenia gravis)</w:t>
            </w:r>
            <w:r w:rsidRPr="00F30AE3">
              <w:rPr>
                <w:rStyle w:val="eop"/>
                <w:rFonts w:cs="Arial"/>
                <w:color w:val="000000"/>
              </w:rPr>
              <w:t> </w:t>
            </w:r>
          </w:p>
          <w:p w14:paraId="39BDB0B0"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Ophthalmology (e.g. uveitis, scleritis)</w:t>
            </w:r>
            <w:r w:rsidRPr="00F30AE3">
              <w:rPr>
                <w:rStyle w:val="eop"/>
                <w:rFonts w:cs="Arial"/>
                <w:color w:val="000000"/>
              </w:rPr>
              <w:t> </w:t>
            </w:r>
          </w:p>
          <w:p w14:paraId="3D302C67"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Oral medicine (e.g. Behçet’s disease, refractory inflammatory oral disease)</w:t>
            </w:r>
            <w:r w:rsidRPr="00F30AE3">
              <w:rPr>
                <w:rStyle w:val="eop"/>
                <w:rFonts w:cs="Arial"/>
                <w:color w:val="000000"/>
              </w:rPr>
              <w:t> </w:t>
            </w:r>
          </w:p>
          <w:p w14:paraId="7C243212"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Renal medicine (e.g. immune-mediated nephritis)</w:t>
            </w:r>
            <w:r w:rsidRPr="00F30AE3">
              <w:rPr>
                <w:rStyle w:val="eop"/>
                <w:rFonts w:cs="Arial"/>
                <w:color w:val="000000"/>
              </w:rPr>
              <w:t> </w:t>
            </w:r>
          </w:p>
          <w:p w14:paraId="13A1E7C2"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Respiratory disease (e.g. interstitial lung disease)</w:t>
            </w:r>
            <w:r w:rsidRPr="00F30AE3">
              <w:rPr>
                <w:rStyle w:val="eop"/>
                <w:rFonts w:cs="Arial"/>
                <w:color w:val="000000"/>
              </w:rPr>
              <w:t> </w:t>
            </w:r>
          </w:p>
          <w:p w14:paraId="7A19B1B8" w14:textId="773F3854"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Rheumatology (e.g. rheumatoid arthritis, systemic lupus erythematosus [SLE], vasculitis)</w:t>
            </w:r>
            <w:r w:rsidRPr="00F30AE3">
              <w:rPr>
                <w:rStyle w:val="eop"/>
                <w:rFonts w:cs="Arial"/>
                <w:color w:val="000000"/>
              </w:rPr>
              <w:t> </w:t>
            </w:r>
          </w:p>
          <w:p w14:paraId="62FE4389" w14:textId="320AD420" w:rsidR="001C7A02" w:rsidRPr="00F30AE3" w:rsidRDefault="001C7A02" w:rsidP="001C7A02">
            <w:pPr>
              <w:pStyle w:val="paragraph"/>
              <w:spacing w:line="360" w:lineRule="atLeast"/>
              <w:textAlignment w:val="baseline"/>
              <w:rPr>
                <w:rFonts w:ascii="Arial" w:hAnsi="Arial" w:cs="Arial"/>
                <w:sz w:val="28"/>
                <w:szCs w:val="28"/>
              </w:rPr>
            </w:pPr>
            <w:r w:rsidRPr="00F30AE3">
              <w:rPr>
                <w:rStyle w:val="normaltextrun"/>
                <w:rFonts w:ascii="Arial" w:hAnsi="Arial" w:cs="Arial"/>
                <w:color w:val="000000"/>
              </w:rPr>
              <w:t xml:space="preserve">These indications are off-label. The initiating specialist </w:t>
            </w:r>
            <w:r w:rsidRPr="00F30AE3">
              <w:rPr>
                <w:rStyle w:val="normaltextrun"/>
                <w:rFonts w:ascii="Arial" w:hAnsi="Arial" w:cs="Arial"/>
                <w:color w:val="000000"/>
                <w:u w:val="single"/>
              </w:rPr>
              <w:t>must specify the indication for each patient</w:t>
            </w:r>
            <w:r w:rsidRPr="00F30AE3">
              <w:rPr>
                <w:rStyle w:val="normaltextrun"/>
                <w:rFonts w:ascii="Arial" w:hAnsi="Arial" w:cs="Arial"/>
                <w:color w:val="000000"/>
              </w:rPr>
              <w:t xml:space="preserve"> when initiating shared care and clearly state when use is off-label.</w:t>
            </w:r>
            <w:r w:rsidRPr="00F30AE3">
              <w:rPr>
                <w:rStyle w:val="eop"/>
                <w:rFonts w:ascii="Arial" w:hAnsi="Arial" w:cs="Arial"/>
                <w:color w:val="000000"/>
              </w:rPr>
              <w:t> </w:t>
            </w:r>
          </w:p>
          <w:p w14:paraId="45C820ED" w14:textId="4BA786DA" w:rsidR="001150CD" w:rsidRPr="00F30AE3" w:rsidRDefault="001C7A02" w:rsidP="001C7A02">
            <w:pPr>
              <w:pStyle w:val="paragraph"/>
              <w:spacing w:line="360" w:lineRule="atLeast"/>
              <w:textAlignment w:val="baseline"/>
              <w:rPr>
                <w:rFonts w:ascii="Arial" w:hAnsi="Arial" w:cs="Arial"/>
              </w:rPr>
            </w:pPr>
            <w:r w:rsidRPr="00F30AE3">
              <w:rPr>
                <w:rStyle w:val="normaltextrun"/>
                <w:rFonts w:ascii="Arial" w:hAnsi="Arial" w:cs="Arial"/>
              </w:rPr>
              <w:t>This shared care protocol applies to adults aged 18 and over. It does not include use of mycophenolate mofetil for transplant indications.</w:t>
            </w:r>
            <w:r w:rsidRPr="00F30AE3">
              <w:rPr>
                <w:rStyle w:val="eop"/>
                <w:rFonts w:ascii="Arial" w:hAnsi="Arial" w:cs="Arial"/>
              </w:rPr>
              <w:t> </w:t>
            </w:r>
          </w:p>
        </w:tc>
      </w:tr>
      <w:tr w:rsidR="00055685" w:rsidRPr="00F30AE3" w14:paraId="0408E228" w14:textId="77777777" w:rsidTr="396AAE02">
        <w:trPr>
          <w:jc w:val="center"/>
        </w:trPr>
        <w:tc>
          <w:tcPr>
            <w:tcW w:w="10455" w:type="dxa"/>
            <w:gridSpan w:val="3"/>
            <w:tcBorders>
              <w:bottom w:val="nil"/>
            </w:tcBorders>
            <w:shd w:val="clear" w:color="auto" w:fill="F2F2F2" w:themeFill="background1" w:themeFillShade="F2"/>
          </w:tcPr>
          <w:p w14:paraId="7FEEB7AA" w14:textId="208204A8" w:rsidR="00055685" w:rsidRPr="00F30AE3" w:rsidRDefault="00055685" w:rsidP="00846A4A">
            <w:pPr>
              <w:pStyle w:val="Heading1"/>
              <w:tabs>
                <w:tab w:val="right" w:pos="10238"/>
              </w:tabs>
              <w:rPr>
                <w:color w:val="000000"/>
                <w:sz w:val="16"/>
                <w:szCs w:val="16"/>
                <w:lang w:val="en" w:eastAsia="en-GB"/>
              </w:rPr>
            </w:pPr>
            <w:bookmarkStart w:id="4" w:name="_Locally_agreed_off-label"/>
            <w:bookmarkStart w:id="5" w:name="Three_local_indications"/>
            <w:bookmarkEnd w:id="4"/>
            <w:r w:rsidRPr="00F30AE3">
              <w:rPr>
                <w:lang w:eastAsia="en-GB"/>
              </w:rPr>
              <w:lastRenderedPageBreak/>
              <w:t>Locally agreed off-label use</w:t>
            </w:r>
            <w:bookmarkEnd w:id="5"/>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514D5F" w:rsidRPr="00F30AE3" w14:paraId="6AD485E9" w14:textId="77777777" w:rsidTr="396AAE02">
        <w:trPr>
          <w:jc w:val="center"/>
        </w:trPr>
        <w:tc>
          <w:tcPr>
            <w:tcW w:w="10455" w:type="dxa"/>
            <w:gridSpan w:val="3"/>
            <w:tcBorders>
              <w:top w:val="nil"/>
              <w:bottom w:val="single" w:sz="4" w:space="0" w:color="auto"/>
            </w:tcBorders>
            <w:shd w:val="clear" w:color="auto" w:fill="auto"/>
          </w:tcPr>
          <w:p w14:paraId="2A2AE563" w14:textId="3BBC5AEE" w:rsidR="00DF5BC9" w:rsidRPr="00373E49" w:rsidRDefault="00DF5BC9" w:rsidP="00DF5BC9">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4AAEC621" w14:textId="77777777" w:rsidR="00DF5BC9" w:rsidRPr="00373E49" w:rsidRDefault="00DF5BC9" w:rsidP="00DF5BC9">
            <w:pPr>
              <w:rPr>
                <w:rFonts w:eastAsia="Arial" w:cs="Arial"/>
                <w:szCs w:val="24"/>
              </w:rPr>
            </w:pPr>
            <w:r w:rsidRPr="00373E49">
              <w:rPr>
                <w:rFonts w:eastAsia="Arial" w:cs="Arial"/>
                <w:szCs w:val="24"/>
              </w:rPr>
              <w:t>The following information should be provided in correspondence to support prescribing in line with this shared care.</w:t>
            </w:r>
          </w:p>
          <w:p w14:paraId="2DF3BE8D" w14:textId="77777777" w:rsidR="00DF5BC9" w:rsidRPr="00373E49" w:rsidRDefault="00DF5BC9" w:rsidP="00DF5BC9">
            <w:pPr>
              <w:numPr>
                <w:ilvl w:val="0"/>
                <w:numId w:val="27"/>
              </w:numPr>
              <w:spacing w:after="50"/>
              <w:rPr>
                <w:rFonts w:eastAsia="Arial" w:cs="Arial"/>
                <w:szCs w:val="24"/>
              </w:rPr>
            </w:pPr>
            <w:r w:rsidRPr="00373E49">
              <w:rPr>
                <w:rFonts w:eastAsia="Arial" w:cs="Arial"/>
                <w:szCs w:val="24"/>
              </w:rPr>
              <w:t xml:space="preserve">Dosing specific to the indication </w:t>
            </w:r>
          </w:p>
          <w:p w14:paraId="7AE1E389" w14:textId="77777777" w:rsidR="00DF5BC9" w:rsidRPr="00373E49" w:rsidRDefault="00DF5BC9" w:rsidP="00DF5BC9">
            <w:pPr>
              <w:numPr>
                <w:ilvl w:val="0"/>
                <w:numId w:val="27"/>
              </w:numPr>
              <w:spacing w:after="50"/>
              <w:rPr>
                <w:rFonts w:eastAsia="Arial" w:cs="Arial"/>
                <w:szCs w:val="24"/>
              </w:rPr>
            </w:pPr>
            <w:r w:rsidRPr="00373E49">
              <w:rPr>
                <w:rFonts w:eastAsia="Arial" w:cs="Arial"/>
                <w:szCs w:val="24"/>
              </w:rPr>
              <w:t>Relevant interaction information</w:t>
            </w:r>
          </w:p>
          <w:p w14:paraId="46E30770" w14:textId="77777777" w:rsidR="00DF5BC9" w:rsidRPr="007C3557" w:rsidRDefault="00DF5BC9" w:rsidP="00DF5BC9">
            <w:pPr>
              <w:numPr>
                <w:ilvl w:val="0"/>
                <w:numId w:val="27"/>
              </w:numPr>
              <w:spacing w:after="50"/>
              <w:rPr>
                <w:rFonts w:eastAsia="Arial" w:cs="Arial"/>
                <w:szCs w:val="24"/>
              </w:rPr>
            </w:pPr>
            <w:r w:rsidRPr="007C3557">
              <w:rPr>
                <w:rFonts w:eastAsia="Arial" w:cs="Arial"/>
                <w:szCs w:val="24"/>
              </w:rPr>
              <w:t>Any additional monitoring requirements over and above the shared care.</w:t>
            </w:r>
          </w:p>
          <w:p w14:paraId="0EA13985" w14:textId="77777777" w:rsidR="00DF5BC9" w:rsidRPr="00373E49" w:rsidRDefault="00DF5BC9" w:rsidP="00DF5BC9">
            <w:pPr>
              <w:numPr>
                <w:ilvl w:val="0"/>
                <w:numId w:val="27"/>
              </w:numPr>
              <w:spacing w:after="50"/>
              <w:rPr>
                <w:rFonts w:eastAsia="Arial" w:cs="Arial"/>
                <w:szCs w:val="24"/>
              </w:rPr>
            </w:pPr>
            <w:r w:rsidRPr="00373E49">
              <w:rPr>
                <w:rFonts w:eastAsia="Arial" w:cs="Arial"/>
                <w:szCs w:val="24"/>
              </w:rPr>
              <w:t>Duration of treatment</w:t>
            </w:r>
          </w:p>
          <w:p w14:paraId="79CC1770" w14:textId="77777777" w:rsidR="00DF5BC9" w:rsidRDefault="00DF5BC9" w:rsidP="00DF5BC9">
            <w:pPr>
              <w:numPr>
                <w:ilvl w:val="0"/>
                <w:numId w:val="27"/>
              </w:numPr>
              <w:spacing w:after="50"/>
              <w:rPr>
                <w:rFonts w:eastAsia="Arial" w:cs="Arial"/>
                <w:szCs w:val="24"/>
              </w:rPr>
            </w:pPr>
            <w:r w:rsidRPr="00373E49">
              <w:rPr>
                <w:rFonts w:eastAsia="Arial" w:cs="Arial"/>
                <w:szCs w:val="24"/>
              </w:rPr>
              <w:t>Frequency of review.</w:t>
            </w:r>
          </w:p>
          <w:p w14:paraId="7537701A" w14:textId="08E950C4" w:rsidR="005851A0" w:rsidRPr="00DF5BC9" w:rsidRDefault="00DF5BC9" w:rsidP="00DF5BC9">
            <w:pPr>
              <w:numPr>
                <w:ilvl w:val="0"/>
                <w:numId w:val="27"/>
              </w:numPr>
              <w:spacing w:after="50"/>
              <w:rPr>
                <w:rFonts w:eastAsia="Arial" w:cs="Arial"/>
                <w:szCs w:val="24"/>
              </w:rPr>
            </w:pPr>
            <w:r w:rsidRPr="00DF5BC9">
              <w:rPr>
                <w:rFonts w:eastAsia="Times New Roman"/>
              </w:rPr>
              <w:t>Specific features of adverse effects or deterioration pertinent to the specific indication for which it is used</w:t>
            </w:r>
          </w:p>
        </w:tc>
      </w:tr>
      <w:tr w:rsidR="00055685" w:rsidRPr="00F30AE3" w14:paraId="6AC5F0BC" w14:textId="77777777" w:rsidTr="396AAE02">
        <w:trPr>
          <w:jc w:val="center"/>
        </w:trPr>
        <w:tc>
          <w:tcPr>
            <w:tcW w:w="10455" w:type="dxa"/>
            <w:gridSpan w:val="3"/>
            <w:tcBorders>
              <w:bottom w:val="nil"/>
            </w:tcBorders>
            <w:shd w:val="clear" w:color="auto" w:fill="F2F2F2" w:themeFill="background1" w:themeFillShade="F2"/>
          </w:tcPr>
          <w:p w14:paraId="09AB2071" w14:textId="5380C4B8" w:rsidR="00055685" w:rsidRPr="00F30AE3" w:rsidRDefault="00055685" w:rsidP="00595041">
            <w:pPr>
              <w:pStyle w:val="Heading1"/>
              <w:tabs>
                <w:tab w:val="right" w:pos="10240"/>
              </w:tabs>
              <w:rPr>
                <w:lang w:eastAsia="en-GB"/>
              </w:rPr>
            </w:pPr>
            <w:bookmarkStart w:id="6" w:name="Four_cx_and_cautions"/>
            <w:r w:rsidRPr="00F30AE3">
              <w:rPr>
                <w:lang w:eastAsia="en-GB"/>
              </w:rPr>
              <w:t>Contraindications and cautions</w:t>
            </w:r>
            <w:r w:rsidRPr="00F30AE3">
              <w:tab/>
            </w:r>
            <w:hyperlink w:anchor="Responsibilities">
              <w:r w:rsidRPr="00F30AE3">
                <w:rPr>
                  <w:rStyle w:val="Hyperlink"/>
                  <w:rFonts w:eastAsia="Times New Roman" w:cs="Arial"/>
                  <w:b w:val="0"/>
                  <w:bCs w:val="0"/>
                  <w:sz w:val="24"/>
                  <w:szCs w:val="24"/>
                  <w:lang w:eastAsia="en-GB"/>
                </w:rPr>
                <w:t>Back to top</w:t>
              </w:r>
            </w:hyperlink>
            <w:bookmarkEnd w:id="6"/>
          </w:p>
          <w:p w14:paraId="7CBFF278" w14:textId="3B24164D" w:rsidR="00055685" w:rsidRPr="00F30AE3" w:rsidRDefault="2DE937E3" w:rsidP="2DE937E3">
            <w:pPr>
              <w:spacing w:after="0" w:line="257" w:lineRule="auto"/>
              <w:rPr>
                <w:rFonts w:eastAsia="Arial" w:cs="Arial"/>
                <w:color w:val="000000" w:themeColor="text1"/>
                <w:szCs w:val="24"/>
              </w:rPr>
            </w:pPr>
            <w:r w:rsidRPr="00F30AE3">
              <w:rPr>
                <w:rFonts w:eastAsia="Arial" w:cs="Arial"/>
                <w:color w:val="000000" w:themeColor="text1"/>
                <w:szCs w:val="24"/>
              </w:rPr>
              <w:t>This information does not replace the Summary of Product Characteristics (</w:t>
            </w:r>
            <w:r w:rsidRPr="00F30AE3">
              <w:rPr>
                <w:rFonts w:eastAsia="Arial" w:cs="Arial"/>
                <w:szCs w:val="24"/>
              </w:rPr>
              <w:t xml:space="preserve">SPC), and should be read in conjunction with it. Please see </w:t>
            </w:r>
            <w:hyperlink r:id="rId42">
              <w:r w:rsidRPr="00F30AE3">
                <w:rPr>
                  <w:rStyle w:val="Hyperlink"/>
                  <w:rFonts w:eastAsia="Arial" w:cs="Arial"/>
                  <w:szCs w:val="24"/>
                </w:rPr>
                <w:t>BNF</w:t>
              </w:r>
            </w:hyperlink>
            <w:r w:rsidRPr="00F30AE3">
              <w:rPr>
                <w:rFonts w:eastAsia="Arial" w:cs="Arial"/>
                <w:color w:val="000000" w:themeColor="text1"/>
                <w:szCs w:val="24"/>
              </w:rPr>
              <w:t xml:space="preserve"> &amp; </w:t>
            </w:r>
            <w:hyperlink r:id="rId43">
              <w:r w:rsidRPr="00F30AE3">
                <w:rPr>
                  <w:rStyle w:val="Hyperlink"/>
                  <w:rFonts w:eastAsia="Arial" w:cs="Arial"/>
                  <w:szCs w:val="24"/>
                </w:rPr>
                <w:t>SPC</w:t>
              </w:r>
            </w:hyperlink>
            <w:r w:rsidRPr="00F30AE3">
              <w:rPr>
                <w:rFonts w:eastAsia="Arial" w:cs="Arial"/>
                <w:color w:val="000000" w:themeColor="text1"/>
                <w:szCs w:val="24"/>
              </w:rPr>
              <w:t xml:space="preserve">  f</w:t>
            </w:r>
            <w:r w:rsidRPr="00F30AE3">
              <w:rPr>
                <w:rFonts w:eastAsia="Arial" w:cs="Arial"/>
                <w:szCs w:val="24"/>
              </w:rPr>
              <w:t>or comprehensive information.</w:t>
            </w:r>
          </w:p>
        </w:tc>
      </w:tr>
      <w:tr w:rsidR="002D6DA8" w:rsidRPr="00F30AE3" w14:paraId="15455F3C" w14:textId="77777777" w:rsidTr="396AAE02">
        <w:trPr>
          <w:jc w:val="center"/>
        </w:trPr>
        <w:tc>
          <w:tcPr>
            <w:tcW w:w="10455" w:type="dxa"/>
            <w:gridSpan w:val="3"/>
            <w:tcBorders>
              <w:top w:val="nil"/>
              <w:bottom w:val="single" w:sz="4" w:space="0" w:color="auto"/>
            </w:tcBorders>
            <w:shd w:val="clear" w:color="auto" w:fill="auto"/>
          </w:tcPr>
          <w:p w14:paraId="08AE5EB5" w14:textId="77777777" w:rsidR="005851A0" w:rsidRPr="00F30AE3" w:rsidRDefault="005851A0" w:rsidP="005851A0">
            <w:pPr>
              <w:pStyle w:val="paragraph"/>
              <w:spacing w:line="360" w:lineRule="atLeast"/>
              <w:textAlignment w:val="baseline"/>
              <w:rPr>
                <w:rFonts w:ascii="Arial" w:hAnsi="Arial" w:cs="Arial"/>
                <w:sz w:val="28"/>
                <w:szCs w:val="28"/>
              </w:rPr>
            </w:pPr>
            <w:r w:rsidRPr="00F30AE3">
              <w:rPr>
                <w:rStyle w:val="normaltextrun"/>
                <w:rFonts w:ascii="Arial" w:hAnsi="Arial" w:cs="Arial"/>
                <w:b/>
                <w:bCs/>
                <w:color w:val="000000"/>
              </w:rPr>
              <w:t>Contraindications:</w:t>
            </w:r>
            <w:r w:rsidRPr="00F30AE3">
              <w:rPr>
                <w:rStyle w:val="eop"/>
                <w:rFonts w:ascii="Arial" w:hAnsi="Arial" w:cs="Arial"/>
                <w:color w:val="000000"/>
              </w:rPr>
              <w:t> </w:t>
            </w:r>
          </w:p>
          <w:p w14:paraId="0A72D451" w14:textId="77777777" w:rsidR="001150CD" w:rsidRPr="00F30AE3" w:rsidRDefault="005851A0" w:rsidP="00C77005">
            <w:pPr>
              <w:pStyle w:val="paragraph"/>
              <w:numPr>
                <w:ilvl w:val="0"/>
                <w:numId w:val="20"/>
              </w:numPr>
              <w:spacing w:line="360" w:lineRule="atLeast"/>
              <w:ind w:left="714" w:hanging="357"/>
              <w:textAlignment w:val="baseline"/>
              <w:rPr>
                <w:rFonts w:ascii="Arial" w:hAnsi="Arial" w:cs="Arial"/>
              </w:rPr>
            </w:pPr>
            <w:r w:rsidRPr="00F30AE3">
              <w:rPr>
                <w:rStyle w:val="normaltextrun"/>
                <w:rFonts w:ascii="Arial" w:hAnsi="Arial" w:cs="Arial"/>
                <w:color w:val="000000"/>
              </w:rPr>
              <w:t>Hypersensitivity to mycophenolate mofetil or any excipients</w:t>
            </w:r>
            <w:r w:rsidRPr="00F30AE3">
              <w:rPr>
                <w:rStyle w:val="eop"/>
                <w:rFonts w:ascii="Arial" w:hAnsi="Arial" w:cs="Arial"/>
                <w:color w:val="000000"/>
              </w:rPr>
              <w:t> </w:t>
            </w:r>
          </w:p>
          <w:p w14:paraId="1177AF3C" w14:textId="2DD97539" w:rsidR="005851A0" w:rsidRPr="00F30AE3" w:rsidRDefault="005851A0" w:rsidP="00C77005">
            <w:pPr>
              <w:pStyle w:val="paragraph"/>
              <w:numPr>
                <w:ilvl w:val="0"/>
                <w:numId w:val="20"/>
              </w:numPr>
              <w:spacing w:line="360" w:lineRule="atLeast"/>
              <w:ind w:left="714" w:hanging="357"/>
              <w:textAlignment w:val="baseline"/>
              <w:rPr>
                <w:rFonts w:ascii="Arial" w:hAnsi="Arial" w:cs="Arial"/>
              </w:rPr>
            </w:pPr>
            <w:r w:rsidRPr="00F30AE3">
              <w:rPr>
                <w:rStyle w:val="normaltextrun"/>
                <w:rFonts w:ascii="Arial" w:hAnsi="Arial" w:cs="Arial"/>
                <w:color w:val="000000"/>
              </w:rPr>
              <w:t>Pregnancy or breastfeeding</w:t>
            </w:r>
            <w:r w:rsidRPr="00F30AE3">
              <w:rPr>
                <w:rStyle w:val="eop"/>
                <w:rFonts w:ascii="Arial" w:hAnsi="Arial" w:cs="Arial"/>
                <w:color w:val="000000"/>
              </w:rPr>
              <w:t> </w:t>
            </w:r>
          </w:p>
          <w:p w14:paraId="52103912" w14:textId="7587ADA3" w:rsidR="005851A0" w:rsidRPr="00F30AE3" w:rsidRDefault="005851A0" w:rsidP="00C77005">
            <w:pPr>
              <w:pStyle w:val="paragraph"/>
              <w:spacing w:before="0" w:beforeAutospacing="0" w:after="0" w:afterAutospacing="0" w:line="360" w:lineRule="atLeast"/>
              <w:textAlignment w:val="baseline"/>
              <w:rPr>
                <w:rFonts w:ascii="Arial" w:hAnsi="Arial" w:cs="Arial"/>
                <w:sz w:val="28"/>
                <w:szCs w:val="28"/>
              </w:rPr>
            </w:pPr>
            <w:r w:rsidRPr="00F30AE3">
              <w:rPr>
                <w:rStyle w:val="eop"/>
                <w:rFonts w:ascii="Arial" w:hAnsi="Arial" w:cs="Arial"/>
                <w:color w:val="000000"/>
              </w:rPr>
              <w:t> </w:t>
            </w:r>
            <w:r w:rsidRPr="00F30AE3">
              <w:rPr>
                <w:rStyle w:val="normaltextrun"/>
                <w:rFonts w:ascii="Arial" w:hAnsi="Arial" w:cs="Arial"/>
                <w:b/>
                <w:bCs/>
                <w:color w:val="000000"/>
              </w:rPr>
              <w:t>Cautions:</w:t>
            </w:r>
            <w:r w:rsidRPr="00F30AE3">
              <w:rPr>
                <w:rStyle w:val="eop"/>
                <w:rFonts w:ascii="Arial" w:hAnsi="Arial" w:cs="Arial"/>
                <w:color w:val="000000"/>
              </w:rPr>
              <w:t> </w:t>
            </w:r>
          </w:p>
          <w:p w14:paraId="378357E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Localised or systemic infection.</w:t>
            </w:r>
            <w:r w:rsidRPr="00F30AE3">
              <w:rPr>
                <w:rStyle w:val="eop"/>
                <w:rFonts w:ascii="Arial" w:hAnsi="Arial" w:cs="Arial"/>
                <w:color w:val="000000"/>
              </w:rPr>
              <w:t> </w:t>
            </w:r>
          </w:p>
          <w:p w14:paraId="4323D84E"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Very frail or elderly patients.</w:t>
            </w:r>
            <w:r w:rsidRPr="00F30AE3">
              <w:rPr>
                <w:rStyle w:val="eop"/>
                <w:rFonts w:ascii="Arial" w:hAnsi="Arial" w:cs="Arial"/>
                <w:color w:val="000000"/>
              </w:rPr>
              <w:t> </w:t>
            </w:r>
          </w:p>
          <w:p w14:paraId="6E6CD0D9"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with suspected lymphoproliferative disorder.</w:t>
            </w:r>
            <w:r w:rsidRPr="00F30AE3">
              <w:rPr>
                <w:rStyle w:val="eop"/>
                <w:rFonts w:ascii="Arial" w:hAnsi="Arial" w:cs="Arial"/>
                <w:color w:val="000000"/>
              </w:rPr>
              <w:t> </w:t>
            </w:r>
          </w:p>
          <w:p w14:paraId="53D4CE1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with unexplained anaemia, leukopenia or thrombocytopenia.</w:t>
            </w:r>
            <w:r w:rsidRPr="00F30AE3">
              <w:rPr>
                <w:rStyle w:val="eop"/>
                <w:rFonts w:ascii="Arial" w:hAnsi="Arial" w:cs="Arial"/>
                <w:color w:val="000000"/>
              </w:rPr>
              <w:t> </w:t>
            </w:r>
          </w:p>
          <w:p w14:paraId="65A9C141"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Active gastrointestinal disease.</w:t>
            </w:r>
            <w:r w:rsidRPr="00F30AE3">
              <w:rPr>
                <w:rStyle w:val="eop"/>
                <w:rFonts w:ascii="Arial" w:hAnsi="Arial" w:cs="Arial"/>
                <w:color w:val="000000"/>
              </w:rPr>
              <w:t> </w:t>
            </w:r>
          </w:p>
          <w:p w14:paraId="686DD6BC" w14:textId="772928A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 xml:space="preserve">Live vaccines (e.g. oral polio, oral typhoid, MMR, BCG, yellow fever): should usually be avoided in patients taking mycophenolate. Live shingles vaccine should be avoided in patients taking mycophenolate 1g/day or more, or lower doses together with prednisolone 7.5 mg/day or more.  Please refer to the </w:t>
            </w:r>
            <w:hyperlink r:id="rId44" w:tgtFrame="_blank" w:history="1">
              <w:r w:rsidRPr="00F30AE3">
                <w:rPr>
                  <w:rStyle w:val="normaltextrun"/>
                  <w:rFonts w:ascii="Arial" w:hAnsi="Arial" w:cs="Arial"/>
                  <w:color w:val="0000FF"/>
                  <w:u w:val="single"/>
                </w:rPr>
                <w:t>Green Book Chapter 6</w:t>
              </w:r>
            </w:hyperlink>
            <w:r w:rsidRPr="00F30AE3">
              <w:rPr>
                <w:rStyle w:val="normaltextrun"/>
                <w:rFonts w:ascii="Arial" w:hAnsi="Arial" w:cs="Arial"/>
                <w:color w:val="000000"/>
              </w:rPr>
              <w:t xml:space="preserve"> (cautions and contraindications), together with chapters for the specific vaccine under consideration, for current advice. </w:t>
            </w:r>
            <w:r w:rsidR="002964C4" w:rsidRPr="00F30AE3">
              <w:rPr>
                <w:rStyle w:val="normaltextrun"/>
                <w:rFonts w:ascii="Arial" w:hAnsi="Arial" w:cs="Arial"/>
                <w:color w:val="000000"/>
              </w:rPr>
              <w:t xml:space="preserve">A non-live vaccine can still be used. </w:t>
            </w:r>
            <w:r w:rsidRPr="00F30AE3">
              <w:rPr>
                <w:rStyle w:val="normaltextrun"/>
                <w:rFonts w:ascii="Arial" w:hAnsi="Arial" w:cs="Arial"/>
                <w:color w:val="000000"/>
              </w:rPr>
              <w:t>Contact the specialist if further guidance is required. </w:t>
            </w:r>
            <w:r w:rsidRPr="00F30AE3">
              <w:rPr>
                <w:rStyle w:val="eop"/>
                <w:rFonts w:ascii="Arial" w:hAnsi="Arial" w:cs="Arial"/>
                <w:color w:val="000000"/>
              </w:rPr>
              <w:t> </w:t>
            </w:r>
          </w:p>
          <w:p w14:paraId="531A3951"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lastRenderedPageBreak/>
              <w:t>Dose reduction or discontinuation should be considered for patients in cases of clinically significant COVID-19.</w:t>
            </w:r>
            <w:r w:rsidRPr="00F30AE3">
              <w:rPr>
                <w:rStyle w:val="eop"/>
                <w:rFonts w:ascii="Arial" w:hAnsi="Arial" w:cs="Arial"/>
                <w:color w:val="000000"/>
              </w:rPr>
              <w:t> </w:t>
            </w:r>
          </w:p>
          <w:p w14:paraId="6251AB1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Style w:val="eop"/>
                <w:rFonts w:ascii="Arial" w:hAnsi="Arial" w:cs="Arial"/>
              </w:rPr>
            </w:pPr>
            <w:r w:rsidRPr="00F30AE3">
              <w:rPr>
                <w:rStyle w:val="normaltextrun"/>
                <w:rFonts w:ascii="Arial" w:hAnsi="Arial" w:cs="Arial"/>
                <w:color w:val="000000"/>
              </w:rPr>
              <w:t>As there is a potential increased risk of malignancy, any pre-malignant disease should be adequately treated before starting therapy and patients should be up to date with relevant national cancer screening programmes.</w:t>
            </w:r>
          </w:p>
          <w:p w14:paraId="098BA49F"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Due to the increased risk of skin cancer, exposure to sunlight and UV light should be limited by wearing protective clothing and using a sunscreen with a high protection factor</w:t>
            </w:r>
            <w:r w:rsidRPr="00F30AE3">
              <w:rPr>
                <w:rStyle w:val="eop"/>
                <w:rFonts w:ascii="Arial" w:hAnsi="Arial" w:cs="Arial"/>
                <w:color w:val="000000"/>
              </w:rPr>
              <w:t> </w:t>
            </w:r>
          </w:p>
          <w:p w14:paraId="321E2D4D"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Avoid if previous hepatitis B or C infection, or recurrent shingles </w:t>
            </w:r>
            <w:r w:rsidRPr="00F30AE3">
              <w:rPr>
                <w:rStyle w:val="eop"/>
                <w:rFonts w:ascii="Arial" w:hAnsi="Arial" w:cs="Arial"/>
                <w:color w:val="000000"/>
              </w:rPr>
              <w:t> </w:t>
            </w:r>
          </w:p>
          <w:p w14:paraId="1752953C" w14:textId="703165E0" w:rsidR="005851A0"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Marked renal failure (eGFR below 25 mL/min).</w:t>
            </w:r>
            <w:r w:rsidRPr="00F30AE3">
              <w:rPr>
                <w:rStyle w:val="eop"/>
                <w:rFonts w:ascii="Arial" w:hAnsi="Arial" w:cs="Arial"/>
                <w:color w:val="000000"/>
              </w:rPr>
              <w:t> </w:t>
            </w:r>
          </w:p>
          <w:p w14:paraId="4657C108"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 xml:space="preserve">Paternal exposure. See </w:t>
            </w:r>
            <w:hyperlink r:id="rId45" w:tgtFrame="_blank" w:history="1">
              <w:r w:rsidRPr="00F30AE3">
                <w:rPr>
                  <w:rStyle w:val="normaltextrun"/>
                  <w:rFonts w:ascii="Arial" w:hAnsi="Arial" w:cs="Arial"/>
                  <w:color w:val="0000FF"/>
                  <w:u w:val="single"/>
                </w:rPr>
                <w:t>section 15</w:t>
              </w:r>
            </w:hyperlink>
            <w:r w:rsidRPr="00F30AE3">
              <w:rPr>
                <w:rStyle w:val="normaltextrun"/>
                <w:rFonts w:ascii="Arial" w:hAnsi="Arial" w:cs="Arial"/>
                <w:color w:val="000000"/>
              </w:rPr>
              <w:t>. </w:t>
            </w:r>
            <w:r w:rsidRPr="00F30AE3">
              <w:rPr>
                <w:rStyle w:val="eop"/>
                <w:rFonts w:ascii="Arial" w:hAnsi="Arial" w:cs="Arial"/>
                <w:color w:val="000000"/>
              </w:rPr>
              <w:t> </w:t>
            </w:r>
          </w:p>
          <w:p w14:paraId="1CB1FDA1" w14:textId="340531E4" w:rsidR="005851A0"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should not donate blood during therapy or for at least 6 weeks following discontinuation of mycophenolate. Men should not donate semen during therapy or for 90 days following discontinuation of mycophenolate.</w:t>
            </w:r>
            <w:r w:rsidRPr="00F30AE3">
              <w:rPr>
                <w:rStyle w:val="eop"/>
                <w:rFonts w:ascii="Arial" w:hAnsi="Arial" w:cs="Arial"/>
                <w:color w:val="000000"/>
              </w:rPr>
              <w:t> </w:t>
            </w:r>
          </w:p>
          <w:p w14:paraId="735BD9A9"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sz w:val="28"/>
                <w:szCs w:val="28"/>
              </w:rPr>
            </w:pPr>
            <w:r w:rsidRPr="00F30AE3">
              <w:rPr>
                <w:rStyle w:val="normaltextrun"/>
                <w:rFonts w:ascii="Arial" w:hAnsi="Arial" w:cs="Arial"/>
                <w:color w:val="000000"/>
              </w:rPr>
              <w:t>In addition, the MHRA have also issued the following Drug Safety Updates for mycophenolate:</w:t>
            </w:r>
            <w:r w:rsidRPr="00F30AE3">
              <w:rPr>
                <w:rStyle w:val="eop"/>
                <w:rFonts w:ascii="Arial" w:hAnsi="Arial" w:cs="Arial"/>
                <w:color w:val="000000"/>
              </w:rPr>
              <w:t> </w:t>
            </w:r>
          </w:p>
          <w:p w14:paraId="13BCE14C" w14:textId="77777777" w:rsidR="001150CD" w:rsidRPr="00F30AE3" w:rsidRDefault="003244FB" w:rsidP="00C77005">
            <w:pPr>
              <w:pStyle w:val="paragraph"/>
              <w:numPr>
                <w:ilvl w:val="0"/>
                <w:numId w:val="22"/>
              </w:numPr>
              <w:spacing w:before="0" w:beforeAutospacing="0" w:after="0" w:afterAutospacing="0" w:line="360" w:lineRule="atLeast"/>
              <w:textAlignment w:val="baseline"/>
              <w:rPr>
                <w:rFonts w:ascii="Arial" w:hAnsi="Arial" w:cs="Arial"/>
              </w:rPr>
            </w:pPr>
            <w:hyperlink r:id="rId46" w:tgtFrame="_blank" w:history="1">
              <w:r w:rsidR="005851A0" w:rsidRPr="00F30AE3">
                <w:rPr>
                  <w:rStyle w:val="normaltextrun"/>
                  <w:rFonts w:ascii="Arial" w:hAnsi="Arial" w:cs="Arial"/>
                  <w:color w:val="0000FF"/>
                  <w:u w:val="single"/>
                </w:rPr>
                <w:t>Mycophenolate mofetil: pure red cell aplasia</w:t>
              </w:r>
            </w:hyperlink>
            <w:r w:rsidR="005851A0" w:rsidRPr="00F30AE3">
              <w:rPr>
                <w:rStyle w:val="normaltextrun"/>
                <w:rFonts w:ascii="Arial" w:hAnsi="Arial" w:cs="Arial"/>
                <w:color w:val="000000"/>
              </w:rPr>
              <w:t xml:space="preserve"> (Dec 2014)</w:t>
            </w:r>
            <w:r w:rsidR="005851A0" w:rsidRPr="00F30AE3">
              <w:rPr>
                <w:rStyle w:val="eop"/>
                <w:rFonts w:ascii="Arial" w:hAnsi="Arial" w:cs="Arial"/>
                <w:color w:val="000000"/>
              </w:rPr>
              <w:t> </w:t>
            </w:r>
          </w:p>
          <w:p w14:paraId="42E98FFB" w14:textId="4D74E8B3" w:rsidR="00C77005" w:rsidRPr="00F30AE3" w:rsidRDefault="003244FB" w:rsidP="00C77005">
            <w:pPr>
              <w:pStyle w:val="paragraph"/>
              <w:numPr>
                <w:ilvl w:val="0"/>
                <w:numId w:val="22"/>
              </w:numPr>
              <w:spacing w:before="0" w:beforeAutospacing="0" w:after="0" w:afterAutospacing="0" w:line="360" w:lineRule="atLeast"/>
              <w:textAlignment w:val="baseline"/>
              <w:rPr>
                <w:rFonts w:ascii="Arial" w:hAnsi="Arial" w:cs="Arial"/>
              </w:rPr>
            </w:pPr>
            <w:hyperlink r:id="rId47" w:tgtFrame="_blank" w:history="1">
              <w:r w:rsidR="005851A0" w:rsidRPr="00F30AE3">
                <w:rPr>
                  <w:rStyle w:val="normaltextrun"/>
                  <w:rFonts w:ascii="Arial" w:hAnsi="Arial" w:cs="Arial"/>
                  <w:color w:val="0000FF"/>
                  <w:u w:val="single"/>
                </w:rPr>
                <w:t>Mycophenolate mofetil (CellCept) and mycophenolic acid: risk of hypogammaglobulinaemia and risk of bronchiectasi</w:t>
              </w:r>
              <w:r w:rsidR="005851A0" w:rsidRPr="00F30AE3">
                <w:rPr>
                  <w:rStyle w:val="normaltextrun"/>
                  <w:rFonts w:ascii="Arial" w:hAnsi="Arial" w:cs="Arial"/>
                  <w:color w:val="000000"/>
                  <w:u w:val="single"/>
                </w:rPr>
                <w:t>s</w:t>
              </w:r>
            </w:hyperlink>
            <w:r w:rsidR="005851A0" w:rsidRPr="00F30AE3">
              <w:rPr>
                <w:rStyle w:val="normaltextrun"/>
                <w:rFonts w:ascii="Arial" w:hAnsi="Arial" w:cs="Arial"/>
                <w:color w:val="000000"/>
              </w:rPr>
              <w:t xml:space="preserve"> (Jan 2015)</w:t>
            </w:r>
            <w:r w:rsidR="005851A0" w:rsidRPr="00F30AE3">
              <w:rPr>
                <w:rStyle w:val="eop"/>
                <w:rFonts w:ascii="Arial" w:hAnsi="Arial" w:cs="Arial"/>
                <w:color w:val="000000"/>
              </w:rPr>
              <w:t> </w:t>
            </w:r>
          </w:p>
        </w:tc>
      </w:tr>
      <w:tr w:rsidR="00055685" w:rsidRPr="00F30AE3" w14:paraId="36F2D6DF" w14:textId="77777777" w:rsidTr="396AAE02">
        <w:trPr>
          <w:jc w:val="center"/>
        </w:trPr>
        <w:tc>
          <w:tcPr>
            <w:tcW w:w="10455" w:type="dxa"/>
            <w:gridSpan w:val="3"/>
            <w:tcBorders>
              <w:bottom w:val="nil"/>
            </w:tcBorders>
            <w:shd w:val="clear" w:color="auto" w:fill="F2F2F2" w:themeFill="background1" w:themeFillShade="F2"/>
          </w:tcPr>
          <w:p w14:paraId="3A956B78" w14:textId="2E5A4A81" w:rsidR="00055685" w:rsidRPr="00F30AE3" w:rsidRDefault="00055685" w:rsidP="00DE19AD">
            <w:pPr>
              <w:pStyle w:val="Heading1"/>
              <w:tabs>
                <w:tab w:val="right" w:pos="10240"/>
              </w:tabs>
              <w:rPr>
                <w:lang w:eastAsia="en-GB"/>
              </w:rPr>
            </w:pPr>
            <w:bookmarkStart w:id="7" w:name="_Initiation_and_ongoing"/>
            <w:bookmarkStart w:id="8" w:name="Five_dosing"/>
            <w:bookmarkEnd w:id="7"/>
            <w:r w:rsidRPr="00F30AE3">
              <w:rPr>
                <w:lang w:eastAsia="en-GB"/>
              </w:rPr>
              <w:lastRenderedPageBreak/>
              <w:t>Initiation and ongoing dose regime</w:t>
            </w:r>
            <w:r w:rsidR="00364CD9" w:rsidRPr="00F30AE3">
              <w:rPr>
                <w:lang w:eastAsia="en-GB"/>
              </w:rPr>
              <w:t>n</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8"/>
          <w:p w14:paraId="47424437" w14:textId="04D330B1" w:rsidR="0032558C" w:rsidRPr="00F30AE3" w:rsidRDefault="0032558C" w:rsidP="001150CD">
            <w:pPr>
              <w:pStyle w:val="ListParagraph"/>
              <w:numPr>
                <w:ilvl w:val="0"/>
                <w:numId w:val="7"/>
              </w:numPr>
              <w:ind w:left="357" w:hanging="357"/>
              <w:rPr>
                <w:rFonts w:eastAsia="Times New Roman" w:cs="Arial"/>
                <w:lang w:eastAsia="en-GB"/>
              </w:rPr>
            </w:pPr>
            <w:r w:rsidRPr="00F30AE3">
              <w:rPr>
                <w:rFonts w:eastAsia="Times New Roman" w:cs="Arial"/>
                <w:lang w:eastAsia="en-GB"/>
              </w:rPr>
              <w:t xml:space="preserve">Transfer of monitoring and prescribing to primary care is after </w:t>
            </w:r>
            <w:r w:rsidRPr="00F30AE3">
              <w:rPr>
                <w:rFonts w:eastAsia="Times New Roman" w:cs="Arial"/>
                <w:szCs w:val="24"/>
                <w:lang w:eastAsia="en-GB"/>
              </w:rPr>
              <w:t xml:space="preserve">at least 12 weeks, and when </w:t>
            </w:r>
            <w:r w:rsidRPr="00F30AE3">
              <w:rPr>
                <w:rFonts w:eastAsia="Times New Roman" w:cs="Arial"/>
                <w:lang w:eastAsia="en-GB"/>
              </w:rPr>
              <w:t>the patient’s dose has been optimised and with satisfactory investigation results for at least 4 weeks</w:t>
            </w:r>
            <w:r w:rsidR="00256BBF" w:rsidRPr="00F30AE3">
              <w:rPr>
                <w:rFonts w:eastAsia="Times New Roman" w:cs="Arial"/>
                <w:lang w:eastAsia="en-GB"/>
              </w:rPr>
              <w:t>.</w:t>
            </w:r>
          </w:p>
          <w:p w14:paraId="2C925FC2" w14:textId="77777777" w:rsidR="00055685" w:rsidRPr="00F30AE3" w:rsidRDefault="00055685" w:rsidP="001C7A02">
            <w:pPr>
              <w:pStyle w:val="ListParagraph"/>
              <w:numPr>
                <w:ilvl w:val="0"/>
                <w:numId w:val="4"/>
              </w:numPr>
              <w:ind w:left="357" w:hanging="357"/>
              <w:rPr>
                <w:rFonts w:eastAsia="Times New Roman" w:cs="Arial"/>
                <w:szCs w:val="24"/>
                <w:lang w:eastAsia="en-GB"/>
              </w:rPr>
            </w:pPr>
            <w:r w:rsidRPr="00F30AE3">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F30AE3" w:rsidRDefault="00055685" w:rsidP="001C7A02">
            <w:pPr>
              <w:pStyle w:val="ListParagraph"/>
              <w:numPr>
                <w:ilvl w:val="0"/>
                <w:numId w:val="4"/>
              </w:numPr>
              <w:ind w:left="357" w:hanging="357"/>
              <w:rPr>
                <w:rFonts w:eastAsia="Times New Roman" w:cs="Arial"/>
                <w:szCs w:val="24"/>
                <w:lang w:eastAsia="en-GB"/>
              </w:rPr>
            </w:pPr>
            <w:r w:rsidRPr="00F30AE3">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F30AE3">
              <w:rPr>
                <w:rFonts w:eastAsia="Times New Roman" w:cs="Arial"/>
                <w:szCs w:val="24"/>
                <w:lang w:eastAsia="en-GB"/>
              </w:rPr>
              <w:t>.</w:t>
            </w:r>
          </w:p>
          <w:p w14:paraId="3F3031CA" w14:textId="1F29AD9B" w:rsidR="00055685" w:rsidRPr="00F30AE3" w:rsidRDefault="00055685" w:rsidP="001C7A02">
            <w:pPr>
              <w:pStyle w:val="ListParagraph"/>
              <w:numPr>
                <w:ilvl w:val="0"/>
                <w:numId w:val="4"/>
              </w:numPr>
              <w:spacing w:after="120"/>
              <w:rPr>
                <w:rFonts w:eastAsia="Times New Roman" w:cs="Arial"/>
                <w:iCs/>
                <w:color w:val="000000"/>
              </w:rPr>
            </w:pPr>
            <w:r w:rsidRPr="00F30AE3">
              <w:rPr>
                <w:rFonts w:eastAsia="Times New Roman" w:cs="Arial"/>
                <w:szCs w:val="24"/>
                <w:lang w:eastAsia="en-GB"/>
              </w:rPr>
              <w:t>Termination of treatment will be</w:t>
            </w:r>
            <w:r w:rsidRPr="00F30AE3">
              <w:rPr>
                <w:rFonts w:eastAsia="Times New Roman" w:cs="Arial"/>
                <w:b/>
                <w:szCs w:val="24"/>
                <w:lang w:eastAsia="en-GB"/>
              </w:rPr>
              <w:t xml:space="preserve"> </w:t>
            </w:r>
            <w:r w:rsidRPr="00F30AE3">
              <w:rPr>
                <w:rFonts w:eastAsia="Times New Roman" w:cs="Arial"/>
                <w:szCs w:val="24"/>
                <w:lang w:eastAsia="en-GB"/>
              </w:rPr>
              <w:t>the responsibility of the specialist.</w:t>
            </w:r>
          </w:p>
        </w:tc>
      </w:tr>
      <w:tr w:rsidR="00055685" w:rsidRPr="00F30AE3" w14:paraId="05FF7F42" w14:textId="77777777" w:rsidTr="396AAE02">
        <w:trPr>
          <w:jc w:val="center"/>
        </w:trPr>
        <w:tc>
          <w:tcPr>
            <w:tcW w:w="10455" w:type="dxa"/>
            <w:gridSpan w:val="3"/>
            <w:tcBorders>
              <w:top w:val="nil"/>
            </w:tcBorders>
            <w:shd w:val="clear" w:color="auto" w:fill="auto"/>
          </w:tcPr>
          <w:p w14:paraId="086E37FD"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Initial stabilisation:</w:t>
            </w:r>
            <w:r w:rsidRPr="00F30AE3">
              <w:rPr>
                <w:rStyle w:val="eop"/>
                <w:rFonts w:ascii="Arial" w:hAnsi="Arial" w:cs="Arial"/>
                <w:color w:val="000000"/>
              </w:rPr>
              <w:t> </w:t>
            </w:r>
          </w:p>
          <w:p w14:paraId="0766A846"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To be determined by the specialist based on indication and disease severity. Typically mycophenolate mofetil 250mg or 500mg once or twice daily, increasing in weekly increments. </w:t>
            </w:r>
            <w:r w:rsidRPr="00F30AE3">
              <w:rPr>
                <w:rStyle w:val="eop"/>
                <w:rFonts w:ascii="Arial" w:hAnsi="Arial" w:cs="Arial"/>
                <w:color w:val="000000"/>
              </w:rPr>
              <w:t> </w:t>
            </w:r>
          </w:p>
          <w:p w14:paraId="08524439" w14:textId="77777777" w:rsidR="005851A0" w:rsidRDefault="005851A0" w:rsidP="00C77005">
            <w:pPr>
              <w:pStyle w:val="paragraph"/>
              <w:spacing w:before="0" w:beforeAutospacing="0" w:after="0" w:afterAutospacing="0" w:line="360" w:lineRule="atLeast"/>
              <w:textAlignment w:val="baseline"/>
              <w:rPr>
                <w:rStyle w:val="eop"/>
                <w:rFonts w:ascii="Arial" w:hAnsi="Arial" w:cs="Arial"/>
              </w:rPr>
            </w:pPr>
            <w:r w:rsidRPr="00F30AE3">
              <w:rPr>
                <w:rStyle w:val="normaltextrun"/>
                <w:rFonts w:ascii="Arial" w:hAnsi="Arial" w:cs="Arial"/>
                <w:b/>
                <w:bCs/>
                <w:color w:val="000000"/>
              </w:rPr>
              <w:t>The initial period</w:t>
            </w:r>
            <w:r w:rsidRPr="00F30AE3">
              <w:rPr>
                <w:rStyle w:val="normaltextrun"/>
                <w:rFonts w:ascii="Arial" w:hAnsi="Arial" w:cs="Arial"/>
                <w:color w:val="000000"/>
              </w:rPr>
              <w:t xml:space="preserve"> </w:t>
            </w:r>
            <w:r w:rsidRPr="00F30AE3">
              <w:rPr>
                <w:rStyle w:val="normaltextrun"/>
                <w:rFonts w:ascii="Arial" w:hAnsi="Arial" w:cs="Arial"/>
                <w:b/>
                <w:bCs/>
              </w:rPr>
              <w:t>must be prescribed by the initiating specialist.</w:t>
            </w:r>
            <w:r w:rsidRPr="00F30AE3">
              <w:rPr>
                <w:rStyle w:val="eop"/>
                <w:rFonts w:ascii="Arial" w:hAnsi="Arial" w:cs="Arial"/>
              </w:rPr>
              <w:t> </w:t>
            </w:r>
          </w:p>
          <w:p w14:paraId="3C860C92" w14:textId="77777777" w:rsidR="000E4BF9" w:rsidRPr="00F30AE3" w:rsidRDefault="000E4BF9" w:rsidP="00C77005">
            <w:pPr>
              <w:pStyle w:val="paragraph"/>
              <w:spacing w:before="0" w:beforeAutospacing="0" w:after="0" w:afterAutospacing="0" w:line="360" w:lineRule="atLeast"/>
              <w:textAlignment w:val="baseline"/>
              <w:rPr>
                <w:rFonts w:ascii="Arial" w:hAnsi="Arial" w:cs="Arial"/>
              </w:rPr>
            </w:pPr>
          </w:p>
          <w:p w14:paraId="1B06F886" w14:textId="1705487E"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Maintenance dose (following initial stabilisation):</w:t>
            </w:r>
            <w:r w:rsidRPr="00F30AE3">
              <w:rPr>
                <w:rStyle w:val="eop"/>
                <w:rFonts w:ascii="Arial" w:hAnsi="Arial" w:cs="Arial"/>
                <w:color w:val="000000"/>
              </w:rPr>
              <w:t> </w:t>
            </w:r>
          </w:p>
          <w:p w14:paraId="7578E6BF"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Typically mycophenolate mofetil 1-2 grams daily, in divided doses. Maximum dose: 3 grams daily. </w:t>
            </w:r>
            <w:r w:rsidRPr="00F30AE3">
              <w:rPr>
                <w:rStyle w:val="eop"/>
                <w:rFonts w:ascii="Arial" w:hAnsi="Arial" w:cs="Arial"/>
                <w:color w:val="000000"/>
              </w:rPr>
              <w:t> </w:t>
            </w:r>
          </w:p>
          <w:p w14:paraId="3D467ACF" w14:textId="34CA9B23"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The initial maintenance dose must be prescribed by the initiating specialist.</w:t>
            </w:r>
            <w:r w:rsidRPr="00F30AE3">
              <w:rPr>
                <w:rStyle w:val="eop"/>
                <w:rFonts w:ascii="Arial" w:hAnsi="Arial" w:cs="Arial"/>
                <w:color w:val="000000"/>
              </w:rPr>
              <w:t> </w:t>
            </w:r>
          </w:p>
          <w:p w14:paraId="53E22DF7"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Mycophenolic acid</w:t>
            </w:r>
            <w:r w:rsidRPr="00F30AE3">
              <w:rPr>
                <w:rStyle w:val="eop"/>
                <w:rFonts w:ascii="Arial" w:hAnsi="Arial" w:cs="Arial"/>
                <w:color w:val="000000"/>
              </w:rPr>
              <w:t> </w:t>
            </w:r>
          </w:p>
          <w:p w14:paraId="4FD07A35" w14:textId="1AE48CB2"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lastRenderedPageBreak/>
              <w:t>Mycophenolic acid 720 mg is approximately equivalent to mycophenolate mofetil 1 g but unnecessary switching should be avoided, due to pharmacokinetic differences. Switches should only be performed by, or with the advice of, the specialist team. Mycophenolic acid should usually be reserved for patients who do not tolerate mycophenolate mofetil. </w:t>
            </w:r>
            <w:r w:rsidRPr="00F30AE3">
              <w:rPr>
                <w:rStyle w:val="eop"/>
                <w:rFonts w:ascii="Arial" w:hAnsi="Arial" w:cs="Arial"/>
                <w:color w:val="000000"/>
              </w:rPr>
              <w:t> </w:t>
            </w:r>
          </w:p>
          <w:p w14:paraId="0BED287C"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Conditions requiring dose adjustment:</w:t>
            </w:r>
            <w:r w:rsidRPr="00F30AE3">
              <w:rPr>
                <w:rStyle w:val="eop"/>
                <w:rFonts w:ascii="Arial" w:hAnsi="Arial" w:cs="Arial"/>
                <w:color w:val="000000"/>
              </w:rPr>
              <w:t> </w:t>
            </w:r>
          </w:p>
          <w:p w14:paraId="2436DFBC"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The maximum recommended dose in severe chronic renal impairment (GFR &lt;25 mL/min/1.73m</w:t>
            </w:r>
            <w:r w:rsidRPr="00F30AE3">
              <w:rPr>
                <w:rStyle w:val="normaltextrun"/>
                <w:rFonts w:ascii="Arial" w:hAnsi="Arial" w:cs="Arial"/>
                <w:color w:val="000000"/>
                <w:vertAlign w:val="superscript"/>
              </w:rPr>
              <w:t>2</w:t>
            </w:r>
            <w:r w:rsidRPr="00F30AE3">
              <w:rPr>
                <w:rStyle w:val="normaltextrun"/>
                <w:rFonts w:ascii="Arial" w:hAnsi="Arial" w:cs="Arial"/>
                <w:color w:val="000000"/>
              </w:rPr>
              <w:t>) is:</w:t>
            </w:r>
            <w:r w:rsidRPr="00F30AE3">
              <w:rPr>
                <w:rStyle w:val="eop"/>
                <w:rFonts w:ascii="Arial" w:hAnsi="Arial" w:cs="Arial"/>
                <w:color w:val="000000"/>
              </w:rPr>
              <w:t> </w:t>
            </w:r>
          </w:p>
          <w:p w14:paraId="6831FC19" w14:textId="77777777" w:rsidR="005851A0" w:rsidRPr="00F30AE3" w:rsidRDefault="005851A0" w:rsidP="00C77005">
            <w:pPr>
              <w:pStyle w:val="paragraph"/>
              <w:numPr>
                <w:ilvl w:val="0"/>
                <w:numId w:val="13"/>
              </w:numPr>
              <w:spacing w:line="360" w:lineRule="atLeast"/>
              <w:ind w:left="1125" w:firstLine="0"/>
              <w:textAlignment w:val="baseline"/>
              <w:rPr>
                <w:rFonts w:ascii="Arial" w:hAnsi="Arial" w:cs="Arial"/>
              </w:rPr>
            </w:pPr>
            <w:r w:rsidRPr="00F30AE3">
              <w:rPr>
                <w:rStyle w:val="normaltextrun"/>
                <w:rFonts w:ascii="Arial" w:hAnsi="Arial" w:cs="Arial"/>
                <w:color w:val="000000"/>
              </w:rPr>
              <w:t>Mycophenolate mofetil:1 gram, twice daily</w:t>
            </w:r>
            <w:r w:rsidRPr="00F30AE3">
              <w:rPr>
                <w:rStyle w:val="eop"/>
                <w:rFonts w:ascii="Arial" w:hAnsi="Arial" w:cs="Arial"/>
                <w:color w:val="000000"/>
              </w:rPr>
              <w:t> </w:t>
            </w:r>
          </w:p>
          <w:p w14:paraId="0103B33B" w14:textId="5BD48F8D" w:rsidR="00055685" w:rsidRPr="00F30AE3" w:rsidRDefault="005851A0" w:rsidP="00C77005">
            <w:pPr>
              <w:pStyle w:val="paragraph"/>
              <w:numPr>
                <w:ilvl w:val="0"/>
                <w:numId w:val="13"/>
              </w:numPr>
              <w:spacing w:line="360" w:lineRule="atLeast"/>
              <w:ind w:left="1125" w:firstLine="0"/>
              <w:textAlignment w:val="baseline"/>
              <w:rPr>
                <w:rFonts w:ascii="Arial" w:hAnsi="Arial" w:cs="Arial"/>
              </w:rPr>
            </w:pPr>
            <w:r w:rsidRPr="00F30AE3">
              <w:rPr>
                <w:rStyle w:val="normaltextrun"/>
                <w:rFonts w:ascii="Arial" w:hAnsi="Arial" w:cs="Arial"/>
                <w:color w:val="000000"/>
              </w:rPr>
              <w:t>Mycophenolic acid: 720 mg, twice daily</w:t>
            </w:r>
            <w:r w:rsidRPr="00F30AE3">
              <w:rPr>
                <w:rStyle w:val="eop"/>
                <w:rFonts w:ascii="Arial" w:hAnsi="Arial" w:cs="Arial"/>
                <w:color w:val="000000"/>
              </w:rPr>
              <w:t> </w:t>
            </w:r>
          </w:p>
        </w:tc>
      </w:tr>
      <w:tr w:rsidR="00055685" w:rsidRPr="00F30AE3" w14:paraId="4CDE4318" w14:textId="77777777" w:rsidTr="396AAE02">
        <w:trPr>
          <w:jc w:val="center"/>
        </w:trPr>
        <w:tc>
          <w:tcPr>
            <w:tcW w:w="10455" w:type="dxa"/>
            <w:gridSpan w:val="3"/>
            <w:shd w:val="clear" w:color="auto" w:fill="F2F2F2" w:themeFill="background1" w:themeFillShade="F2"/>
          </w:tcPr>
          <w:p w14:paraId="4C936032" w14:textId="4743B980" w:rsidR="00055685" w:rsidRPr="00F30AE3" w:rsidRDefault="00055685" w:rsidP="00426DE1">
            <w:pPr>
              <w:pStyle w:val="Heading1"/>
              <w:tabs>
                <w:tab w:val="right" w:pos="10240"/>
              </w:tabs>
              <w:rPr>
                <w:lang w:eastAsia="en-GB"/>
              </w:rPr>
            </w:pPr>
            <w:bookmarkStart w:id="9" w:name="Six_pharmaceutical"/>
            <w:r w:rsidRPr="00F30AE3">
              <w:rPr>
                <w:lang w:eastAsia="en-GB"/>
              </w:rPr>
              <w:lastRenderedPageBreak/>
              <w:t xml:space="preserve">Pharmaceutical aspects </w:t>
            </w:r>
            <w:bookmarkEnd w:id="9"/>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9A16D5" w:rsidRPr="00F30AE3" w14:paraId="24522E4E" w14:textId="77777777" w:rsidTr="396AAE02">
        <w:trPr>
          <w:trHeight w:val="99"/>
          <w:jc w:val="center"/>
        </w:trPr>
        <w:tc>
          <w:tcPr>
            <w:tcW w:w="1838" w:type="dxa"/>
            <w:shd w:val="clear" w:color="auto" w:fill="auto"/>
            <w:vAlign w:val="center"/>
          </w:tcPr>
          <w:p w14:paraId="5EA76DFC" w14:textId="1FB27EF7" w:rsidR="009A16D5" w:rsidRPr="00F30AE3" w:rsidRDefault="009A16D5" w:rsidP="00426DE1">
            <w:pPr>
              <w:rPr>
                <w:b/>
                <w:bCs/>
                <w:iCs/>
                <w:color w:val="000000"/>
                <w:lang w:eastAsia="en-GB"/>
              </w:rPr>
            </w:pPr>
            <w:r w:rsidRPr="00F30AE3">
              <w:rPr>
                <w:lang w:eastAsia="en-GB"/>
              </w:rPr>
              <w:t>Route of administration:</w:t>
            </w:r>
          </w:p>
        </w:tc>
        <w:tc>
          <w:tcPr>
            <w:tcW w:w="8617" w:type="dxa"/>
            <w:gridSpan w:val="2"/>
            <w:shd w:val="clear" w:color="auto" w:fill="auto"/>
            <w:vAlign w:val="center"/>
          </w:tcPr>
          <w:p w14:paraId="48C763F3" w14:textId="2F376060" w:rsidR="009A16D5" w:rsidRPr="00F30AE3" w:rsidRDefault="009A16D5" w:rsidP="009A16D5">
            <w:pPr>
              <w:autoSpaceDE w:val="0"/>
              <w:autoSpaceDN w:val="0"/>
              <w:adjustRightInd w:val="0"/>
              <w:spacing w:before="60" w:after="60" w:line="240" w:lineRule="auto"/>
              <w:rPr>
                <w:rFonts w:eastAsia="Times New Roman" w:cs="Arial"/>
                <w:b/>
                <w:bCs/>
                <w:iCs/>
                <w:color w:val="000000"/>
                <w:lang w:eastAsia="en-GB"/>
              </w:rPr>
            </w:pPr>
            <w:r w:rsidRPr="00F30AE3">
              <w:rPr>
                <w:rFonts w:eastAsia="Times New Roman" w:cs="Arial"/>
                <w:szCs w:val="24"/>
                <w:lang w:eastAsia="en-GB"/>
              </w:rPr>
              <w:t>Oral</w:t>
            </w:r>
          </w:p>
        </w:tc>
      </w:tr>
      <w:tr w:rsidR="009A16D5" w:rsidRPr="00F30AE3" w14:paraId="4CD28C8C" w14:textId="77777777" w:rsidTr="396AAE02">
        <w:trPr>
          <w:trHeight w:val="97"/>
          <w:jc w:val="center"/>
        </w:trPr>
        <w:tc>
          <w:tcPr>
            <w:tcW w:w="1838" w:type="dxa"/>
            <w:shd w:val="clear" w:color="auto" w:fill="auto"/>
            <w:vAlign w:val="center"/>
          </w:tcPr>
          <w:p w14:paraId="18421745" w14:textId="1DBD7A96" w:rsidR="009A16D5" w:rsidRPr="00F30AE3" w:rsidRDefault="009A16D5" w:rsidP="00426DE1">
            <w:pPr>
              <w:rPr>
                <w:b/>
                <w:bCs/>
                <w:iCs/>
                <w:color w:val="000000"/>
                <w:lang w:eastAsia="en-GB"/>
              </w:rPr>
            </w:pPr>
            <w:r w:rsidRPr="00F30AE3">
              <w:rPr>
                <w:lang w:eastAsia="en-GB"/>
              </w:rPr>
              <w:t>Formulation:</w:t>
            </w:r>
          </w:p>
        </w:tc>
        <w:tc>
          <w:tcPr>
            <w:tcW w:w="8617" w:type="dxa"/>
            <w:gridSpan w:val="2"/>
            <w:shd w:val="clear" w:color="auto" w:fill="auto"/>
            <w:vAlign w:val="center"/>
          </w:tcPr>
          <w:p w14:paraId="0F751523"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u w:val="single"/>
                <w:lang w:eastAsia="en-GB"/>
              </w:rPr>
              <w:t>Mycophenolate mofetil</w:t>
            </w:r>
            <w:r w:rsidRPr="00F30AE3">
              <w:rPr>
                <w:rFonts w:eastAsia="Times New Roman" w:cs="Arial"/>
                <w:color w:val="000000"/>
                <w:szCs w:val="24"/>
                <w:lang w:eastAsia="en-GB"/>
              </w:rPr>
              <w:t> </w:t>
            </w:r>
          </w:p>
          <w:p w14:paraId="19B8A8EC"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250 mg capsules </w:t>
            </w:r>
          </w:p>
          <w:p w14:paraId="5C352AF7"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500 mg tablets  </w:t>
            </w:r>
          </w:p>
          <w:p w14:paraId="7EBE3FA3"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1g/5mL powder for oral suspension.  </w:t>
            </w:r>
          </w:p>
          <w:p w14:paraId="7C1129DB" w14:textId="6B1E51FB"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should be prescribed generically, and not by brand name. Brands include Cellcept® and Myfenax®; generics are available and may be more cost effective.  </w:t>
            </w:r>
          </w:p>
          <w:p w14:paraId="397FBFFA"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u w:val="single"/>
                <w:lang w:eastAsia="en-GB"/>
              </w:rPr>
              <w:t>Mycophenolic acid</w:t>
            </w:r>
            <w:r w:rsidRPr="00F30AE3">
              <w:rPr>
                <w:rFonts w:eastAsia="Times New Roman" w:cs="Arial"/>
                <w:color w:val="000000"/>
                <w:szCs w:val="24"/>
                <w:lang w:eastAsia="en-GB"/>
              </w:rPr>
              <w:t> </w:t>
            </w:r>
          </w:p>
          <w:p w14:paraId="74F4B8C0"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Mycophenolic acid gastro-resistant capsules 180 mg and 360 mg tablets </w:t>
            </w:r>
          </w:p>
          <w:p w14:paraId="1312A1B6" w14:textId="4CF78C12" w:rsidR="009A16D5"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Mycophenolic acid 720 mg is approximately equivalent to mycophenolate mofetil 1 g but unnecessary switching should be avoided, due to pharmacokinetic differences. Mycophenolic acid should usually be reserved for patients who do not tolerate mycophenolate mofetil. </w:t>
            </w:r>
          </w:p>
        </w:tc>
      </w:tr>
      <w:tr w:rsidR="009A16D5" w:rsidRPr="00F30AE3" w14:paraId="32A1142F" w14:textId="77777777" w:rsidTr="396AAE02">
        <w:trPr>
          <w:trHeight w:val="97"/>
          <w:jc w:val="center"/>
        </w:trPr>
        <w:tc>
          <w:tcPr>
            <w:tcW w:w="1838" w:type="dxa"/>
            <w:shd w:val="clear" w:color="auto" w:fill="auto"/>
            <w:vAlign w:val="center"/>
          </w:tcPr>
          <w:p w14:paraId="33657BA5" w14:textId="09149075" w:rsidR="009A16D5" w:rsidRPr="00F30AE3" w:rsidRDefault="009A16D5" w:rsidP="00426DE1">
            <w:pPr>
              <w:rPr>
                <w:b/>
                <w:bCs/>
                <w:iCs/>
                <w:color w:val="000000"/>
                <w:lang w:eastAsia="en-GB"/>
              </w:rPr>
            </w:pPr>
            <w:r w:rsidRPr="00F30AE3">
              <w:rPr>
                <w:lang w:eastAsia="en-GB"/>
              </w:rPr>
              <w:t>Administration details:</w:t>
            </w:r>
          </w:p>
        </w:tc>
        <w:tc>
          <w:tcPr>
            <w:tcW w:w="8617" w:type="dxa"/>
            <w:gridSpan w:val="2"/>
            <w:shd w:val="clear" w:color="auto" w:fill="auto"/>
            <w:vAlign w:val="center"/>
          </w:tcPr>
          <w:p w14:paraId="3876CAB4" w14:textId="77777777" w:rsidR="00D82BDF"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Mycophenolate mofetil can be taken with or without food. </w:t>
            </w:r>
          </w:p>
          <w:p w14:paraId="6AB1DEB6" w14:textId="77777777" w:rsidR="009A16D5"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szCs w:val="24"/>
                <w:lang w:eastAsia="en-GB"/>
              </w:rPr>
              <w:lastRenderedPageBreak/>
              <w:t xml:space="preserve">If a dose is missed it should be taken as soon as remembered, then dosing resumed at the usual times. However, </w:t>
            </w:r>
            <w:r w:rsidRPr="00F30AE3">
              <w:rPr>
                <w:rFonts w:eastAsia="Times New Roman" w:cs="Arial"/>
                <w:szCs w:val="24"/>
                <w:u w:val="single"/>
                <w:lang w:eastAsia="en-GB"/>
              </w:rPr>
              <w:t>a double dose should not be taken to make up for a missed dose.</w:t>
            </w:r>
            <w:r w:rsidRPr="00F30AE3">
              <w:rPr>
                <w:rFonts w:eastAsia="Times New Roman" w:cs="Arial"/>
                <w:szCs w:val="24"/>
                <w:lang w:eastAsia="en-GB"/>
              </w:rPr>
              <w:t> </w:t>
            </w:r>
          </w:p>
          <w:p w14:paraId="4466B100" w14:textId="19E7BFB2" w:rsidR="00D82BDF" w:rsidRPr="00F30AE3" w:rsidRDefault="00D82BDF" w:rsidP="00D82BDF">
            <w:pPr>
              <w:spacing w:before="100" w:beforeAutospacing="1" w:after="100" w:afterAutospacing="1"/>
              <w:textAlignment w:val="baseline"/>
              <w:rPr>
                <w:rFonts w:eastAsia="Times New Roman" w:cs="Arial"/>
                <w:szCs w:val="24"/>
                <w:lang w:eastAsia="en-GB"/>
              </w:rPr>
            </w:pPr>
          </w:p>
        </w:tc>
      </w:tr>
      <w:tr w:rsidR="0032558C" w:rsidRPr="00F30AE3" w14:paraId="7AF4C7E7" w14:textId="77777777" w:rsidTr="396AAE02">
        <w:trPr>
          <w:trHeight w:val="97"/>
          <w:jc w:val="center"/>
        </w:trPr>
        <w:tc>
          <w:tcPr>
            <w:tcW w:w="1838" w:type="dxa"/>
            <w:tcBorders>
              <w:bottom w:val="single" w:sz="4" w:space="0" w:color="auto"/>
            </w:tcBorders>
            <w:shd w:val="clear" w:color="auto" w:fill="auto"/>
            <w:vAlign w:val="center"/>
          </w:tcPr>
          <w:p w14:paraId="1C2DED5A" w14:textId="3B124DB5" w:rsidR="0032558C" w:rsidRPr="00F30AE3" w:rsidRDefault="0032558C" w:rsidP="00426DE1">
            <w:pPr>
              <w:rPr>
                <w:b/>
                <w:bCs/>
                <w:iCs/>
                <w:color w:val="000000"/>
                <w:lang w:eastAsia="en-GB"/>
              </w:rPr>
            </w:pPr>
            <w:r w:rsidRPr="00F30AE3">
              <w:rPr>
                <w:lang w:eastAsia="en-GB"/>
              </w:rPr>
              <w:lastRenderedPageBreak/>
              <w:t>Other important information:</w:t>
            </w:r>
          </w:p>
        </w:tc>
        <w:tc>
          <w:tcPr>
            <w:tcW w:w="8617" w:type="dxa"/>
            <w:gridSpan w:val="2"/>
            <w:tcBorders>
              <w:bottom w:val="single" w:sz="4" w:space="0" w:color="auto"/>
            </w:tcBorders>
            <w:shd w:val="clear" w:color="auto" w:fill="auto"/>
            <w:vAlign w:val="center"/>
          </w:tcPr>
          <w:p w14:paraId="7892F257" w14:textId="77777777" w:rsidR="0032558C"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Capsules and tablets should not be opened crushed, or chewed, to avoid inhalation or direct contact with skin or mucus membranes of the active substance. If such contact occurs, wash thoroughly with soap and water; rinse eyes with plain water. </w:t>
            </w:r>
          </w:p>
          <w:p w14:paraId="689017FA" w14:textId="7238654B" w:rsidR="00D82BDF" w:rsidRPr="00F30AE3" w:rsidRDefault="00D82BDF" w:rsidP="00D82BDF">
            <w:pPr>
              <w:spacing w:before="100" w:beforeAutospacing="1" w:after="100" w:afterAutospacing="1"/>
              <w:textAlignment w:val="baseline"/>
              <w:rPr>
                <w:rFonts w:eastAsia="Times New Roman" w:cs="Arial"/>
                <w:szCs w:val="24"/>
                <w:lang w:eastAsia="en-GB"/>
              </w:rPr>
            </w:pPr>
          </w:p>
        </w:tc>
      </w:tr>
      <w:tr w:rsidR="009A16D5" w:rsidRPr="00F30AE3" w14:paraId="43330AD8" w14:textId="77777777" w:rsidTr="396AAE02">
        <w:trPr>
          <w:jc w:val="center"/>
        </w:trPr>
        <w:tc>
          <w:tcPr>
            <w:tcW w:w="10455" w:type="dxa"/>
            <w:gridSpan w:val="3"/>
            <w:tcBorders>
              <w:bottom w:val="nil"/>
            </w:tcBorders>
            <w:shd w:val="clear" w:color="auto" w:fill="F2F2F2" w:themeFill="background1" w:themeFillShade="F2"/>
          </w:tcPr>
          <w:p w14:paraId="2293CECB" w14:textId="43830C9A" w:rsidR="009A16D5" w:rsidRPr="00F30AE3" w:rsidRDefault="009A16D5" w:rsidP="00426DE1">
            <w:pPr>
              <w:pStyle w:val="Heading1"/>
              <w:tabs>
                <w:tab w:val="right" w:pos="10240"/>
              </w:tabs>
              <w:rPr>
                <w:lang w:eastAsia="en-GB"/>
              </w:rPr>
            </w:pPr>
            <w:bookmarkStart w:id="10" w:name="Seven_interactions"/>
            <w:r w:rsidRPr="00F30AE3">
              <w:rPr>
                <w:lang w:eastAsia="en-GB"/>
              </w:rPr>
              <w:t>Significant medicine interactions</w:t>
            </w:r>
            <w:r w:rsidRPr="00F30AE3">
              <w:tab/>
            </w:r>
            <w:hyperlink w:anchor="Responsibilities">
              <w:r w:rsidRPr="00F30AE3">
                <w:rPr>
                  <w:rStyle w:val="Hyperlink"/>
                  <w:rFonts w:eastAsia="Times New Roman" w:cs="Arial"/>
                  <w:b w:val="0"/>
                  <w:bCs w:val="0"/>
                  <w:sz w:val="24"/>
                  <w:szCs w:val="24"/>
                  <w:lang w:eastAsia="en-GB"/>
                </w:rPr>
                <w:t>Back to top</w:t>
              </w:r>
            </w:hyperlink>
            <w:bookmarkEnd w:id="10"/>
          </w:p>
          <w:p w14:paraId="561D758A" w14:textId="507EC333" w:rsidR="009A16D5" w:rsidRPr="00F30AE3" w:rsidRDefault="2DE937E3" w:rsidP="2DE937E3">
            <w:pPr>
              <w:spacing w:line="257" w:lineRule="auto"/>
            </w:pPr>
            <w:r w:rsidRPr="00F30AE3">
              <w:rPr>
                <w:rFonts w:eastAsia="Arial" w:cs="Arial"/>
                <w:color w:val="000000" w:themeColor="text1"/>
                <w:szCs w:val="24"/>
                <w:lang w:val="en-US"/>
              </w:rPr>
              <w:t xml:space="preserve">The following list is not exhaustive. Please see </w:t>
            </w:r>
            <w:hyperlink r:id="rId48">
              <w:r w:rsidRPr="00F30AE3">
                <w:rPr>
                  <w:rStyle w:val="Hyperlink"/>
                  <w:rFonts w:eastAsia="Arial" w:cs="Arial"/>
                  <w:szCs w:val="24"/>
                  <w:lang w:val="en-US"/>
                </w:rPr>
                <w:t>BNF</w:t>
              </w:r>
            </w:hyperlink>
            <w:r w:rsidRPr="00F30AE3">
              <w:rPr>
                <w:rFonts w:eastAsia="Arial" w:cs="Arial"/>
                <w:color w:val="000000" w:themeColor="text1"/>
                <w:szCs w:val="24"/>
                <w:lang w:val="en-US"/>
              </w:rPr>
              <w:t xml:space="preserve"> or </w:t>
            </w:r>
            <w:hyperlink r:id="rId49">
              <w:r w:rsidRPr="00F30AE3">
                <w:rPr>
                  <w:rStyle w:val="Hyperlink"/>
                  <w:rFonts w:eastAsia="Arial" w:cs="Arial"/>
                  <w:szCs w:val="24"/>
                  <w:lang w:val="en-US"/>
                </w:rPr>
                <w:t>SPC</w:t>
              </w:r>
            </w:hyperlink>
            <w:r w:rsidRPr="00F30AE3">
              <w:rPr>
                <w:rFonts w:eastAsia="Arial" w:cs="Arial"/>
                <w:color w:val="000000" w:themeColor="text1"/>
                <w:szCs w:val="24"/>
                <w:lang w:val="en-US"/>
              </w:rPr>
              <w:t xml:space="preserve"> for comprehensive information and recommended management.</w:t>
            </w:r>
          </w:p>
        </w:tc>
      </w:tr>
      <w:tr w:rsidR="009A16D5" w:rsidRPr="00F30AE3" w14:paraId="44BD7062" w14:textId="77777777" w:rsidTr="396AAE02">
        <w:trPr>
          <w:jc w:val="center"/>
        </w:trPr>
        <w:tc>
          <w:tcPr>
            <w:tcW w:w="10455" w:type="dxa"/>
            <w:gridSpan w:val="3"/>
            <w:tcBorders>
              <w:top w:val="nil"/>
              <w:bottom w:val="single" w:sz="4" w:space="0" w:color="auto"/>
            </w:tcBorders>
            <w:shd w:val="clear" w:color="auto" w:fill="auto"/>
          </w:tcPr>
          <w:p w14:paraId="1256496A"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Aciclovir / ganciclovir / valaciclovir / valganciclovir</w:t>
            </w:r>
            <w:r w:rsidRPr="00F30AE3">
              <w:rPr>
                <w:rStyle w:val="normaltextrun"/>
                <w:rFonts w:ascii="Arial" w:hAnsi="Arial" w:cs="Arial"/>
              </w:rPr>
              <w:t>: possible increased plasma concentration of antiviral and mycophenolate metabolite especially in patients with renal impairment; possible increased risk of haematological toxicity  </w:t>
            </w:r>
            <w:r w:rsidRPr="00F30AE3">
              <w:rPr>
                <w:rStyle w:val="eop"/>
                <w:rFonts w:ascii="Arial" w:hAnsi="Arial" w:cs="Arial"/>
              </w:rPr>
              <w:t> </w:t>
            </w:r>
          </w:p>
          <w:p w14:paraId="134B35D0"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Antacids and proton pump inhibitors</w:t>
            </w:r>
            <w:r w:rsidRPr="00F30AE3">
              <w:rPr>
                <w:rStyle w:val="normaltextrun"/>
                <w:rFonts w:ascii="Arial" w:hAnsi="Arial" w:cs="Arial"/>
              </w:rPr>
              <w:t>: reduced absorption of mycophenolate</w:t>
            </w:r>
            <w:r w:rsidRPr="00F30AE3">
              <w:rPr>
                <w:rStyle w:val="eop"/>
                <w:rFonts w:ascii="Arial" w:hAnsi="Arial" w:cs="Arial"/>
              </w:rPr>
              <w:t> </w:t>
            </w:r>
          </w:p>
          <w:p w14:paraId="475C18EC"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Further immunosuppression e.g. azathioprine, ciclosporin, sirolimus</w:t>
            </w:r>
            <w:r w:rsidRPr="00F30AE3">
              <w:rPr>
                <w:rStyle w:val="normaltextrun"/>
                <w:rFonts w:ascii="Arial" w:hAnsi="Arial" w:cs="Arial"/>
              </w:rPr>
              <w:t>: increased risk of bone marrow suppression</w:t>
            </w:r>
            <w:r w:rsidRPr="00F30AE3">
              <w:rPr>
                <w:rStyle w:val="eop"/>
                <w:rFonts w:ascii="Arial" w:hAnsi="Arial" w:cs="Arial"/>
              </w:rPr>
              <w:t> </w:t>
            </w:r>
          </w:p>
          <w:p w14:paraId="3334DD97"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Cholestyramine / colesevelam</w:t>
            </w:r>
            <w:r w:rsidRPr="00F30AE3">
              <w:rPr>
                <w:rStyle w:val="normaltextrun"/>
                <w:rFonts w:ascii="Arial" w:hAnsi="Arial" w:cs="Arial"/>
              </w:rPr>
              <w:t>: reduced absorption of mycophenolate</w:t>
            </w:r>
            <w:r w:rsidRPr="00F30AE3">
              <w:rPr>
                <w:rStyle w:val="eop"/>
                <w:rFonts w:ascii="Arial" w:hAnsi="Arial" w:cs="Arial"/>
              </w:rPr>
              <w:t> </w:t>
            </w:r>
          </w:p>
          <w:p w14:paraId="0E25CB1E"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Ciclosporin</w:t>
            </w:r>
            <w:r w:rsidRPr="00F30AE3">
              <w:rPr>
                <w:rStyle w:val="normaltextrun"/>
                <w:rFonts w:ascii="Arial" w:hAnsi="Arial" w:cs="Arial"/>
              </w:rPr>
              <w:t>: reduced mycophenolate exposure</w:t>
            </w:r>
            <w:r w:rsidRPr="00F30AE3">
              <w:rPr>
                <w:rStyle w:val="eop"/>
                <w:rFonts w:ascii="Arial" w:hAnsi="Arial" w:cs="Arial"/>
              </w:rPr>
              <w:t> </w:t>
            </w:r>
          </w:p>
          <w:p w14:paraId="5AEDE888"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Isavuconazole</w:t>
            </w:r>
            <w:r w:rsidRPr="00F30AE3">
              <w:rPr>
                <w:rStyle w:val="normaltextrun"/>
                <w:rFonts w:ascii="Arial" w:hAnsi="Arial" w:cs="Arial"/>
              </w:rPr>
              <w:t>: possible increased risk of mycophenolate adverse effects due to increased exposure to mycophenolate or its metabolite</w:t>
            </w:r>
            <w:r w:rsidRPr="00F30AE3">
              <w:rPr>
                <w:rStyle w:val="eop"/>
                <w:rFonts w:ascii="Arial" w:hAnsi="Arial" w:cs="Arial"/>
              </w:rPr>
              <w:t> </w:t>
            </w:r>
          </w:p>
          <w:p w14:paraId="73FE90CE"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Telmisartan</w:t>
            </w:r>
            <w:r w:rsidRPr="00F30AE3">
              <w:rPr>
                <w:rStyle w:val="normaltextrun"/>
                <w:rFonts w:ascii="Arial" w:hAnsi="Arial" w:cs="Arial"/>
              </w:rPr>
              <w:t>: may reduce mycophenolate exposure</w:t>
            </w:r>
            <w:r w:rsidRPr="00F30AE3">
              <w:rPr>
                <w:rStyle w:val="eop"/>
                <w:rFonts w:ascii="Arial" w:hAnsi="Arial" w:cs="Arial"/>
              </w:rPr>
              <w:t> </w:t>
            </w:r>
          </w:p>
          <w:p w14:paraId="08062228"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Live vaccines</w:t>
            </w:r>
            <w:r w:rsidRPr="00F30AE3">
              <w:rPr>
                <w:rStyle w:val="normaltextrun"/>
                <w:rFonts w:ascii="Arial" w:hAnsi="Arial" w:cs="Arial"/>
              </w:rPr>
              <w:t xml:space="preserve">: Increased risk of generalised infection. Consult the </w:t>
            </w:r>
            <w:hyperlink r:id="rId50" w:tgtFrame="_blank" w:history="1">
              <w:r w:rsidRPr="00F30AE3">
                <w:rPr>
                  <w:rStyle w:val="normaltextrun"/>
                  <w:rFonts w:ascii="Arial" w:hAnsi="Arial" w:cs="Arial"/>
                  <w:color w:val="0000FF"/>
                  <w:u w:val="single"/>
                </w:rPr>
                <w:t>Green Book</w:t>
              </w:r>
            </w:hyperlink>
            <w:r w:rsidRPr="00F30AE3">
              <w:rPr>
                <w:rStyle w:val="normaltextrun"/>
                <w:rFonts w:ascii="Arial" w:hAnsi="Arial" w:cs="Arial"/>
              </w:rPr>
              <w:t xml:space="preserve"> for the most up to date advice</w:t>
            </w:r>
            <w:r w:rsidRPr="00F30AE3">
              <w:rPr>
                <w:rStyle w:val="eop"/>
                <w:rFonts w:ascii="Arial" w:hAnsi="Arial" w:cs="Arial"/>
              </w:rPr>
              <w:t> </w:t>
            </w:r>
          </w:p>
          <w:p w14:paraId="6E58FA9F"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Rifampicin</w:t>
            </w:r>
            <w:r w:rsidRPr="00F30AE3">
              <w:rPr>
                <w:rStyle w:val="normaltextrun"/>
                <w:rFonts w:ascii="Arial" w:hAnsi="Arial" w:cs="Arial"/>
              </w:rPr>
              <w:t>: decreased plasma concentration of mycophenolate</w:t>
            </w:r>
            <w:r w:rsidRPr="00F30AE3">
              <w:rPr>
                <w:rStyle w:val="eop"/>
                <w:rFonts w:ascii="Arial" w:hAnsi="Arial" w:cs="Arial"/>
              </w:rPr>
              <w:t> </w:t>
            </w:r>
          </w:p>
          <w:p w14:paraId="24289A8A" w14:textId="1EE015AF" w:rsidR="00E50AEB"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Sevelamer</w:t>
            </w:r>
            <w:r w:rsidRPr="00F30AE3">
              <w:rPr>
                <w:rStyle w:val="normaltextrun"/>
                <w:rFonts w:ascii="Arial" w:hAnsi="Arial" w:cs="Arial"/>
              </w:rPr>
              <w:t>: reduced mycophenolate exposure; separate administration by 1-3 hours</w:t>
            </w:r>
            <w:r w:rsidRPr="00F30AE3">
              <w:rPr>
                <w:rStyle w:val="eop"/>
                <w:rFonts w:ascii="Arial" w:hAnsi="Arial" w:cs="Arial"/>
              </w:rPr>
              <w:t> </w:t>
            </w:r>
          </w:p>
        </w:tc>
      </w:tr>
      <w:tr w:rsidR="009A16D5" w:rsidRPr="00F30AE3" w14:paraId="24EF260A" w14:textId="77777777" w:rsidTr="396AAE02">
        <w:trPr>
          <w:jc w:val="center"/>
        </w:trPr>
        <w:tc>
          <w:tcPr>
            <w:tcW w:w="10455" w:type="dxa"/>
            <w:gridSpan w:val="3"/>
            <w:tcBorders>
              <w:bottom w:val="nil"/>
            </w:tcBorders>
            <w:shd w:val="clear" w:color="auto" w:fill="F2F2F2" w:themeFill="background1" w:themeFillShade="F2"/>
          </w:tcPr>
          <w:p w14:paraId="6FA6EB67" w14:textId="3453B847" w:rsidR="009A16D5" w:rsidRPr="00F30AE3" w:rsidRDefault="009A16D5" w:rsidP="00723BC1">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F30AE3">
              <w:rPr>
                <w:lang w:eastAsia="en-GB"/>
              </w:rPr>
              <w:lastRenderedPageBreak/>
              <w:t xml:space="preserve">Baseline investigations, initial </w:t>
            </w:r>
            <w:r w:rsidR="0032558C" w:rsidRPr="00F30AE3">
              <w:rPr>
                <w:lang w:eastAsia="en-GB"/>
              </w:rPr>
              <w:t xml:space="preserve">monitoring </w:t>
            </w:r>
            <w:r w:rsidRPr="00F30AE3">
              <w:rPr>
                <w:lang w:eastAsia="en-GB"/>
              </w:rPr>
              <w:t>and ongoing monitoring to be undertaken by specialist</w:t>
            </w:r>
            <w:bookmarkEnd w:id="12"/>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57CB14F0" w14:textId="1BCC1068" w:rsidR="00723BC1" w:rsidRPr="00F30AE3" w:rsidRDefault="00723BC1" w:rsidP="00723BC1">
            <w:pPr>
              <w:rPr>
                <w:b/>
                <w:szCs w:val="24"/>
                <w:lang w:eastAsia="en-GB"/>
              </w:rPr>
            </w:pPr>
            <w:r w:rsidRPr="00F30AE3">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F30AE3" w14:paraId="03C811CF" w14:textId="77777777" w:rsidTr="396AAE02">
        <w:trPr>
          <w:jc w:val="center"/>
        </w:trPr>
        <w:tc>
          <w:tcPr>
            <w:tcW w:w="10455" w:type="dxa"/>
            <w:gridSpan w:val="3"/>
            <w:tcBorders>
              <w:top w:val="nil"/>
            </w:tcBorders>
            <w:shd w:val="clear" w:color="auto" w:fill="auto"/>
          </w:tcPr>
          <w:p w14:paraId="51ABDBBE"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b/>
                <w:bCs/>
                <w:color w:val="000000"/>
              </w:rPr>
              <w:t>Baseline investigations:</w:t>
            </w:r>
            <w:r w:rsidRPr="00F30AE3">
              <w:rPr>
                <w:rStyle w:val="eop"/>
                <w:rFonts w:ascii="Arial" w:hAnsi="Arial" w:cs="Arial"/>
                <w:color w:val="000000"/>
              </w:rPr>
              <w:t> </w:t>
            </w:r>
          </w:p>
          <w:p w14:paraId="381020A1"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Full blood count (FBC)</w:t>
            </w:r>
            <w:r w:rsidRPr="00F30AE3">
              <w:rPr>
                <w:rStyle w:val="eop"/>
                <w:rFonts w:ascii="Arial" w:hAnsi="Arial" w:cs="Arial"/>
              </w:rPr>
              <w:t> </w:t>
            </w:r>
          </w:p>
          <w:p w14:paraId="72CF5AD6"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Urea and electrolytes (U&amp;E), including creatinine and creatinine clearance (CrCl)</w:t>
            </w:r>
            <w:r w:rsidRPr="00F30AE3">
              <w:rPr>
                <w:rStyle w:val="eop"/>
                <w:rFonts w:ascii="Arial" w:hAnsi="Arial" w:cs="Arial"/>
              </w:rPr>
              <w:t> </w:t>
            </w:r>
          </w:p>
          <w:p w14:paraId="7D261101"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Alanine aminotransferase (ALT) and/or aspartate aminotransferase (AST), and albumin </w:t>
            </w:r>
            <w:r w:rsidRPr="00F30AE3">
              <w:rPr>
                <w:rStyle w:val="eop"/>
                <w:rFonts w:ascii="Arial" w:hAnsi="Arial" w:cs="Arial"/>
              </w:rPr>
              <w:t> </w:t>
            </w:r>
          </w:p>
          <w:p w14:paraId="60623285"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Height &amp; weight</w:t>
            </w:r>
            <w:r w:rsidRPr="00F30AE3">
              <w:rPr>
                <w:rStyle w:val="eop"/>
                <w:rFonts w:ascii="Arial" w:hAnsi="Arial" w:cs="Arial"/>
              </w:rPr>
              <w:t> </w:t>
            </w:r>
          </w:p>
          <w:p w14:paraId="4F969A4B"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Blood pressure</w:t>
            </w:r>
            <w:r w:rsidRPr="00F30AE3">
              <w:rPr>
                <w:rStyle w:val="eop"/>
                <w:rFonts w:ascii="Arial" w:hAnsi="Arial" w:cs="Arial"/>
              </w:rPr>
              <w:t> </w:t>
            </w:r>
          </w:p>
          <w:p w14:paraId="17724025"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Screening for viral infections as per local policy, e.g. HIV and hepatitis B and C, varicella zoster, Epstein Barr virus, cytomegalovirus</w:t>
            </w:r>
            <w:r w:rsidRPr="00F30AE3">
              <w:rPr>
                <w:rStyle w:val="eop"/>
                <w:rFonts w:ascii="Arial" w:hAnsi="Arial" w:cs="Arial"/>
              </w:rPr>
              <w:t> </w:t>
            </w:r>
          </w:p>
          <w:p w14:paraId="306374A6"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 xml:space="preserve">Before starting mycophenolate mofetil treatment, people of childbearing potential should have a negative pregnancy test. Two serum or urine pregnancy tests with a sensitivity of at least 25 mlU/mL are recommended. A second test should be done 8-10 days after the first one and immediately before starting mycophenolate mofetil, unless exceptional circumstances exist whereby a delay in the initiation of treatment would cause harm to the patient and the prescriber is satisfied that a single test is adequate to rule out pregnancy. Pregnancy tests should be repeated as clinically required (e.g. after any gap in contraception is reported). See </w:t>
            </w:r>
            <w:hyperlink r:id="rId51" w:tgtFrame="_blank" w:history="1">
              <w:r w:rsidRPr="00F30AE3">
                <w:rPr>
                  <w:rStyle w:val="normaltextrun"/>
                  <w:rFonts w:ascii="Arial" w:hAnsi="Arial" w:cs="Arial"/>
                  <w:color w:val="0000FF"/>
                  <w:u w:val="single"/>
                </w:rPr>
                <w:t>MHRA Drug Safety Update</w:t>
              </w:r>
            </w:hyperlink>
            <w:r w:rsidRPr="00F30AE3">
              <w:rPr>
                <w:rStyle w:val="normaltextrun"/>
                <w:rFonts w:ascii="Arial" w:hAnsi="Arial" w:cs="Arial"/>
              </w:rPr>
              <w:t xml:space="preserve"> for more detail</w:t>
            </w:r>
            <w:r w:rsidRPr="00F30AE3">
              <w:rPr>
                <w:rStyle w:val="eop"/>
                <w:rFonts w:ascii="Arial" w:hAnsi="Arial" w:cs="Arial"/>
              </w:rPr>
              <w:t> </w:t>
            </w:r>
          </w:p>
          <w:p w14:paraId="28FE27BE"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Screening for lung disease, including tuberculosis, should be undertaken at clinician discretion on a case by case basis</w:t>
            </w:r>
            <w:r w:rsidRPr="00F30AE3">
              <w:rPr>
                <w:rStyle w:val="eop"/>
                <w:rFonts w:ascii="Arial" w:hAnsi="Arial" w:cs="Arial"/>
              </w:rPr>
              <w:t> </w:t>
            </w:r>
          </w:p>
          <w:p w14:paraId="1C911DB0" w14:textId="4BEE60D9"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Provide or request appropriate vaccination prior to treatment initiation, according to local arrangements (e.g. pneumococcal, shingles, influenza, COVID-19)</w:t>
            </w:r>
            <w:r w:rsidRPr="00F30AE3">
              <w:rPr>
                <w:rStyle w:val="eop"/>
                <w:rFonts w:ascii="Arial" w:hAnsi="Arial" w:cs="Arial"/>
              </w:rPr>
              <w:t> </w:t>
            </w:r>
          </w:p>
          <w:p w14:paraId="062CA555"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b/>
                <w:bCs/>
              </w:rPr>
              <w:t>Initial monitoring:</w:t>
            </w:r>
            <w:r w:rsidRPr="00F30AE3">
              <w:rPr>
                <w:rStyle w:val="eop"/>
                <w:rFonts w:ascii="Arial" w:hAnsi="Arial" w:cs="Arial"/>
              </w:rPr>
              <w:t> </w:t>
            </w:r>
          </w:p>
          <w:p w14:paraId="79CF70C9"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rPr>
              <w:t>To be repeated every 2 weeks until the dose has been stable for 6 weeks, then monthly for 3 months: </w:t>
            </w:r>
            <w:r w:rsidRPr="00F30AE3">
              <w:rPr>
                <w:rStyle w:val="eop"/>
                <w:rFonts w:ascii="Arial" w:hAnsi="Arial" w:cs="Arial"/>
              </w:rPr>
              <w:t> </w:t>
            </w:r>
          </w:p>
          <w:p w14:paraId="7373531F" w14:textId="77777777"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FBC</w:t>
            </w:r>
            <w:r w:rsidRPr="00F30AE3">
              <w:rPr>
                <w:rStyle w:val="eop"/>
                <w:rFonts w:ascii="Arial" w:hAnsi="Arial" w:cs="Arial"/>
              </w:rPr>
              <w:t> </w:t>
            </w:r>
          </w:p>
          <w:p w14:paraId="1B093086" w14:textId="77777777"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U&amp;Es, including creatinine and CrCl</w:t>
            </w:r>
            <w:r w:rsidRPr="00F30AE3">
              <w:rPr>
                <w:rStyle w:val="eop"/>
                <w:rFonts w:ascii="Arial" w:hAnsi="Arial" w:cs="Arial"/>
              </w:rPr>
              <w:t> </w:t>
            </w:r>
          </w:p>
          <w:p w14:paraId="64B2C425" w14:textId="2F81A0F9"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AST and/or ALT, and albumin</w:t>
            </w:r>
            <w:r w:rsidRPr="00F30AE3">
              <w:rPr>
                <w:rStyle w:val="eop"/>
                <w:rFonts w:ascii="Arial" w:hAnsi="Arial" w:cs="Arial"/>
              </w:rPr>
              <w:t> </w:t>
            </w:r>
          </w:p>
          <w:p w14:paraId="391BB501"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rPr>
              <w:lastRenderedPageBreak/>
              <w:t>Following a dose increase repeat every 2 weeks until the dose has been stable for 6 weeks, then revert to previous schedule. </w:t>
            </w:r>
            <w:r w:rsidRPr="00F30AE3">
              <w:rPr>
                <w:rStyle w:val="eop"/>
                <w:rFonts w:ascii="Arial" w:hAnsi="Arial" w:cs="Arial"/>
              </w:rPr>
              <w:t> </w:t>
            </w:r>
          </w:p>
          <w:p w14:paraId="332719F4" w14:textId="489EA7EA" w:rsidR="00D82BDF" w:rsidRPr="00F30AE3" w:rsidRDefault="00D82BDF" w:rsidP="00D82BDF">
            <w:pPr>
              <w:pStyle w:val="paragraph"/>
              <w:spacing w:line="360" w:lineRule="atLeast"/>
              <w:textAlignment w:val="baseline"/>
              <w:rPr>
                <w:rFonts w:ascii="Arial" w:hAnsi="Arial" w:cs="Arial"/>
              </w:rPr>
            </w:pPr>
            <w:r w:rsidRPr="00F30AE3">
              <w:rPr>
                <w:rStyle w:val="eop"/>
                <w:rFonts w:ascii="Arial" w:hAnsi="Arial" w:cs="Arial"/>
              </w:rPr>
              <w:t> </w:t>
            </w:r>
            <w:r w:rsidRPr="00F30AE3">
              <w:rPr>
                <w:rStyle w:val="normaltextrun"/>
                <w:rFonts w:ascii="Arial" w:hAnsi="Arial" w:cs="Arial"/>
                <w:b/>
                <w:bCs/>
              </w:rPr>
              <w:t>Ongoing monitoring: </w:t>
            </w:r>
            <w:r w:rsidRPr="00F30AE3">
              <w:rPr>
                <w:rStyle w:val="eop"/>
                <w:rFonts w:ascii="Arial" w:hAnsi="Arial" w:cs="Arial"/>
              </w:rPr>
              <w:t> </w:t>
            </w:r>
          </w:p>
          <w:p w14:paraId="6CFE4C05" w14:textId="77777777" w:rsidR="009A16D5" w:rsidRPr="00F30AE3" w:rsidRDefault="00D82BDF" w:rsidP="00D82BDF">
            <w:pPr>
              <w:pStyle w:val="paragraph"/>
              <w:spacing w:line="360" w:lineRule="atLeast"/>
              <w:textAlignment w:val="baseline"/>
              <w:rPr>
                <w:rStyle w:val="eop"/>
                <w:rFonts w:ascii="Arial" w:hAnsi="Arial" w:cs="Arial"/>
              </w:rPr>
            </w:pPr>
            <w:r w:rsidRPr="00F30AE3">
              <w:rPr>
                <w:rStyle w:val="normaltextrun"/>
                <w:rFonts w:ascii="Arial" w:hAnsi="Arial" w:cs="Arial"/>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r:id="rId52" w:tgtFrame="_blank" w:history="1">
              <w:r w:rsidRPr="00F30AE3">
                <w:rPr>
                  <w:rStyle w:val="normaltextrun"/>
                  <w:rFonts w:ascii="Arial" w:hAnsi="Arial" w:cs="Arial"/>
                  <w:color w:val="0000FF"/>
                  <w:u w:val="single"/>
                </w:rPr>
                <w:t>section 9</w:t>
              </w:r>
            </w:hyperlink>
            <w:r w:rsidRPr="00F30AE3">
              <w:rPr>
                <w:rStyle w:val="normaltextrun"/>
                <w:rFonts w:ascii="Arial" w:hAnsi="Arial" w:cs="Arial"/>
              </w:rPr>
              <w:t xml:space="preserve"> remains appropriate.</w:t>
            </w:r>
            <w:r w:rsidRPr="00F30AE3">
              <w:rPr>
                <w:rStyle w:val="eop"/>
                <w:rFonts w:ascii="Arial" w:hAnsi="Arial" w:cs="Arial"/>
              </w:rPr>
              <w:t> </w:t>
            </w:r>
          </w:p>
          <w:p w14:paraId="01BE7CD8" w14:textId="0BD106CB" w:rsidR="00D82BDF" w:rsidRPr="00F30AE3" w:rsidRDefault="00D82BDF" w:rsidP="00D82BDF">
            <w:pPr>
              <w:pStyle w:val="paragraph"/>
              <w:spacing w:line="360" w:lineRule="atLeast"/>
              <w:textAlignment w:val="baseline"/>
              <w:rPr>
                <w:rFonts w:ascii="Arial" w:hAnsi="Arial" w:cs="Arial"/>
              </w:rPr>
            </w:pPr>
          </w:p>
        </w:tc>
      </w:tr>
      <w:tr w:rsidR="009A16D5" w:rsidRPr="00F30AE3" w14:paraId="6695C431" w14:textId="77777777" w:rsidTr="396AAE02">
        <w:trPr>
          <w:jc w:val="center"/>
        </w:trPr>
        <w:tc>
          <w:tcPr>
            <w:tcW w:w="10455" w:type="dxa"/>
            <w:gridSpan w:val="3"/>
            <w:shd w:val="clear" w:color="auto" w:fill="F2F2F2" w:themeFill="background1" w:themeFillShade="F2"/>
          </w:tcPr>
          <w:p w14:paraId="631F17A8" w14:textId="533F0BDD" w:rsidR="009A16D5" w:rsidRPr="00F30AE3" w:rsidRDefault="009A16D5" w:rsidP="005851A0">
            <w:pPr>
              <w:pStyle w:val="Heading1"/>
              <w:tabs>
                <w:tab w:val="right" w:pos="10238"/>
              </w:tabs>
              <w:spacing w:after="240"/>
              <w:rPr>
                <w:strike/>
                <w:lang w:eastAsia="en-GB"/>
              </w:rPr>
            </w:pPr>
            <w:bookmarkStart w:id="13" w:name="_Ongoing_monitoring_requirements"/>
            <w:bookmarkStart w:id="14" w:name="Nine_primary_care_monitoring"/>
            <w:bookmarkEnd w:id="13"/>
            <w:r w:rsidRPr="00F30AE3">
              <w:rPr>
                <w:lang w:eastAsia="en-GB"/>
              </w:rPr>
              <w:lastRenderedPageBreak/>
              <w:t xml:space="preserve">Ongoing monitoring requirements to be undertaken </w:t>
            </w:r>
            <w:r w:rsidR="00846A4A" w:rsidRPr="00F30AE3">
              <w:rPr>
                <w:lang w:eastAsia="en-GB"/>
              </w:rPr>
              <w:br/>
            </w:r>
            <w:r w:rsidRPr="00F30AE3">
              <w:rPr>
                <w:lang w:eastAsia="en-GB"/>
              </w:rPr>
              <w:t>by primary care</w:t>
            </w:r>
            <w:bookmarkEnd w:id="14"/>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25F94340" w14:textId="50E56A73" w:rsidR="009A16D5" w:rsidRPr="00F30AE3" w:rsidRDefault="009A16D5" w:rsidP="00EF4D31">
            <w:pPr>
              <w:spacing w:after="0"/>
              <w:rPr>
                <w:b/>
                <w:szCs w:val="24"/>
                <w:lang w:eastAsia="en-GB"/>
              </w:rPr>
            </w:pPr>
            <w:r w:rsidRPr="00F30AE3">
              <w:rPr>
                <w:lang w:eastAsia="en-GB"/>
              </w:rPr>
              <w:t xml:space="preserve">See </w:t>
            </w:r>
            <w:hyperlink w:anchor="Ten_ADRs_and_Management" w:history="1">
              <w:r w:rsidRPr="00F30AE3">
                <w:rPr>
                  <w:rStyle w:val="Hyperlink"/>
                  <w:rFonts w:eastAsia="Times New Roman" w:cs="Arial"/>
                  <w:iCs/>
                  <w:lang w:eastAsia="en-GB"/>
                </w:rPr>
                <w:t>section 10</w:t>
              </w:r>
            </w:hyperlink>
            <w:r w:rsidRPr="00F30AE3">
              <w:rPr>
                <w:lang w:eastAsia="en-GB"/>
              </w:rPr>
              <w:t xml:space="preserve"> for further guidance on management of adverse effects/responding to monitoring results.</w:t>
            </w:r>
          </w:p>
        </w:tc>
      </w:tr>
      <w:tr w:rsidR="009A16D5" w:rsidRPr="00F30AE3" w14:paraId="636A3198" w14:textId="77777777" w:rsidTr="396AAE02">
        <w:trPr>
          <w:trHeight w:val="140"/>
          <w:jc w:val="center"/>
        </w:trPr>
        <w:tc>
          <w:tcPr>
            <w:tcW w:w="5227" w:type="dxa"/>
            <w:gridSpan w:val="2"/>
            <w:shd w:val="clear" w:color="auto" w:fill="F2F2F2" w:themeFill="background1" w:themeFillShade="F2"/>
          </w:tcPr>
          <w:p w14:paraId="4512E5AE" w14:textId="25E4F33E" w:rsidR="009A16D5" w:rsidRPr="00F30AE3" w:rsidRDefault="009A16D5" w:rsidP="00EF4D31">
            <w:pPr>
              <w:keepNext/>
              <w:spacing w:before="60" w:after="60" w:line="240" w:lineRule="auto"/>
              <w:jc w:val="center"/>
              <w:rPr>
                <w:rFonts w:eastAsia="Times New Roman" w:cs="Arial"/>
                <w:b/>
                <w:szCs w:val="24"/>
                <w:lang w:eastAsia="en-GB"/>
              </w:rPr>
            </w:pPr>
            <w:r w:rsidRPr="00F30AE3">
              <w:rPr>
                <w:rFonts w:eastAsia="Times New Roman" w:cs="Arial"/>
                <w:b/>
                <w:szCs w:val="24"/>
                <w:lang w:eastAsia="en-GB"/>
              </w:rPr>
              <w:t>Monitoring</w:t>
            </w:r>
            <w:r w:rsidR="00221A17" w:rsidRPr="00F30AE3">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F30AE3" w:rsidRDefault="009A16D5" w:rsidP="009A16D5">
            <w:pPr>
              <w:spacing w:before="60" w:after="60" w:line="240" w:lineRule="auto"/>
              <w:jc w:val="center"/>
              <w:rPr>
                <w:rFonts w:eastAsia="Times New Roman" w:cs="Arial"/>
                <w:b/>
                <w:szCs w:val="24"/>
                <w:lang w:eastAsia="en-GB"/>
              </w:rPr>
            </w:pPr>
            <w:r w:rsidRPr="00F30AE3">
              <w:rPr>
                <w:rFonts w:eastAsia="Times New Roman" w:cs="Arial"/>
                <w:b/>
                <w:szCs w:val="24"/>
                <w:lang w:eastAsia="en-GB"/>
              </w:rPr>
              <w:t>Frequency</w:t>
            </w:r>
          </w:p>
        </w:tc>
      </w:tr>
      <w:tr w:rsidR="00186EA2" w:rsidRPr="00F30AE3" w14:paraId="6767A09B" w14:textId="77777777" w:rsidTr="396AAE02">
        <w:trPr>
          <w:trHeight w:val="140"/>
          <w:jc w:val="center"/>
        </w:trPr>
        <w:tc>
          <w:tcPr>
            <w:tcW w:w="5227" w:type="dxa"/>
            <w:gridSpan w:val="2"/>
            <w:shd w:val="clear" w:color="auto" w:fill="auto"/>
          </w:tcPr>
          <w:p w14:paraId="1E985AC9"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FBC </w:t>
            </w:r>
            <w:r w:rsidRPr="00F30AE3">
              <w:rPr>
                <w:rStyle w:val="eop"/>
                <w:rFonts w:ascii="Arial" w:hAnsi="Arial" w:cs="Arial"/>
                <w:color w:val="000000"/>
              </w:rPr>
              <w:t> </w:t>
            </w:r>
          </w:p>
          <w:p w14:paraId="55DF9F2B"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U&amp;Es including creatinine and CrCl</w:t>
            </w:r>
            <w:r w:rsidRPr="00F30AE3">
              <w:rPr>
                <w:rStyle w:val="eop"/>
                <w:rFonts w:ascii="Arial" w:hAnsi="Arial" w:cs="Arial"/>
                <w:color w:val="000000"/>
              </w:rPr>
              <w:t> </w:t>
            </w:r>
          </w:p>
          <w:p w14:paraId="7EEA1FC4"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ALT and/or AST and albumin</w:t>
            </w:r>
            <w:r w:rsidRPr="00F30AE3">
              <w:rPr>
                <w:rStyle w:val="eop"/>
                <w:rFonts w:ascii="Arial" w:hAnsi="Arial" w:cs="Arial"/>
                <w:color w:val="000000"/>
              </w:rPr>
              <w:t> </w:t>
            </w:r>
          </w:p>
          <w:p w14:paraId="1D69D13A" w14:textId="6C2A911E" w:rsidR="00186EA2"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rPr>
              <w:t>Rheumatology patients: CRP &amp;/or ESR  </w:t>
            </w:r>
            <w:r w:rsidRPr="00F30AE3">
              <w:rPr>
                <w:rStyle w:val="eop"/>
                <w:rFonts w:ascii="Arial" w:hAnsi="Arial" w:cs="Arial"/>
              </w:rPr>
              <w:t> </w:t>
            </w:r>
          </w:p>
        </w:tc>
        <w:tc>
          <w:tcPr>
            <w:tcW w:w="5228" w:type="dxa"/>
            <w:shd w:val="clear" w:color="auto" w:fill="auto"/>
          </w:tcPr>
          <w:p w14:paraId="4655CF92" w14:textId="24DCE1C0" w:rsidR="00D82BDF"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 xml:space="preserve">Monthly for three months, </w:t>
            </w:r>
            <w:r w:rsidR="00DF5BC9" w:rsidRPr="00CC069F">
              <w:rPr>
                <w:rFonts w:eastAsia="Times New Roman" w:cs="Arial"/>
                <w:color w:val="000000"/>
                <w:szCs w:val="24"/>
                <w:lang w:eastAsia="en-GB"/>
              </w:rPr>
              <w:t xml:space="preserve">which should be </w:t>
            </w:r>
            <w:r w:rsidRPr="00CC069F">
              <w:rPr>
                <w:rFonts w:eastAsia="Times New Roman" w:cs="Arial"/>
                <w:color w:val="000000"/>
                <w:szCs w:val="24"/>
                <w:lang w:eastAsia="en-GB"/>
              </w:rPr>
              <w:t>completed in secondary care.</w:t>
            </w:r>
            <w:r w:rsidRPr="00F30AE3">
              <w:rPr>
                <w:rFonts w:eastAsia="Times New Roman" w:cs="Arial"/>
                <w:color w:val="000000"/>
                <w:szCs w:val="24"/>
                <w:lang w:eastAsia="en-GB"/>
              </w:rPr>
              <w:t xml:space="preserve"> Thereafter at least every 12 weeks, and more frequently in patients at higher risk of toxicity, as advised by the specialist team. </w:t>
            </w:r>
          </w:p>
          <w:p w14:paraId="5CBD5B62" w14:textId="57F06420" w:rsidR="00186EA2"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The exact frequency of monitoring to be communicated by the specialist in all cases</w:t>
            </w:r>
            <w:r w:rsidRPr="00F30AE3">
              <w:rPr>
                <w:rFonts w:eastAsia="Times New Roman" w:cs="Arial"/>
                <w:color w:val="000000"/>
                <w:szCs w:val="24"/>
                <w:lang w:eastAsia="en-GB"/>
              </w:rPr>
              <w:t>. </w:t>
            </w:r>
          </w:p>
        </w:tc>
      </w:tr>
      <w:tr w:rsidR="00C5228B" w:rsidRPr="00F30AE3" w14:paraId="0F38AB0A" w14:textId="77777777" w:rsidTr="396AAE02">
        <w:trPr>
          <w:trHeight w:val="140"/>
          <w:jc w:val="center"/>
        </w:trPr>
        <w:tc>
          <w:tcPr>
            <w:tcW w:w="5227" w:type="dxa"/>
            <w:gridSpan w:val="2"/>
            <w:shd w:val="clear" w:color="auto" w:fill="auto"/>
          </w:tcPr>
          <w:p w14:paraId="748B822A" w14:textId="3A1DD939"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color w:val="000000"/>
              </w:rPr>
              <w:t>Patients aged 70-79 years old could be eligible for the shingles vaccine (</w:t>
            </w:r>
            <w:r w:rsidR="002964C4" w:rsidRPr="00F30AE3">
              <w:rPr>
                <w:rStyle w:val="normaltextrun"/>
                <w:rFonts w:ascii="Arial" w:hAnsi="Arial" w:cs="Arial"/>
                <w:color w:val="000000"/>
              </w:rPr>
              <w:t xml:space="preserve">herpes </w:t>
            </w:r>
            <w:r w:rsidRPr="00F30AE3">
              <w:rPr>
                <w:rStyle w:val="normaltextrun"/>
                <w:rFonts w:ascii="Arial" w:hAnsi="Arial" w:cs="Arial"/>
                <w:color w:val="000000"/>
              </w:rPr>
              <w:t xml:space="preserve"> zoster).  For patients taking mycophenolate 1g/day or more, or lower doses together with prednisolone 7.5 mg/day or more, a non-live vaccine should be used. Specialist input may be required. If patient is taking additional DMARDs, check advice for all drugs.  Please refer to Green Book </w:t>
            </w:r>
            <w:hyperlink r:id="rId53" w:tgtFrame="_blank" w:history="1">
              <w:r w:rsidRPr="00F30AE3">
                <w:rPr>
                  <w:rStyle w:val="normaltextrun"/>
                  <w:rFonts w:ascii="Arial" w:hAnsi="Arial" w:cs="Arial"/>
                  <w:color w:val="0000FF"/>
                  <w:u w:val="single"/>
                </w:rPr>
                <w:t xml:space="preserve">Chapter </w:t>
              </w:r>
              <w:r w:rsidRPr="00F30AE3">
                <w:rPr>
                  <w:rStyle w:val="normaltextrun"/>
                  <w:rFonts w:ascii="Arial" w:hAnsi="Arial" w:cs="Arial"/>
                  <w:color w:val="0000FF"/>
                  <w:u w:val="single"/>
                </w:rPr>
                <w:lastRenderedPageBreak/>
                <w:t>6 (cautions and contraindications)</w:t>
              </w:r>
            </w:hyperlink>
            <w:r w:rsidRPr="00F30AE3">
              <w:rPr>
                <w:rStyle w:val="normaltextrun"/>
                <w:rFonts w:ascii="Arial" w:hAnsi="Arial" w:cs="Arial"/>
                <w:color w:val="000000"/>
              </w:rPr>
              <w:t xml:space="preserve"> and </w:t>
            </w:r>
            <w:hyperlink r:id="rId54" w:tgtFrame="_blank" w:history="1">
              <w:r w:rsidRPr="00F30AE3">
                <w:rPr>
                  <w:rStyle w:val="normaltextrun"/>
                  <w:rFonts w:ascii="Arial" w:hAnsi="Arial" w:cs="Arial"/>
                  <w:color w:val="0000FF"/>
                  <w:u w:val="single"/>
                </w:rPr>
                <w:t>Chapter 28a (Shingles)</w:t>
              </w:r>
            </w:hyperlink>
            <w:r w:rsidRPr="00F30AE3">
              <w:rPr>
                <w:rStyle w:val="normaltextrun"/>
                <w:rFonts w:ascii="Arial" w:hAnsi="Arial" w:cs="Arial"/>
                <w:color w:val="000000"/>
              </w:rPr>
              <w:t xml:space="preserve"> for further details.</w:t>
            </w:r>
            <w:r w:rsidRPr="00F30AE3">
              <w:rPr>
                <w:rStyle w:val="eop"/>
                <w:rFonts w:ascii="Arial" w:hAnsi="Arial" w:cs="Arial"/>
                <w:color w:val="000000"/>
              </w:rPr>
              <w:t> </w:t>
            </w:r>
          </w:p>
          <w:p w14:paraId="270D8683" w14:textId="77777777"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b/>
                <w:bCs/>
                <w:color w:val="000000"/>
              </w:rPr>
              <w:t xml:space="preserve">Annual </w:t>
            </w:r>
            <w:r w:rsidRPr="00F30AE3">
              <w:rPr>
                <w:rStyle w:val="normaltextrun"/>
                <w:rFonts w:ascii="Arial" w:hAnsi="Arial" w:cs="Arial"/>
                <w:color w:val="000000"/>
              </w:rPr>
              <w:t>influenza (</w:t>
            </w:r>
            <w:hyperlink r:id="rId55" w:tgtFrame="_blank" w:history="1">
              <w:r w:rsidRPr="00F30AE3">
                <w:rPr>
                  <w:rStyle w:val="normaltextrun"/>
                  <w:rFonts w:ascii="Arial" w:hAnsi="Arial" w:cs="Arial"/>
                  <w:color w:val="0000FF"/>
                  <w:u w:val="single"/>
                </w:rPr>
                <w:t>The Green Book, Chapter 19</w:t>
              </w:r>
            </w:hyperlink>
            <w:r w:rsidRPr="00F30AE3">
              <w:rPr>
                <w:rStyle w:val="normaltextrun"/>
                <w:rFonts w:ascii="Arial" w:hAnsi="Arial" w:cs="Arial"/>
                <w:color w:val="000000"/>
              </w:rPr>
              <w:t>) vaccinations are recommended.</w:t>
            </w:r>
            <w:r w:rsidRPr="00F30AE3">
              <w:rPr>
                <w:rStyle w:val="eop"/>
                <w:rFonts w:ascii="Arial" w:hAnsi="Arial" w:cs="Arial"/>
                <w:color w:val="000000"/>
              </w:rPr>
              <w:t> </w:t>
            </w:r>
          </w:p>
          <w:p w14:paraId="4CEE0FCE" w14:textId="77777777"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color w:val="000000"/>
              </w:rPr>
              <w:t xml:space="preserve">COVID-19 vaccination is safe and recommended (see </w:t>
            </w:r>
            <w:hyperlink r:id="rId56" w:tgtFrame="_blank" w:history="1">
              <w:r w:rsidRPr="00F30AE3">
                <w:rPr>
                  <w:rStyle w:val="normaltextrun"/>
                  <w:rFonts w:ascii="Arial" w:hAnsi="Arial" w:cs="Arial"/>
                  <w:color w:val="0000FF"/>
                  <w:u w:val="single"/>
                </w:rPr>
                <w:t>The Green Book, Chapter 14a</w:t>
              </w:r>
            </w:hyperlink>
            <w:r w:rsidRPr="00F30AE3">
              <w:rPr>
                <w:rStyle w:val="normaltextrun"/>
                <w:rFonts w:ascii="Arial" w:hAnsi="Arial" w:cs="Arial"/>
                <w:color w:val="000000"/>
              </w:rPr>
              <w:t>).</w:t>
            </w:r>
            <w:r w:rsidRPr="00F30AE3">
              <w:rPr>
                <w:rStyle w:val="eop"/>
                <w:rFonts w:ascii="Arial" w:hAnsi="Arial" w:cs="Arial"/>
                <w:color w:val="000000"/>
              </w:rPr>
              <w:t> </w:t>
            </w:r>
          </w:p>
          <w:p w14:paraId="072D2682" w14:textId="6D586E47" w:rsidR="00C5228B" w:rsidRPr="00F30AE3" w:rsidRDefault="00C5228B" w:rsidP="00D82BDF">
            <w:pPr>
              <w:pStyle w:val="ListParagraph"/>
              <w:spacing w:after="120"/>
              <w:ind w:left="360"/>
              <w:rPr>
                <w:rFonts w:eastAsia="Times New Roman" w:cs="Arial"/>
                <w:szCs w:val="24"/>
                <w:lang w:eastAsia="en-GB"/>
              </w:rPr>
            </w:pPr>
          </w:p>
        </w:tc>
        <w:tc>
          <w:tcPr>
            <w:tcW w:w="5228" w:type="dxa"/>
            <w:shd w:val="clear" w:color="auto" w:fill="auto"/>
          </w:tcPr>
          <w:p w14:paraId="74B5AA6D" w14:textId="77777777"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lastRenderedPageBreak/>
              <w:t>Shingles vaccination: one-off.</w:t>
            </w:r>
            <w:r w:rsidRPr="00F30AE3">
              <w:rPr>
                <w:rStyle w:val="eop"/>
                <w:rFonts w:ascii="Arial" w:hAnsi="Arial" w:cs="Arial"/>
                <w:color w:val="000000"/>
              </w:rPr>
              <w:t> </w:t>
            </w:r>
          </w:p>
          <w:p w14:paraId="25D8BFF6" w14:textId="77777777"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Influenza vaccination: annual. It is advisable to add the patient to the influenza vaccine list.</w:t>
            </w:r>
            <w:r w:rsidRPr="00F30AE3">
              <w:rPr>
                <w:rStyle w:val="eop"/>
                <w:rFonts w:ascii="Arial" w:hAnsi="Arial" w:cs="Arial"/>
                <w:color w:val="000000"/>
              </w:rPr>
              <w:t> </w:t>
            </w:r>
          </w:p>
          <w:p w14:paraId="67ACEBE8" w14:textId="68692C63"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COVID-19 vaccination as per national schedule.</w:t>
            </w:r>
            <w:r w:rsidRPr="00F30AE3">
              <w:rPr>
                <w:rStyle w:val="eop"/>
                <w:rFonts w:ascii="Arial" w:hAnsi="Arial" w:cs="Arial"/>
                <w:color w:val="000000"/>
              </w:rPr>
              <w:t> </w:t>
            </w:r>
          </w:p>
          <w:p w14:paraId="6A2B03AB" w14:textId="1DE6B6EC" w:rsidR="00C5228B" w:rsidRPr="00F30AE3" w:rsidRDefault="00C5228B" w:rsidP="00EF4D31">
            <w:pPr>
              <w:rPr>
                <w:lang w:eastAsia="en-GB"/>
              </w:rPr>
            </w:pPr>
          </w:p>
        </w:tc>
      </w:tr>
      <w:tr w:rsidR="396AAE02" w:rsidRPr="00F30AE3" w14:paraId="4952A562" w14:textId="77777777" w:rsidTr="396AAE02">
        <w:trPr>
          <w:trHeight w:val="140"/>
          <w:jc w:val="center"/>
        </w:trPr>
        <w:tc>
          <w:tcPr>
            <w:tcW w:w="10455" w:type="dxa"/>
            <w:gridSpan w:val="3"/>
            <w:shd w:val="clear" w:color="auto" w:fill="auto"/>
          </w:tcPr>
          <w:p w14:paraId="06B39FDE" w14:textId="7CECC86E" w:rsidR="396AAE02" w:rsidRPr="00F30AE3" w:rsidRDefault="396AAE02" w:rsidP="396AAE02">
            <w:pPr>
              <w:spacing w:line="257" w:lineRule="auto"/>
              <w:rPr>
                <w:rFonts w:eastAsia="Arial" w:cs="Arial"/>
                <w:b/>
                <w:bCs/>
                <w:szCs w:val="24"/>
              </w:rPr>
            </w:pPr>
            <w:r w:rsidRPr="00F30AE3">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F30AE3" w14:paraId="042BD065" w14:textId="77777777" w:rsidTr="396AAE02">
        <w:trPr>
          <w:jc w:val="center"/>
        </w:trPr>
        <w:tc>
          <w:tcPr>
            <w:tcW w:w="10455" w:type="dxa"/>
            <w:gridSpan w:val="3"/>
            <w:shd w:val="clear" w:color="auto" w:fill="F2F2F2" w:themeFill="background1" w:themeFillShade="F2"/>
          </w:tcPr>
          <w:p w14:paraId="32599F9D" w14:textId="4BCAEC5E" w:rsidR="005F463D" w:rsidRPr="00F30AE3" w:rsidRDefault="005F463D" w:rsidP="00EF4D31">
            <w:pPr>
              <w:pStyle w:val="Heading1"/>
              <w:tabs>
                <w:tab w:val="right" w:pos="10238"/>
              </w:tabs>
              <w:ind w:left="599" w:hanging="599"/>
              <w:rPr>
                <w:lang w:eastAsia="en-GB"/>
              </w:rPr>
            </w:pPr>
            <w:bookmarkStart w:id="15" w:name="Ten_ADRs_and_Management"/>
            <w:r w:rsidRPr="00F30AE3">
              <w:rPr>
                <w:lang w:eastAsia="en-GB"/>
              </w:rPr>
              <w:t>Adverse effects and other management</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15"/>
          <w:p w14:paraId="334D0561" w14:textId="77777777" w:rsidR="005F463D" w:rsidRPr="00F30AE3" w:rsidRDefault="005F463D" w:rsidP="00846A4A">
            <w:pPr>
              <w:spacing w:after="120"/>
              <w:rPr>
                <w:rStyle w:val="Hyperlink"/>
                <w:rFonts w:eastAsia="Calibri" w:cs="Arial"/>
                <w:noProof/>
                <w:sz w:val="22"/>
                <w:lang w:eastAsia="en-GB"/>
              </w:rPr>
            </w:pPr>
            <w:r w:rsidRPr="00F30AE3">
              <w:rPr>
                <w:b/>
                <w:bCs/>
              </w:rPr>
              <w:t xml:space="preserve">Any serious adverse reactions should be reported to the MHRA via the Yellow Card scheme. Visit </w:t>
            </w:r>
            <w:hyperlink r:id="rId57" w:tooltip="http://www.mhra.gov.uk/yellowcard" w:history="1">
              <w:r w:rsidRPr="00F30AE3">
                <w:rPr>
                  <w:rStyle w:val="Hyperlink"/>
                  <w:rFonts w:eastAsia="Calibri" w:cs="Arial"/>
                  <w:noProof/>
                  <w:sz w:val="22"/>
                  <w:lang w:eastAsia="en-GB"/>
                </w:rPr>
                <w:t>www.mhra.gov.uk/yellowcard</w:t>
              </w:r>
            </w:hyperlink>
          </w:p>
          <w:p w14:paraId="6CDD62FF" w14:textId="2CD42EAF" w:rsidR="005F463D" w:rsidRPr="00F30AE3" w:rsidRDefault="005F463D" w:rsidP="00846A4A">
            <w:pPr>
              <w:spacing w:after="120"/>
              <w:rPr>
                <w:noProof/>
                <w:sz w:val="20"/>
                <w:szCs w:val="20"/>
                <w:lang w:eastAsia="en-GB"/>
              </w:rPr>
            </w:pPr>
            <w:r w:rsidRPr="00F30AE3">
              <w:rPr>
                <w:rStyle w:val="Hyperlink"/>
                <w:rFonts w:eastAsia="Calibri" w:cs="Arial"/>
                <w:noProof/>
                <w:color w:val="000000"/>
                <w:sz w:val="22"/>
                <w:u w:val="none"/>
                <w:lang w:eastAsia="en-GB"/>
              </w:rPr>
              <w:t>For information on incidence of ADRs see relevant summaries of product characteristics</w:t>
            </w:r>
          </w:p>
        </w:tc>
      </w:tr>
      <w:tr w:rsidR="005F463D" w:rsidRPr="00F30AE3" w14:paraId="3C261EF2" w14:textId="77777777" w:rsidTr="396AAE02">
        <w:trPr>
          <w:jc w:val="center"/>
        </w:trPr>
        <w:tc>
          <w:tcPr>
            <w:tcW w:w="5227" w:type="dxa"/>
            <w:gridSpan w:val="2"/>
            <w:shd w:val="clear" w:color="auto" w:fill="F2F2F2" w:themeFill="background1" w:themeFillShade="F2"/>
          </w:tcPr>
          <w:p w14:paraId="516C3772" w14:textId="24C8DC24" w:rsidR="005F463D" w:rsidRPr="00F30AE3" w:rsidRDefault="005F463D" w:rsidP="005F463D">
            <w:pPr>
              <w:spacing w:before="60" w:after="60" w:line="240" w:lineRule="auto"/>
              <w:jc w:val="center"/>
              <w:rPr>
                <w:rFonts w:eastAsia="Times New Roman" w:cs="Arial"/>
                <w:b/>
                <w:lang w:eastAsia="en-GB"/>
              </w:rPr>
            </w:pPr>
            <w:r w:rsidRPr="00F30AE3">
              <w:rPr>
                <w:rFonts w:eastAsia="Times New Roman" w:cs="Arial"/>
                <w:b/>
                <w:lang w:eastAsia="en-GB"/>
              </w:rPr>
              <w:t>Result</w:t>
            </w:r>
          </w:p>
        </w:tc>
        <w:tc>
          <w:tcPr>
            <w:tcW w:w="5228" w:type="dxa"/>
            <w:shd w:val="clear" w:color="auto" w:fill="F2F2F2" w:themeFill="background1" w:themeFillShade="F2"/>
          </w:tcPr>
          <w:p w14:paraId="0CA8A09B" w14:textId="4301643C" w:rsidR="005F463D" w:rsidRPr="00F30AE3" w:rsidRDefault="005F463D" w:rsidP="005F463D">
            <w:pPr>
              <w:spacing w:before="60" w:after="60" w:line="240" w:lineRule="auto"/>
              <w:jc w:val="center"/>
              <w:rPr>
                <w:rFonts w:eastAsia="Times New Roman" w:cs="Arial"/>
                <w:b/>
                <w:lang w:eastAsia="en-GB"/>
              </w:rPr>
            </w:pPr>
            <w:r w:rsidRPr="00F30AE3">
              <w:rPr>
                <w:rFonts w:eastAsia="Times New Roman" w:cs="Arial"/>
                <w:b/>
                <w:lang w:eastAsia="en-GB"/>
              </w:rPr>
              <w:t>Action for primary care</w:t>
            </w:r>
          </w:p>
        </w:tc>
      </w:tr>
      <w:tr w:rsidR="005F463D" w:rsidRPr="00F30AE3" w14:paraId="6C44DC1D" w14:textId="77777777" w:rsidTr="396AAE02">
        <w:trPr>
          <w:jc w:val="center"/>
        </w:trPr>
        <w:tc>
          <w:tcPr>
            <w:tcW w:w="10455" w:type="dxa"/>
            <w:gridSpan w:val="3"/>
            <w:shd w:val="clear" w:color="auto" w:fill="auto"/>
          </w:tcPr>
          <w:p w14:paraId="00D7A796" w14:textId="77777777" w:rsidR="005F463D" w:rsidRPr="00F30AE3" w:rsidRDefault="005F463D" w:rsidP="00EF4D31">
            <w:pPr>
              <w:spacing w:after="0"/>
              <w:jc w:val="center"/>
              <w:rPr>
                <w:b/>
                <w:bCs/>
                <w:lang w:eastAsia="en-GB"/>
              </w:rPr>
            </w:pPr>
            <w:r w:rsidRPr="00F30AE3">
              <w:rPr>
                <w:b/>
                <w:bCs/>
                <w:lang w:eastAsia="en-GB"/>
              </w:rPr>
              <w:t>As well as responding to absolute values in laboratory tests, a rapid change or a consistent trend in any value should prompt caution and extra vigilance</w:t>
            </w:r>
          </w:p>
        </w:tc>
      </w:tr>
      <w:tr w:rsidR="00933A4C" w:rsidRPr="00F30AE3" w14:paraId="1FA82767" w14:textId="77777777" w:rsidTr="396AAE02">
        <w:trPr>
          <w:trHeight w:val="78"/>
          <w:jc w:val="center"/>
        </w:trPr>
        <w:tc>
          <w:tcPr>
            <w:tcW w:w="5227" w:type="dxa"/>
            <w:gridSpan w:val="2"/>
            <w:shd w:val="clear" w:color="auto" w:fill="auto"/>
          </w:tcPr>
          <w:p w14:paraId="1B3417E8"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White blood cells less than 3.5x10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1B377D02"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Lymphocytes less than 0.5x10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7FB669CB"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Neutrophils less than 1.6x10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6BFB394F"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Platelets less than 140x10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5DD4527D" w14:textId="25DEB610" w:rsidR="00933A4C" w:rsidRPr="00F30AE3" w:rsidRDefault="00267AE2" w:rsidP="001150CD">
            <w:pPr>
              <w:pStyle w:val="paragraph"/>
              <w:numPr>
                <w:ilvl w:val="0"/>
                <w:numId w:val="16"/>
              </w:numPr>
              <w:spacing w:line="360" w:lineRule="atLeast"/>
              <w:textAlignment w:val="baseline"/>
              <w:rPr>
                <w:rStyle w:val="eop"/>
                <w:rFonts w:ascii="Arial" w:hAnsi="Arial" w:cs="Arial"/>
              </w:rPr>
            </w:pPr>
            <w:r w:rsidRPr="00F30AE3">
              <w:rPr>
                <w:rStyle w:val="normaltextrun"/>
                <w:rFonts w:ascii="Arial" w:hAnsi="Arial" w:cs="Arial"/>
              </w:rPr>
              <w:t>Eosinophilia greater than 0.5x10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02EB5D0E" w14:textId="4229EF76" w:rsidR="00267AE2" w:rsidRPr="00F30AE3" w:rsidRDefault="00267AE2" w:rsidP="00267AE2">
            <w:pPr>
              <w:pStyle w:val="paragraph"/>
              <w:spacing w:line="360" w:lineRule="atLeast"/>
              <w:ind w:left="720"/>
              <w:textAlignment w:val="baseline"/>
              <w:rPr>
                <w:rFonts w:ascii="Arial" w:hAnsi="Arial" w:cs="Arial"/>
              </w:rPr>
            </w:pPr>
          </w:p>
        </w:tc>
        <w:tc>
          <w:tcPr>
            <w:tcW w:w="5228" w:type="dxa"/>
            <w:shd w:val="clear" w:color="auto" w:fill="auto"/>
          </w:tcPr>
          <w:p w14:paraId="6B49669F" w14:textId="77777777" w:rsidR="00267AE2" w:rsidRPr="00F30AE3" w:rsidRDefault="00267AE2" w:rsidP="00267AE2">
            <w:pPr>
              <w:spacing w:before="100" w:beforeAutospacing="1" w:after="100" w:afterAutospacing="1"/>
              <w:textAlignment w:val="baseline"/>
              <w:rPr>
                <w:rFonts w:eastAsia="Times New Roman" w:cs="Arial"/>
                <w:b/>
                <w:bCs/>
                <w:szCs w:val="24"/>
                <w:lang w:eastAsia="en-GB"/>
              </w:rPr>
            </w:pPr>
            <w:r w:rsidRPr="00F30AE3">
              <w:rPr>
                <w:rFonts w:eastAsia="Times New Roman" w:cs="Arial"/>
                <w:color w:val="000000"/>
                <w:szCs w:val="24"/>
                <w:lang w:eastAsia="en-GB"/>
              </w:rPr>
              <w:t>Discuss urgently with specialist team, and consider interruption</w:t>
            </w:r>
            <w:r w:rsidRPr="00F30AE3">
              <w:rPr>
                <w:rFonts w:eastAsia="Times New Roman" w:cs="Arial"/>
                <w:b/>
                <w:bCs/>
                <w:color w:val="000000"/>
                <w:szCs w:val="24"/>
                <w:lang w:eastAsia="en-GB"/>
              </w:rPr>
              <w:t> </w:t>
            </w:r>
          </w:p>
          <w:p w14:paraId="6897B92F" w14:textId="633C9B4F" w:rsidR="00933A4C" w:rsidRPr="00F30AE3" w:rsidRDefault="00933A4C" w:rsidP="00EF4D31">
            <w:pPr>
              <w:rPr>
                <w:rFonts w:eastAsia="Times New Roman" w:cs="Arial"/>
                <w:b/>
                <w:lang w:eastAsia="en-GB"/>
              </w:rPr>
            </w:pPr>
          </w:p>
        </w:tc>
      </w:tr>
      <w:tr w:rsidR="00933A4C" w:rsidRPr="00F30AE3" w14:paraId="66089C4A" w14:textId="77777777" w:rsidTr="396AAE02">
        <w:trPr>
          <w:trHeight w:val="78"/>
          <w:jc w:val="center"/>
        </w:trPr>
        <w:tc>
          <w:tcPr>
            <w:tcW w:w="5227" w:type="dxa"/>
            <w:gridSpan w:val="2"/>
            <w:shd w:val="clear" w:color="auto" w:fill="auto"/>
          </w:tcPr>
          <w:p w14:paraId="786F5C7A" w14:textId="4BE257B8" w:rsidR="00933A4C"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Mean cell volume  &gt;105 fL </w:t>
            </w:r>
          </w:p>
        </w:tc>
        <w:tc>
          <w:tcPr>
            <w:tcW w:w="5228" w:type="dxa"/>
            <w:shd w:val="clear" w:color="auto" w:fill="auto"/>
          </w:tcPr>
          <w:p w14:paraId="7F03D3F8"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Consider interruption in treatment.  </w:t>
            </w:r>
          </w:p>
          <w:p w14:paraId="32FEFCD1" w14:textId="77777777" w:rsidR="00933A4C"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 xml:space="preserve">Check serum folate, B12, alcohol history and TSH and treat any underlying abnormality. If </w:t>
            </w:r>
            <w:r w:rsidRPr="00F30AE3">
              <w:rPr>
                <w:rFonts w:eastAsia="Times New Roman" w:cs="Arial"/>
                <w:color w:val="000000"/>
                <w:szCs w:val="24"/>
                <w:lang w:eastAsia="en-GB"/>
              </w:rPr>
              <w:lastRenderedPageBreak/>
              <w:t>results of these additional investigations are normal discuss with specialist team urgently.  </w:t>
            </w:r>
          </w:p>
          <w:p w14:paraId="469F3D89" w14:textId="7CAA795E"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186EA2" w:rsidRPr="00F30AE3" w14:paraId="602C2B8E" w14:textId="77777777" w:rsidTr="396AAE02">
        <w:trPr>
          <w:trHeight w:val="78"/>
          <w:jc w:val="center"/>
        </w:trPr>
        <w:tc>
          <w:tcPr>
            <w:tcW w:w="5227" w:type="dxa"/>
            <w:gridSpan w:val="2"/>
            <w:shd w:val="clear" w:color="auto" w:fill="auto"/>
          </w:tcPr>
          <w:p w14:paraId="291BDC66" w14:textId="77777777"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lastRenderedPageBreak/>
              <w:t>Signs or symptoms of bone marrow suppression, e.g. unexplained bleeding or bruising with or without sore throat, mouth ulcers </w:t>
            </w:r>
          </w:p>
          <w:p w14:paraId="760699F1" w14:textId="06709BF6"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shd w:val="clear" w:color="auto" w:fill="auto"/>
          </w:tcPr>
          <w:p w14:paraId="1554B1D3"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FBC immediately and discuss with the specialist team. See haematological monitoring above.  </w:t>
            </w:r>
          </w:p>
          <w:p w14:paraId="7360B5D2" w14:textId="2B1A3151" w:rsidR="00186EA2" w:rsidRPr="00F30AE3" w:rsidRDefault="00186EA2" w:rsidP="00EF4D31">
            <w:pPr>
              <w:rPr>
                <w:rFonts w:eastAsia="Times New Roman" w:cs="Arial"/>
                <w:b/>
                <w:lang w:eastAsia="en-GB"/>
              </w:rPr>
            </w:pPr>
          </w:p>
        </w:tc>
      </w:tr>
      <w:tr w:rsidR="00186EA2" w:rsidRPr="00F30AE3" w14:paraId="3ADBA703" w14:textId="77777777" w:rsidTr="396AAE02">
        <w:trPr>
          <w:trHeight w:val="78"/>
          <w:jc w:val="center"/>
        </w:trPr>
        <w:tc>
          <w:tcPr>
            <w:tcW w:w="5227" w:type="dxa"/>
            <w:gridSpan w:val="2"/>
            <w:shd w:val="clear" w:color="auto" w:fill="auto"/>
          </w:tcPr>
          <w:p w14:paraId="2B8A7DC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Infections</w:t>
            </w:r>
            <w:r w:rsidRPr="00F30AE3">
              <w:rPr>
                <w:rFonts w:eastAsia="Times New Roman" w:cs="Arial"/>
                <w:color w:val="000000"/>
                <w:szCs w:val="24"/>
                <w:lang w:eastAsia="en-GB"/>
              </w:rPr>
              <w:t>:  </w:t>
            </w:r>
          </w:p>
          <w:p w14:paraId="7B070597"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Infection requiring antibiotics </w:t>
            </w:r>
          </w:p>
          <w:p w14:paraId="242D7A04" w14:textId="77777777" w:rsidR="00186EA2" w:rsidRPr="00F30AE3" w:rsidRDefault="00267AE2" w:rsidP="00267AE2">
            <w:pPr>
              <w:spacing w:before="100" w:beforeAutospacing="1" w:after="100" w:afterAutospacing="1"/>
              <w:textAlignment w:val="baseline"/>
              <w:rPr>
                <w:rFonts w:eastAsia="Times New Roman" w:cs="Arial"/>
                <w:color w:val="000000"/>
                <w:szCs w:val="24"/>
                <w:lang w:eastAsia="en-GB"/>
              </w:rPr>
            </w:pPr>
            <w:r w:rsidRPr="00F30AE3">
              <w:rPr>
                <w:rFonts w:eastAsia="Times New Roman" w:cs="Arial"/>
                <w:color w:val="000000"/>
                <w:szCs w:val="24"/>
                <w:lang w:eastAsia="en-GB"/>
              </w:rPr>
              <w:t>Recurrent or opportunistic infections </w:t>
            </w:r>
          </w:p>
          <w:p w14:paraId="54080CBD" w14:textId="6B046F44" w:rsidR="00267AE2" w:rsidRPr="00F30AE3" w:rsidRDefault="00267AE2" w:rsidP="00267AE2">
            <w:pPr>
              <w:spacing w:before="100" w:beforeAutospacing="1" w:after="100" w:afterAutospacing="1"/>
              <w:textAlignment w:val="baseline"/>
              <w:rPr>
                <w:rFonts w:eastAsia="Times New Roman" w:cs="Arial"/>
                <w:color w:val="000000"/>
                <w:szCs w:val="24"/>
                <w:lang w:eastAsia="en-GB"/>
              </w:rPr>
            </w:pPr>
          </w:p>
        </w:tc>
        <w:tc>
          <w:tcPr>
            <w:tcW w:w="5228" w:type="dxa"/>
            <w:shd w:val="clear" w:color="auto" w:fill="auto"/>
          </w:tcPr>
          <w:p w14:paraId="30647635"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Temporarily withhold mycophenolate until the patient has recovered. </w:t>
            </w:r>
          </w:p>
          <w:p w14:paraId="198FC094" w14:textId="545382BE"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with specialist team. </w:t>
            </w:r>
          </w:p>
        </w:tc>
      </w:tr>
      <w:tr w:rsidR="00186EA2" w:rsidRPr="00F30AE3" w14:paraId="60C0C622" w14:textId="77777777" w:rsidTr="396AAE02">
        <w:trPr>
          <w:trHeight w:val="78"/>
          <w:jc w:val="center"/>
        </w:trPr>
        <w:tc>
          <w:tcPr>
            <w:tcW w:w="5227" w:type="dxa"/>
            <w:gridSpan w:val="2"/>
            <w:tcBorders>
              <w:bottom w:val="single" w:sz="4" w:space="0" w:color="auto"/>
            </w:tcBorders>
            <w:shd w:val="clear" w:color="auto" w:fill="auto"/>
          </w:tcPr>
          <w:p w14:paraId="49C1CEEE" w14:textId="1D97C5A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Exposure to chickenpox or shingles </w:t>
            </w:r>
          </w:p>
          <w:p w14:paraId="26B69ADA" w14:textId="5E9F9882" w:rsidR="00186EA2" w:rsidRPr="00F30AE3" w:rsidRDefault="00186EA2" w:rsidP="00267AE2">
            <w:pPr>
              <w:spacing w:before="100" w:beforeAutospacing="1" w:after="100" w:afterAutospacing="1"/>
              <w:textAlignment w:val="baseline"/>
              <w:rPr>
                <w:rFonts w:eastAsia="Times New Roman" w:cs="Arial"/>
                <w:b/>
                <w:lang w:eastAsia="en-GB"/>
              </w:rPr>
            </w:pPr>
          </w:p>
        </w:tc>
        <w:tc>
          <w:tcPr>
            <w:tcW w:w="5228" w:type="dxa"/>
            <w:tcBorders>
              <w:bottom w:val="single" w:sz="4" w:space="0" w:color="auto"/>
            </w:tcBorders>
            <w:shd w:val="clear" w:color="auto" w:fill="auto"/>
          </w:tcPr>
          <w:p w14:paraId="5B30284A" w14:textId="77777777"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szCs w:val="24"/>
                <w:lang w:eastAsia="en-GB"/>
              </w:rPr>
              <w:t xml:space="preserve">Contact specialist team for advice. See the </w:t>
            </w:r>
            <w:hyperlink r:id="rId58" w:tgtFrame="_blank" w:history="1">
              <w:r w:rsidRPr="00F30AE3">
                <w:rPr>
                  <w:rFonts w:eastAsia="Times New Roman" w:cs="Arial"/>
                  <w:color w:val="0000FF"/>
                  <w:szCs w:val="24"/>
                  <w:u w:val="single"/>
                  <w:lang w:eastAsia="en-GB"/>
                </w:rPr>
                <w:t>Green Book (chapter 34)</w:t>
              </w:r>
            </w:hyperlink>
            <w:r w:rsidRPr="00F30AE3">
              <w:rPr>
                <w:rFonts w:eastAsia="Times New Roman" w:cs="Arial"/>
                <w:szCs w:val="24"/>
                <w:lang w:eastAsia="en-GB"/>
              </w:rPr>
              <w:t xml:space="preserve"> and </w:t>
            </w:r>
            <w:hyperlink r:id="rId59" w:tgtFrame="_blank" w:history="1">
              <w:r w:rsidRPr="00F30AE3">
                <w:rPr>
                  <w:rFonts w:eastAsia="Times New Roman" w:cs="Arial"/>
                  <w:color w:val="0000FF"/>
                  <w:szCs w:val="24"/>
                  <w:u w:val="single"/>
                  <w:lang w:eastAsia="en-GB"/>
                </w:rPr>
                <w:t>PHE guidance</w:t>
              </w:r>
            </w:hyperlink>
            <w:r w:rsidRPr="00F30AE3">
              <w:rPr>
                <w:rFonts w:eastAsia="Times New Roman" w:cs="Arial"/>
                <w:szCs w:val="24"/>
                <w:lang w:eastAsia="en-GB"/>
              </w:rPr>
              <w:t xml:space="preserve"> for detailed advice on risk assessment and post exposure prophylaxis. </w:t>
            </w:r>
          </w:p>
          <w:p w14:paraId="17A2EF3D" w14:textId="1CA759E3"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C1756" w:rsidRPr="00F30AE3" w14:paraId="121D5EF6" w14:textId="77777777" w:rsidTr="396AAE02">
        <w:trPr>
          <w:trHeight w:val="78"/>
          <w:jc w:val="center"/>
        </w:trPr>
        <w:tc>
          <w:tcPr>
            <w:tcW w:w="5227" w:type="dxa"/>
            <w:gridSpan w:val="2"/>
            <w:tcBorders>
              <w:bottom w:val="single" w:sz="4" w:space="0" w:color="auto"/>
            </w:tcBorders>
            <w:shd w:val="clear" w:color="auto" w:fill="auto"/>
          </w:tcPr>
          <w:p w14:paraId="5B80858D"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Liver function tests</w:t>
            </w:r>
            <w:r w:rsidRPr="00F30AE3">
              <w:rPr>
                <w:rFonts w:eastAsia="Times New Roman" w:cs="Arial"/>
                <w:color w:val="000000"/>
                <w:szCs w:val="24"/>
                <w:lang w:eastAsia="en-GB"/>
              </w:rPr>
              <w:t>: </w:t>
            </w:r>
          </w:p>
          <w:p w14:paraId="6E389FDC" w14:textId="77777777"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ALT or AST &gt; 3 x upper limit of normal (ULN), or any sudden increases (e.g. double of baseline), OR Unexplained fall in serum albumin &lt;30g/L </w:t>
            </w:r>
          </w:p>
          <w:p w14:paraId="44FF10ED" w14:textId="07B60DB5"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2A65B46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Withhold and discuss with specialist team. </w:t>
            </w:r>
          </w:p>
          <w:p w14:paraId="08391D15" w14:textId="49E71A16"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any other reason for risk of hepatic dysfunction such as alcohol history and drug interactions, including OTC or complementary medication.</w:t>
            </w:r>
          </w:p>
        </w:tc>
      </w:tr>
      <w:tr w:rsidR="002C1756" w:rsidRPr="00F30AE3" w14:paraId="17877724" w14:textId="77777777" w:rsidTr="396AAE02">
        <w:trPr>
          <w:trHeight w:val="78"/>
          <w:jc w:val="center"/>
        </w:trPr>
        <w:tc>
          <w:tcPr>
            <w:tcW w:w="5227" w:type="dxa"/>
            <w:gridSpan w:val="2"/>
            <w:tcBorders>
              <w:bottom w:val="single" w:sz="4" w:space="0" w:color="auto"/>
            </w:tcBorders>
            <w:shd w:val="clear" w:color="auto" w:fill="auto"/>
          </w:tcPr>
          <w:p w14:paraId="03B82EF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Renal function</w:t>
            </w:r>
            <w:r w:rsidRPr="00F30AE3">
              <w:rPr>
                <w:rFonts w:eastAsia="Times New Roman" w:cs="Arial"/>
                <w:color w:val="000000"/>
                <w:szCs w:val="24"/>
                <w:lang w:eastAsia="en-GB"/>
              </w:rPr>
              <w:t>:  </w:t>
            </w:r>
          </w:p>
          <w:p w14:paraId="440E3769" w14:textId="77777777"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Creatinine rise &gt;30% over 12 months, or calculated GFR reduces to &lt;60ml/min </w:t>
            </w:r>
          </w:p>
          <w:p w14:paraId="0EC60364" w14:textId="0C26B584"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7D49C76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Withhold and discuss with specialist team  </w:t>
            </w:r>
          </w:p>
          <w:p w14:paraId="5D7CCB13" w14:textId="17C3DC4C" w:rsidR="002C1756" w:rsidRPr="00F30AE3" w:rsidRDefault="002C1756" w:rsidP="00EF4D31">
            <w:pPr>
              <w:rPr>
                <w:rFonts w:eastAsia="Times New Roman"/>
                <w:lang w:eastAsia="en-GB"/>
              </w:rPr>
            </w:pPr>
          </w:p>
        </w:tc>
      </w:tr>
      <w:tr w:rsidR="002C1756" w:rsidRPr="00F30AE3" w14:paraId="1E67F3AD" w14:textId="77777777" w:rsidTr="396AAE02">
        <w:trPr>
          <w:trHeight w:val="78"/>
          <w:jc w:val="center"/>
        </w:trPr>
        <w:tc>
          <w:tcPr>
            <w:tcW w:w="5227" w:type="dxa"/>
            <w:gridSpan w:val="2"/>
            <w:tcBorders>
              <w:bottom w:val="single" w:sz="4" w:space="0" w:color="auto"/>
            </w:tcBorders>
            <w:shd w:val="clear" w:color="auto" w:fill="auto"/>
          </w:tcPr>
          <w:p w14:paraId="3D217B14"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lastRenderedPageBreak/>
              <w:t>Gastrointestinal disorders</w:t>
            </w:r>
            <w:r w:rsidRPr="00F30AE3">
              <w:rPr>
                <w:rFonts w:eastAsia="Times New Roman" w:cs="Arial"/>
                <w:color w:val="000000"/>
                <w:szCs w:val="24"/>
                <w:lang w:eastAsia="en-GB"/>
              </w:rPr>
              <w:t>: </w:t>
            </w:r>
          </w:p>
          <w:p w14:paraId="78B5E752" w14:textId="0FE9A23C"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Very common adverse effects include nausea and vomiting, abdominal cramps, diarrhoea and dyspepsia. </w:t>
            </w:r>
          </w:p>
        </w:tc>
        <w:tc>
          <w:tcPr>
            <w:tcW w:w="5228" w:type="dxa"/>
            <w:tcBorders>
              <w:bottom w:val="single" w:sz="4" w:space="0" w:color="auto"/>
            </w:tcBorders>
            <w:shd w:val="clear" w:color="auto" w:fill="auto"/>
          </w:tcPr>
          <w:p w14:paraId="1A4CC96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Advise patient to take with food. If no improvement contact specialist team. </w:t>
            </w:r>
          </w:p>
          <w:p w14:paraId="75782D1F" w14:textId="552619C5" w:rsidR="002C1756" w:rsidRPr="00F30AE3" w:rsidRDefault="002C1756" w:rsidP="00EF4D31">
            <w:pPr>
              <w:rPr>
                <w:rFonts w:eastAsia="Times New Roman"/>
                <w:lang w:eastAsia="en-GB"/>
              </w:rPr>
            </w:pPr>
          </w:p>
        </w:tc>
      </w:tr>
      <w:tr w:rsidR="002C1756" w:rsidRPr="00F30AE3" w14:paraId="496A14A5" w14:textId="77777777" w:rsidTr="396AAE02">
        <w:trPr>
          <w:trHeight w:val="78"/>
          <w:jc w:val="center"/>
        </w:trPr>
        <w:tc>
          <w:tcPr>
            <w:tcW w:w="5227" w:type="dxa"/>
            <w:gridSpan w:val="2"/>
            <w:tcBorders>
              <w:bottom w:val="single" w:sz="4" w:space="0" w:color="auto"/>
            </w:tcBorders>
            <w:shd w:val="clear" w:color="auto" w:fill="auto"/>
          </w:tcPr>
          <w:p w14:paraId="67EFC8E9"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GI ulceration, bleeding and perforation  </w:t>
            </w:r>
          </w:p>
          <w:p w14:paraId="2DF41464" w14:textId="5E7B816F" w:rsidR="002C1756" w:rsidRPr="00F30AE3" w:rsidRDefault="002C1756" w:rsidP="00EF4D31">
            <w:pPr>
              <w:spacing w:after="120"/>
              <w:rPr>
                <w:rFonts w:eastAsia="Times New Roman"/>
                <w:b/>
                <w:bCs/>
                <w:lang w:eastAsia="en-GB"/>
              </w:rPr>
            </w:pPr>
          </w:p>
        </w:tc>
        <w:tc>
          <w:tcPr>
            <w:tcW w:w="5228" w:type="dxa"/>
            <w:tcBorders>
              <w:bottom w:val="single" w:sz="4" w:space="0" w:color="auto"/>
            </w:tcBorders>
            <w:shd w:val="clear" w:color="auto" w:fill="auto"/>
          </w:tcPr>
          <w:p w14:paraId="07BF1A8C" w14:textId="23FF9165"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urgently with specialist team. </w:t>
            </w:r>
          </w:p>
        </w:tc>
      </w:tr>
      <w:tr w:rsidR="00267AE2" w:rsidRPr="00F30AE3" w14:paraId="1ED2A645" w14:textId="77777777" w:rsidTr="396AAE02">
        <w:trPr>
          <w:trHeight w:val="78"/>
          <w:jc w:val="center"/>
        </w:trPr>
        <w:tc>
          <w:tcPr>
            <w:tcW w:w="5227" w:type="dxa"/>
            <w:gridSpan w:val="2"/>
            <w:tcBorders>
              <w:bottom w:val="single" w:sz="4" w:space="0" w:color="auto"/>
            </w:tcBorders>
            <w:shd w:val="clear" w:color="auto" w:fill="auto"/>
          </w:tcPr>
          <w:p w14:paraId="48D3FDAB" w14:textId="2B866A8F"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Suspected pancreatitis </w:t>
            </w:r>
          </w:p>
        </w:tc>
        <w:tc>
          <w:tcPr>
            <w:tcW w:w="5228" w:type="dxa"/>
            <w:tcBorders>
              <w:bottom w:val="single" w:sz="4" w:space="0" w:color="auto"/>
            </w:tcBorders>
            <w:shd w:val="clear" w:color="auto" w:fill="auto"/>
          </w:tcPr>
          <w:p w14:paraId="38441E47" w14:textId="77777777" w:rsidR="00267AE2" w:rsidRPr="00F30AE3" w:rsidRDefault="00267AE2" w:rsidP="00267AE2">
            <w:pPr>
              <w:spacing w:before="100" w:beforeAutospacing="1" w:after="100" w:afterAutospacing="1"/>
              <w:textAlignment w:val="baseline"/>
              <w:rPr>
                <w:rFonts w:eastAsia="Times New Roman" w:cs="Arial"/>
                <w:color w:val="000000"/>
                <w:szCs w:val="24"/>
                <w:lang w:eastAsia="en-GB"/>
              </w:rPr>
            </w:pPr>
            <w:r w:rsidRPr="00F30AE3">
              <w:rPr>
                <w:rFonts w:eastAsia="Times New Roman" w:cs="Arial"/>
                <w:color w:val="000000"/>
                <w:szCs w:val="24"/>
                <w:lang w:eastAsia="en-GB"/>
              </w:rPr>
              <w:t>Withhold and discuss with specialist team </w:t>
            </w:r>
          </w:p>
          <w:p w14:paraId="07B75208" w14:textId="064C4D74"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67AE2" w:rsidRPr="00F30AE3" w14:paraId="34F7A37D" w14:textId="77777777" w:rsidTr="396AAE02">
        <w:trPr>
          <w:trHeight w:val="78"/>
          <w:jc w:val="center"/>
        </w:trPr>
        <w:tc>
          <w:tcPr>
            <w:tcW w:w="5227" w:type="dxa"/>
            <w:gridSpan w:val="2"/>
            <w:tcBorders>
              <w:bottom w:val="single" w:sz="4" w:space="0" w:color="auto"/>
            </w:tcBorders>
            <w:shd w:val="clear" w:color="auto" w:fill="auto"/>
          </w:tcPr>
          <w:p w14:paraId="3702DD19"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Skin disorders</w:t>
            </w:r>
            <w:r w:rsidRPr="00F30AE3">
              <w:rPr>
                <w:rFonts w:eastAsia="Times New Roman" w:cs="Arial"/>
                <w:color w:val="000000"/>
                <w:szCs w:val="24"/>
                <w:lang w:eastAsia="en-GB"/>
              </w:rPr>
              <w:t>: </w:t>
            </w:r>
          </w:p>
          <w:p w14:paraId="03E8E692"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Skin hypertrophy, acne, alopecia </w:t>
            </w:r>
          </w:p>
          <w:p w14:paraId="6CFD28B4"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470F6738" w14:textId="6684F9E3"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Discuss with specialist team if symptoms become troublesome. </w:t>
            </w:r>
          </w:p>
        </w:tc>
      </w:tr>
      <w:tr w:rsidR="00267AE2" w:rsidRPr="00F30AE3" w14:paraId="0645721D" w14:textId="77777777" w:rsidTr="396AAE02">
        <w:trPr>
          <w:trHeight w:val="78"/>
          <w:jc w:val="center"/>
        </w:trPr>
        <w:tc>
          <w:tcPr>
            <w:tcW w:w="5227" w:type="dxa"/>
            <w:gridSpan w:val="2"/>
            <w:tcBorders>
              <w:bottom w:val="single" w:sz="4" w:space="0" w:color="auto"/>
            </w:tcBorders>
            <w:shd w:val="clear" w:color="auto" w:fill="auto"/>
          </w:tcPr>
          <w:p w14:paraId="1167483B"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Rash </w:t>
            </w:r>
          </w:p>
          <w:p w14:paraId="1B47CB94"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362062A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possible causes. If cause of rash thought to be mycophenolate or immune-mediated, withhold and discuss with specialist team. </w:t>
            </w:r>
          </w:p>
          <w:p w14:paraId="2C59A616" w14:textId="16221F88"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67AE2" w:rsidRPr="00F30AE3" w14:paraId="5A0BCA63" w14:textId="77777777" w:rsidTr="396AAE02">
        <w:trPr>
          <w:trHeight w:val="78"/>
          <w:jc w:val="center"/>
        </w:trPr>
        <w:tc>
          <w:tcPr>
            <w:tcW w:w="5227" w:type="dxa"/>
            <w:gridSpan w:val="2"/>
            <w:tcBorders>
              <w:bottom w:val="single" w:sz="4" w:space="0" w:color="auto"/>
            </w:tcBorders>
            <w:shd w:val="clear" w:color="auto" w:fill="auto"/>
          </w:tcPr>
          <w:p w14:paraId="2CE6B50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Other:</w:t>
            </w:r>
            <w:r w:rsidRPr="00F30AE3">
              <w:rPr>
                <w:rFonts w:eastAsia="Times New Roman" w:cs="Arial"/>
                <w:color w:val="000000"/>
                <w:szCs w:val="24"/>
                <w:lang w:eastAsia="en-GB"/>
              </w:rPr>
              <w:t> </w:t>
            </w:r>
          </w:p>
          <w:p w14:paraId="0424A6C5"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Neurological symptoms, psychiatric disorders, sudden onset or worsening of shortness of breath, cough or dyspnoea </w:t>
            </w:r>
          </w:p>
          <w:p w14:paraId="580F4410" w14:textId="7AD979DA"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429985D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with specialist team. </w:t>
            </w:r>
          </w:p>
          <w:p w14:paraId="5CB2FFCA" w14:textId="77777777" w:rsidR="00267AE2" w:rsidRPr="00F30AE3" w:rsidRDefault="00267AE2" w:rsidP="00EF4D31">
            <w:pPr>
              <w:rPr>
                <w:rFonts w:eastAsia="Times New Roman"/>
                <w:lang w:eastAsia="en-GB"/>
              </w:rPr>
            </w:pPr>
          </w:p>
        </w:tc>
      </w:tr>
      <w:tr w:rsidR="00267AE2" w:rsidRPr="00F30AE3" w14:paraId="709DB4D0" w14:textId="77777777" w:rsidTr="396AAE02">
        <w:trPr>
          <w:trHeight w:val="78"/>
          <w:jc w:val="center"/>
        </w:trPr>
        <w:tc>
          <w:tcPr>
            <w:tcW w:w="5227" w:type="dxa"/>
            <w:gridSpan w:val="2"/>
            <w:tcBorders>
              <w:bottom w:val="single" w:sz="4" w:space="0" w:color="auto"/>
            </w:tcBorders>
            <w:shd w:val="clear" w:color="auto" w:fill="auto"/>
          </w:tcPr>
          <w:p w14:paraId="075C0C0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Suspicion of malignancy </w:t>
            </w:r>
          </w:p>
          <w:p w14:paraId="11602849"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30F636B6" w14:textId="38D14283"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Discuss with specialist team. Refer for diagnosis and treatment of malignancy </w:t>
            </w:r>
          </w:p>
        </w:tc>
      </w:tr>
      <w:tr w:rsidR="002C1756" w:rsidRPr="00F30AE3" w14:paraId="2008B3A6" w14:textId="77777777" w:rsidTr="396AAE02">
        <w:trPr>
          <w:jc w:val="center"/>
        </w:trPr>
        <w:tc>
          <w:tcPr>
            <w:tcW w:w="10455" w:type="dxa"/>
            <w:gridSpan w:val="3"/>
            <w:tcBorders>
              <w:bottom w:val="nil"/>
            </w:tcBorders>
            <w:shd w:val="clear" w:color="auto" w:fill="F2F2F2" w:themeFill="background1" w:themeFillShade="F2"/>
          </w:tcPr>
          <w:p w14:paraId="077ED3AB" w14:textId="17AE4BBA" w:rsidR="002C1756" w:rsidRPr="00F30AE3" w:rsidRDefault="002C1756" w:rsidP="00EF4D31">
            <w:pPr>
              <w:pStyle w:val="Heading1"/>
              <w:tabs>
                <w:tab w:val="right" w:pos="10240"/>
              </w:tabs>
              <w:ind w:left="599" w:hanging="599"/>
              <w:rPr>
                <w:lang w:eastAsia="en-GB"/>
              </w:rPr>
            </w:pPr>
            <w:bookmarkStart w:id="16" w:name="Eleven_advice_to_patients"/>
            <w:r w:rsidRPr="00F30AE3">
              <w:rPr>
                <w:lang w:eastAsia="en-GB"/>
              </w:rPr>
              <w:lastRenderedPageBreak/>
              <w:t>Advice to patients and carers</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16"/>
          <w:p w14:paraId="3F28EC94" w14:textId="278AF31B" w:rsidR="002C1756" w:rsidRPr="00F30AE3" w:rsidRDefault="002C1756" w:rsidP="00EF4D31">
            <w:pPr>
              <w:rPr>
                <w:lang w:eastAsia="en-GB"/>
              </w:rPr>
            </w:pPr>
            <w:r w:rsidRPr="00F30AE3">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F30AE3" w14:paraId="2A2B1EB7" w14:textId="77777777" w:rsidTr="396AAE02">
        <w:trPr>
          <w:jc w:val="center"/>
        </w:trPr>
        <w:tc>
          <w:tcPr>
            <w:tcW w:w="10455" w:type="dxa"/>
            <w:gridSpan w:val="3"/>
            <w:tcBorders>
              <w:top w:val="nil"/>
              <w:bottom w:val="single" w:sz="4" w:space="0" w:color="auto"/>
            </w:tcBorders>
            <w:shd w:val="clear" w:color="auto" w:fill="auto"/>
          </w:tcPr>
          <w:p w14:paraId="3152BB18" w14:textId="77777777" w:rsidR="00267AE2" w:rsidRPr="00F30AE3" w:rsidRDefault="00267AE2" w:rsidP="00267AE2">
            <w:pPr>
              <w:pStyle w:val="paragraph"/>
              <w:spacing w:line="360" w:lineRule="atLeast"/>
              <w:textAlignment w:val="baseline"/>
              <w:rPr>
                <w:rFonts w:ascii="Arial" w:hAnsi="Arial" w:cs="Arial"/>
              </w:rPr>
            </w:pPr>
            <w:r w:rsidRPr="00F30AE3">
              <w:rPr>
                <w:rStyle w:val="normaltextrun"/>
                <w:rFonts w:ascii="Arial" w:hAnsi="Arial" w:cs="Arial"/>
                <w:b/>
                <w:bCs/>
              </w:rPr>
              <w:t>The patient should be advised to report any of the following signs or symptoms to their primary care prescriber without delay:          </w:t>
            </w:r>
            <w:r w:rsidRPr="00F30AE3">
              <w:rPr>
                <w:rStyle w:val="eop"/>
                <w:rFonts w:ascii="Arial" w:hAnsi="Arial" w:cs="Arial"/>
              </w:rPr>
              <w:t> </w:t>
            </w:r>
          </w:p>
          <w:p w14:paraId="27805DBA"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Rash</w:t>
            </w:r>
            <w:r w:rsidRPr="00F30AE3">
              <w:rPr>
                <w:rStyle w:val="eop"/>
                <w:rFonts w:ascii="Arial" w:hAnsi="Arial" w:cs="Arial"/>
                <w:color w:val="000000"/>
              </w:rPr>
              <w:t> </w:t>
            </w:r>
          </w:p>
          <w:p w14:paraId="33DC34BD"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Abdominal pain or jaundice (skin or whites of the eyes appear yellow)</w:t>
            </w:r>
            <w:r w:rsidRPr="00F30AE3">
              <w:rPr>
                <w:rStyle w:val="eop"/>
                <w:rFonts w:ascii="Arial" w:hAnsi="Arial" w:cs="Arial"/>
                <w:color w:val="000000"/>
              </w:rPr>
              <w:t> </w:t>
            </w:r>
          </w:p>
          <w:p w14:paraId="3EC4DFDC"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Signs and symptoms suggestive of bone marrow suppression e.g. sore throat, oral ulceration, abnormal bruising or bleeding, or signs of infection. </w:t>
            </w:r>
            <w:r w:rsidRPr="00F30AE3">
              <w:rPr>
                <w:rStyle w:val="eop"/>
                <w:rFonts w:ascii="Arial" w:hAnsi="Arial" w:cs="Arial"/>
                <w:color w:val="000000"/>
              </w:rPr>
              <w:t> </w:t>
            </w:r>
          </w:p>
          <w:p w14:paraId="0E142602"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Exposure to chickenpox or shingles or if the patient develops chicken pox or shingles.</w:t>
            </w:r>
            <w:r w:rsidRPr="00F30AE3">
              <w:rPr>
                <w:rStyle w:val="eop"/>
                <w:rFonts w:ascii="Arial" w:hAnsi="Arial" w:cs="Arial"/>
                <w:color w:val="000000"/>
              </w:rPr>
              <w:t> </w:t>
            </w:r>
          </w:p>
          <w:p w14:paraId="62E3BE02" w14:textId="64A0F642"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Pregnancy or planning to become pregnant</w:t>
            </w:r>
            <w:r w:rsidRPr="00F30AE3">
              <w:rPr>
                <w:rStyle w:val="eop"/>
                <w:rFonts w:ascii="Arial" w:hAnsi="Arial" w:cs="Arial"/>
                <w:color w:val="000000"/>
              </w:rPr>
              <w:t> </w:t>
            </w:r>
          </w:p>
          <w:p w14:paraId="6EF96D72" w14:textId="241BCBB3" w:rsidR="00267AE2" w:rsidRPr="00F30AE3" w:rsidRDefault="00267AE2" w:rsidP="00267AE2">
            <w:pPr>
              <w:pStyle w:val="paragraph"/>
              <w:spacing w:line="360" w:lineRule="atLeast"/>
              <w:textAlignment w:val="baseline"/>
              <w:rPr>
                <w:rFonts w:ascii="Arial" w:hAnsi="Arial" w:cs="Arial"/>
              </w:rPr>
            </w:pPr>
            <w:r w:rsidRPr="00F30AE3">
              <w:rPr>
                <w:rStyle w:val="eop"/>
                <w:rFonts w:ascii="Arial" w:hAnsi="Arial" w:cs="Arial"/>
              </w:rPr>
              <w:t> </w:t>
            </w:r>
            <w:r w:rsidRPr="00F30AE3">
              <w:rPr>
                <w:rStyle w:val="normaltextrun"/>
                <w:rFonts w:ascii="Arial" w:hAnsi="Arial" w:cs="Arial"/>
                <w:b/>
                <w:bCs/>
              </w:rPr>
              <w:t>The patient should be advised:</w:t>
            </w:r>
            <w:r w:rsidRPr="00F30AE3">
              <w:rPr>
                <w:rStyle w:val="eop"/>
                <w:rFonts w:ascii="Arial" w:hAnsi="Arial" w:cs="Arial"/>
              </w:rPr>
              <w:t> </w:t>
            </w:r>
          </w:p>
          <w:p w14:paraId="762337A7"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During a serious infection (requiring antibiotics) mycophenolate mofetil should be temporarily discontinued until the patient has recovered from the infection.</w:t>
            </w:r>
            <w:r w:rsidRPr="00F30AE3">
              <w:rPr>
                <w:rStyle w:val="eop"/>
                <w:rFonts w:ascii="Arial" w:hAnsi="Arial" w:cs="Arial"/>
              </w:rPr>
              <w:t> </w:t>
            </w:r>
          </w:p>
          <w:p w14:paraId="73B8AC50"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If exposed to chickenpox or shingles patient must alert their primary care prescriber or specialist team and seek advice. </w:t>
            </w:r>
            <w:r w:rsidRPr="00F30AE3">
              <w:rPr>
                <w:rStyle w:val="eop"/>
                <w:rFonts w:ascii="Arial" w:hAnsi="Arial" w:cs="Arial"/>
              </w:rPr>
              <w:t> </w:t>
            </w:r>
          </w:p>
          <w:p w14:paraId="2BBB2F41"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That vaccination in line with current national advice (e.g. for COVID-19, influenza) is safe and recommended.</w:t>
            </w:r>
            <w:r w:rsidRPr="00F30AE3">
              <w:rPr>
                <w:rStyle w:val="eop"/>
                <w:rFonts w:ascii="Arial" w:hAnsi="Arial" w:cs="Arial"/>
              </w:rPr>
              <w:t> </w:t>
            </w:r>
          </w:p>
          <w:p w14:paraId="72A4D7BC"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Tell anyone who prescribes them a medicine that they are taking mycophenolate. Always ask a pharmacist before purchasing any medicines over the counter, including herbal remedies, and ask if they are safe.</w:t>
            </w:r>
            <w:r w:rsidRPr="00F30AE3">
              <w:rPr>
                <w:rStyle w:val="eop"/>
                <w:rFonts w:ascii="Arial" w:hAnsi="Arial" w:cs="Arial"/>
              </w:rPr>
              <w:t> </w:t>
            </w:r>
          </w:p>
          <w:p w14:paraId="4E51C701"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r w:rsidRPr="00F30AE3">
              <w:rPr>
                <w:rStyle w:val="eop"/>
                <w:rFonts w:ascii="Arial" w:hAnsi="Arial" w:cs="Arial"/>
              </w:rPr>
              <w:t> </w:t>
            </w:r>
          </w:p>
          <w:p w14:paraId="0C366713"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Mycophenolate mofetil may cause somnolence, confusion, dizziness, tremor or hypotension, and therefore patients are advised to use caution when driving or using machines.</w:t>
            </w:r>
            <w:r w:rsidRPr="00F30AE3">
              <w:rPr>
                <w:rStyle w:val="eop"/>
                <w:rFonts w:ascii="Arial" w:hAnsi="Arial" w:cs="Arial"/>
              </w:rPr>
              <w:t> </w:t>
            </w:r>
          </w:p>
          <w:p w14:paraId="0F803EA2" w14:textId="7BC367F8"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color w:val="000000"/>
              </w:rPr>
              <w:t xml:space="preserve">To use effective contraception, and to take a pregnancy test if they think they could be pregnant. Patients should inform the specialist or GP immediately if they or their partners become </w:t>
            </w:r>
            <w:r w:rsidR="004D3E91" w:rsidRPr="00F30AE3">
              <w:rPr>
                <w:rStyle w:val="normaltextrun"/>
                <w:rFonts w:ascii="Arial" w:hAnsi="Arial" w:cs="Arial"/>
                <w:color w:val="000000"/>
              </w:rPr>
              <w:t>pregnant or</w:t>
            </w:r>
            <w:r w:rsidRPr="00F30AE3">
              <w:rPr>
                <w:rStyle w:val="normaltextrun"/>
                <w:rFonts w:ascii="Arial" w:hAnsi="Arial" w:cs="Arial"/>
                <w:color w:val="000000"/>
              </w:rPr>
              <w:t xml:space="preserve"> are planning a pregnancy.</w:t>
            </w:r>
            <w:r w:rsidRPr="00F30AE3">
              <w:rPr>
                <w:rStyle w:val="eop"/>
                <w:rFonts w:ascii="Arial" w:hAnsi="Arial" w:cs="Arial"/>
                <w:color w:val="000000"/>
              </w:rPr>
              <w:t> </w:t>
            </w:r>
          </w:p>
          <w:p w14:paraId="50643C4F"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color w:val="000000"/>
              </w:rPr>
              <w:t>Not to donate blood during treatment or for 6 weeks after stopping, and not to donate semen during treatment or for 90 days after stopping.</w:t>
            </w:r>
            <w:r w:rsidRPr="00F30AE3">
              <w:rPr>
                <w:rStyle w:val="eop"/>
                <w:rFonts w:ascii="Arial" w:hAnsi="Arial" w:cs="Arial"/>
                <w:color w:val="000000"/>
              </w:rPr>
              <w:t> </w:t>
            </w:r>
          </w:p>
          <w:p w14:paraId="62F1C370"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lastRenderedPageBreak/>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r w:rsidRPr="00F30AE3">
              <w:rPr>
                <w:rStyle w:val="eop"/>
                <w:rFonts w:ascii="Arial" w:hAnsi="Arial" w:cs="Arial"/>
              </w:rPr>
              <w:t> </w:t>
            </w:r>
          </w:p>
          <w:p w14:paraId="06A892AB" w14:textId="77777777" w:rsidR="00267AE2" w:rsidRPr="00F30AE3" w:rsidRDefault="00267AE2" w:rsidP="001150CD">
            <w:pPr>
              <w:pStyle w:val="paragraph"/>
              <w:numPr>
                <w:ilvl w:val="1"/>
                <w:numId w:val="18"/>
              </w:numPr>
              <w:spacing w:line="360" w:lineRule="atLeast"/>
              <w:textAlignment w:val="baseline"/>
              <w:rPr>
                <w:rFonts w:ascii="Arial" w:hAnsi="Arial" w:cs="Arial"/>
              </w:rPr>
            </w:pPr>
            <w:r w:rsidRPr="00F30AE3">
              <w:rPr>
                <w:rStyle w:val="normaltextrun"/>
                <w:rFonts w:ascii="Arial" w:hAnsi="Arial" w:cs="Arial"/>
              </w:rPr>
              <w:t xml:space="preserve">the </w:t>
            </w:r>
            <w:hyperlink r:id="rId60" w:tgtFrame="_blank" w:history="1">
              <w:r w:rsidRPr="00F30AE3">
                <w:rPr>
                  <w:rStyle w:val="normaltextrun"/>
                  <w:rFonts w:ascii="Arial" w:hAnsi="Arial" w:cs="Arial"/>
                  <w:color w:val="0000FF"/>
                  <w:u w:val="single"/>
                </w:rPr>
                <w:t>Green Book (Chapter 34)</w:t>
              </w:r>
            </w:hyperlink>
            <w:r w:rsidRPr="00F30AE3">
              <w:rPr>
                <w:rStyle w:val="normaltextrun"/>
                <w:rFonts w:ascii="Arial" w:hAnsi="Arial" w:cs="Arial"/>
              </w:rPr>
              <w:t> </w:t>
            </w:r>
            <w:r w:rsidRPr="00F30AE3">
              <w:rPr>
                <w:rStyle w:val="eop"/>
                <w:rFonts w:ascii="Arial" w:hAnsi="Arial" w:cs="Arial"/>
              </w:rPr>
              <w:t> </w:t>
            </w:r>
          </w:p>
          <w:p w14:paraId="7ED6ED5E" w14:textId="749FDFBC" w:rsidR="00267AE2" w:rsidRPr="00F30AE3" w:rsidRDefault="002964C4" w:rsidP="001150CD">
            <w:pPr>
              <w:pStyle w:val="paragraph"/>
              <w:numPr>
                <w:ilvl w:val="1"/>
                <w:numId w:val="18"/>
              </w:numPr>
              <w:spacing w:line="360" w:lineRule="atLeast"/>
              <w:textAlignment w:val="baseline"/>
              <w:rPr>
                <w:rFonts w:ascii="Arial" w:hAnsi="Arial" w:cs="Arial"/>
              </w:rPr>
            </w:pPr>
            <w:r w:rsidRPr="00F30AE3">
              <w:rPr>
                <w:rStyle w:val="normaltextrun"/>
                <w:rFonts w:ascii="Arial" w:hAnsi="Arial" w:cs="Arial"/>
              </w:rPr>
              <w:t xml:space="preserve">UKHSA </w:t>
            </w:r>
            <w:r w:rsidR="00267AE2" w:rsidRPr="00F30AE3">
              <w:rPr>
                <w:rStyle w:val="normaltextrun"/>
                <w:rFonts w:ascii="Arial" w:hAnsi="Arial" w:cs="Arial"/>
              </w:rPr>
              <w:t>guidance:</w:t>
            </w:r>
            <w:r w:rsidRPr="00F30AE3">
              <w:rPr>
                <w:rStyle w:val="normaltextrun"/>
                <w:rFonts w:ascii="Arial" w:hAnsi="Arial" w:cs="Arial"/>
              </w:rPr>
              <w:t xml:space="preserve"> </w:t>
            </w:r>
            <w:hyperlink r:id="rId61" w:history="1">
              <w:r w:rsidRPr="00F30AE3">
                <w:rPr>
                  <w:rStyle w:val="Hyperlink"/>
                  <w:rFonts w:ascii="Arial" w:hAnsi="Arial" w:cs="Arial"/>
                </w:rPr>
                <w:t>Guidelines on post exposure prophylaxis (PEP) for varicella/shingles</w:t>
              </w:r>
            </w:hyperlink>
            <w:r w:rsidRPr="00F30AE3">
              <w:rPr>
                <w:rStyle w:val="normaltextrun"/>
                <w:rFonts w:ascii="Arial" w:hAnsi="Arial" w:cs="Arial"/>
              </w:rPr>
              <w:t xml:space="preserve">. </w:t>
            </w:r>
            <w:r w:rsidR="00267AE2" w:rsidRPr="00F30AE3">
              <w:rPr>
                <w:rStyle w:val="eop"/>
                <w:rFonts w:ascii="Arial" w:hAnsi="Arial" w:cs="Arial"/>
              </w:rPr>
              <w:t> </w:t>
            </w:r>
          </w:p>
          <w:p w14:paraId="6E452C10" w14:textId="6879CD6E" w:rsidR="00267AE2" w:rsidRPr="00F30AE3" w:rsidRDefault="00267AE2" w:rsidP="00267AE2">
            <w:pPr>
              <w:pStyle w:val="paragraph"/>
              <w:spacing w:line="360" w:lineRule="atLeast"/>
              <w:textAlignment w:val="baseline"/>
              <w:rPr>
                <w:rFonts w:ascii="Arial" w:hAnsi="Arial" w:cs="Arial"/>
              </w:rPr>
            </w:pPr>
            <w:r w:rsidRPr="00F30AE3">
              <w:rPr>
                <w:rStyle w:val="normaltextrun"/>
                <w:rFonts w:ascii="Arial" w:hAnsi="Arial" w:cs="Arial"/>
                <w:u w:val="single"/>
              </w:rPr>
              <w:t>Patient information leaflets</w:t>
            </w:r>
            <w:r w:rsidRPr="00F30AE3">
              <w:rPr>
                <w:rStyle w:val="normaltextrun"/>
                <w:rFonts w:ascii="Arial" w:hAnsi="Arial" w:cs="Arial"/>
              </w:rPr>
              <w:t>:</w:t>
            </w:r>
            <w:r w:rsidRPr="00F30AE3">
              <w:rPr>
                <w:rStyle w:val="eop"/>
                <w:rFonts w:ascii="Arial" w:hAnsi="Arial" w:cs="Arial"/>
              </w:rPr>
              <w:t> </w:t>
            </w:r>
          </w:p>
          <w:p w14:paraId="6EB84B02"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General information: </w:t>
            </w:r>
            <w:hyperlink r:id="rId62" w:tgtFrame="_blank" w:history="1">
              <w:r w:rsidRPr="00F30AE3">
                <w:rPr>
                  <w:rStyle w:val="normaltextrun"/>
                  <w:rFonts w:ascii="Arial" w:hAnsi="Arial" w:cs="Arial"/>
                  <w:color w:val="0000FF"/>
                  <w:u w:val="single"/>
                </w:rPr>
                <w:t>https://patient.info/medicine/mycophenolate-mofetil-cellcept-myfenax</w:t>
              </w:r>
            </w:hyperlink>
            <w:r w:rsidRPr="00F30AE3">
              <w:rPr>
                <w:rStyle w:val="normaltextrun"/>
                <w:rFonts w:ascii="Arial" w:hAnsi="Arial" w:cs="Arial"/>
                <w:color w:val="000000"/>
              </w:rPr>
              <w:t> </w:t>
            </w:r>
            <w:r w:rsidRPr="00F30AE3">
              <w:rPr>
                <w:rStyle w:val="eop"/>
                <w:rFonts w:ascii="Arial" w:hAnsi="Arial" w:cs="Arial"/>
                <w:color w:val="000000"/>
              </w:rPr>
              <w:t> </w:t>
            </w:r>
          </w:p>
          <w:p w14:paraId="2F228CD4"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Rheumatology: </w:t>
            </w:r>
            <w:hyperlink r:id="rId63" w:tgtFrame="_blank" w:history="1">
              <w:r w:rsidRPr="00F30AE3">
                <w:rPr>
                  <w:rStyle w:val="normaltextrun"/>
                  <w:rFonts w:ascii="Arial" w:hAnsi="Arial" w:cs="Arial"/>
                  <w:color w:val="0000FF"/>
                  <w:u w:val="single"/>
                </w:rPr>
                <w:t>https://www.versusarthritis.org/about-arthritis/treatments/drugs/mycophenolate/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5B8179A8"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Dermatology: </w:t>
            </w:r>
            <w:hyperlink r:id="rId64" w:tgtFrame="_blank" w:history="1">
              <w:r w:rsidRPr="00F30AE3">
                <w:rPr>
                  <w:rStyle w:val="normaltextrun"/>
                  <w:rFonts w:ascii="Arial" w:hAnsi="Arial" w:cs="Arial"/>
                  <w:color w:val="0000FF"/>
                  <w:u w:val="single"/>
                </w:rPr>
                <w:t>https://www.bad.org.uk/for-the-public/patient-information-leaflets/mycophenolate-mofetil</w:t>
              </w:r>
            </w:hyperlink>
            <w:r w:rsidRPr="00F30AE3">
              <w:rPr>
                <w:rStyle w:val="normaltextrun"/>
                <w:rFonts w:ascii="Arial" w:hAnsi="Arial" w:cs="Arial"/>
                <w:color w:val="000000"/>
              </w:rPr>
              <w:t> </w:t>
            </w:r>
            <w:r w:rsidRPr="00F30AE3">
              <w:rPr>
                <w:rStyle w:val="eop"/>
                <w:rFonts w:ascii="Arial" w:hAnsi="Arial" w:cs="Arial"/>
                <w:color w:val="000000"/>
              </w:rPr>
              <w:t> </w:t>
            </w:r>
          </w:p>
          <w:p w14:paraId="5EBEF464" w14:textId="77777777" w:rsidR="00267AE2" w:rsidRPr="00F30AE3" w:rsidRDefault="00267AE2" w:rsidP="00267AE2">
            <w:pPr>
              <w:pStyle w:val="paragraph"/>
              <w:spacing w:line="360" w:lineRule="atLeast"/>
              <w:textAlignment w:val="baseline"/>
              <w:rPr>
                <w:rStyle w:val="eop"/>
                <w:rFonts w:ascii="Arial" w:hAnsi="Arial" w:cs="Arial"/>
                <w:color w:val="000000"/>
              </w:rPr>
            </w:pPr>
            <w:r w:rsidRPr="00F30AE3">
              <w:rPr>
                <w:rStyle w:val="normaltextrun"/>
                <w:rFonts w:ascii="Arial" w:hAnsi="Arial" w:cs="Arial"/>
                <w:color w:val="000000"/>
              </w:rPr>
              <w:t xml:space="preserve">Patient information leaflets are also available from </w:t>
            </w:r>
            <w:hyperlink r:id="rId65" w:tgtFrame="_blank" w:history="1">
              <w:r w:rsidRPr="00F30AE3">
                <w:rPr>
                  <w:rStyle w:val="normaltextrun"/>
                  <w:rFonts w:ascii="Arial" w:hAnsi="Arial" w:cs="Arial"/>
                  <w:color w:val="0000FF"/>
                  <w:u w:val="single"/>
                </w:rPr>
                <w:t>https://www.medicines.org.uk/emc/search?q=mycophenolate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54A71DB2" w14:textId="57A7E311" w:rsidR="002C1756" w:rsidRPr="00F30AE3" w:rsidRDefault="002C1756" w:rsidP="00267AE2">
            <w:pPr>
              <w:pStyle w:val="paragraph"/>
              <w:spacing w:line="360" w:lineRule="atLeast"/>
              <w:textAlignment w:val="baseline"/>
              <w:rPr>
                <w:rFonts w:ascii="Arial" w:hAnsi="Arial" w:cs="Arial"/>
                <w:color w:val="000000"/>
              </w:rPr>
            </w:pPr>
            <w:r w:rsidRPr="00F30AE3">
              <w:t xml:space="preserve"> </w:t>
            </w:r>
          </w:p>
        </w:tc>
      </w:tr>
      <w:tr w:rsidR="002C1756" w:rsidRPr="00F30AE3" w14:paraId="79305DF7" w14:textId="77777777" w:rsidTr="396AAE02">
        <w:trPr>
          <w:jc w:val="center"/>
        </w:trPr>
        <w:tc>
          <w:tcPr>
            <w:tcW w:w="10455" w:type="dxa"/>
            <w:gridSpan w:val="3"/>
            <w:tcBorders>
              <w:bottom w:val="nil"/>
            </w:tcBorders>
            <w:shd w:val="clear" w:color="auto" w:fill="F2F2F2" w:themeFill="background1" w:themeFillShade="F2"/>
          </w:tcPr>
          <w:p w14:paraId="2E2ABBD7" w14:textId="4FC17E28" w:rsidR="002C1756" w:rsidRPr="00F30AE3" w:rsidRDefault="002C1756" w:rsidP="00487028">
            <w:pPr>
              <w:pStyle w:val="Heading1"/>
              <w:tabs>
                <w:tab w:val="right" w:pos="10240"/>
              </w:tabs>
              <w:ind w:left="599" w:hanging="599"/>
              <w:rPr>
                <w:lang w:eastAsia="en-GB"/>
              </w:rPr>
            </w:pPr>
            <w:bookmarkStart w:id="17" w:name="Twelve_pregnancy_paternity"/>
            <w:r w:rsidRPr="00F30AE3">
              <w:rPr>
                <w:lang w:eastAsia="en-GB"/>
              </w:rPr>
              <w:lastRenderedPageBreak/>
              <w:t>Pregnancy, paternal exposure and breast feeding</w:t>
            </w:r>
            <w:bookmarkEnd w:id="17"/>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5B7A2D80" w14:textId="3874F34F" w:rsidR="002C1756" w:rsidRPr="00F30AE3" w:rsidRDefault="002C1756" w:rsidP="00487028">
            <w:pPr>
              <w:rPr>
                <w:color w:val="000000"/>
                <w:lang w:eastAsia="en-GB"/>
              </w:rPr>
            </w:pPr>
            <w:r w:rsidRPr="00F30AE3">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F30AE3" w14:paraId="24C2F939" w14:textId="77777777" w:rsidTr="396AAE02">
        <w:trPr>
          <w:jc w:val="center"/>
        </w:trPr>
        <w:tc>
          <w:tcPr>
            <w:tcW w:w="10455" w:type="dxa"/>
            <w:gridSpan w:val="3"/>
            <w:tcBorders>
              <w:top w:val="nil"/>
              <w:bottom w:val="single" w:sz="4" w:space="0" w:color="auto"/>
            </w:tcBorders>
            <w:shd w:val="clear" w:color="auto" w:fill="auto"/>
          </w:tcPr>
          <w:p w14:paraId="3FC3BF5C" w14:textId="77777777" w:rsidR="00267AE2" w:rsidRPr="00F30AE3" w:rsidRDefault="002C1756" w:rsidP="00267AE2">
            <w:pPr>
              <w:pStyle w:val="paragraph"/>
              <w:spacing w:before="0" w:beforeAutospacing="0" w:after="0" w:afterAutospacing="0" w:line="360" w:lineRule="atLeast"/>
              <w:textAlignment w:val="baseline"/>
              <w:rPr>
                <w:rFonts w:ascii="Arial" w:hAnsi="Arial" w:cs="Arial"/>
              </w:rPr>
            </w:pPr>
            <w:r w:rsidRPr="00F30AE3">
              <w:t xml:space="preserve"> </w:t>
            </w:r>
            <w:r w:rsidR="00267AE2" w:rsidRPr="00F30AE3">
              <w:rPr>
                <w:rStyle w:val="normaltextrun"/>
                <w:rFonts w:ascii="Arial" w:hAnsi="Arial" w:cs="Arial"/>
                <w:b/>
                <w:bCs/>
                <w:color w:val="000000"/>
              </w:rPr>
              <w:t>All patients should be informed of the risks and benefits of taking this medicine during pregnancy and breastfeeding. The specialist team should be contacted if a patient becomes pregnant or is planning to become pregnant or breastfeed.</w:t>
            </w:r>
            <w:r w:rsidR="00267AE2" w:rsidRPr="00F30AE3">
              <w:rPr>
                <w:rStyle w:val="eop"/>
                <w:rFonts w:ascii="Arial" w:hAnsi="Arial" w:cs="Arial"/>
                <w:color w:val="000000"/>
              </w:rPr>
              <w:t> </w:t>
            </w:r>
          </w:p>
          <w:p w14:paraId="5390F1F4"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7A9F0D0E"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Pregnancy</w:t>
            </w:r>
            <w:r w:rsidRPr="00F30AE3">
              <w:rPr>
                <w:rStyle w:val="normaltextrun"/>
                <w:rFonts w:ascii="Arial" w:hAnsi="Arial" w:cs="Arial"/>
                <w:b/>
                <w:bCs/>
                <w:color w:val="000000"/>
              </w:rPr>
              <w:t>:</w:t>
            </w:r>
            <w:r w:rsidRPr="00F30AE3">
              <w:rPr>
                <w:rStyle w:val="eop"/>
                <w:rFonts w:ascii="Arial" w:hAnsi="Arial" w:cs="Arial"/>
                <w:color w:val="000000"/>
              </w:rPr>
              <w:t> </w:t>
            </w:r>
          </w:p>
          <w:p w14:paraId="42C4D61C"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Mycophenolate is contraindicated during pregnancy or breastfeeding. Contraception should be used for 6 weeks after stopping the drug.</w:t>
            </w:r>
            <w:r w:rsidRPr="00F30AE3">
              <w:rPr>
                <w:rStyle w:val="normaltextrun"/>
                <w:rFonts w:ascii="Arial" w:hAnsi="Arial" w:cs="Arial"/>
                <w:color w:val="000000"/>
              </w:rPr>
              <w:t> </w:t>
            </w:r>
            <w:r w:rsidRPr="00F30AE3">
              <w:rPr>
                <w:rStyle w:val="eop"/>
                <w:rFonts w:ascii="Arial" w:hAnsi="Arial" w:cs="Arial"/>
                <w:color w:val="000000"/>
              </w:rPr>
              <w:t> </w:t>
            </w:r>
          </w:p>
          <w:p w14:paraId="1456CC1D"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Because of the genotoxic and teratogenic potential of mycophenolate mofetil, people of childbearing potential must use at least one highly effective form of contraception before and during treatment and for six weeks after stopping mycophenolate unless abstinence is the chosen method of contraception.  Two forms of contraception used simultaneously are </w:t>
            </w:r>
            <w:r w:rsidRPr="00F30AE3">
              <w:rPr>
                <w:rStyle w:val="normaltextrun"/>
                <w:rFonts w:ascii="Arial" w:hAnsi="Arial" w:cs="Arial"/>
                <w:color w:val="000000"/>
              </w:rPr>
              <w:lastRenderedPageBreak/>
              <w:t xml:space="preserve">preferred. See </w:t>
            </w:r>
            <w:hyperlink r:id="rId66" w:tgtFrame="_blank" w:history="1">
              <w:r w:rsidRPr="00F30AE3">
                <w:rPr>
                  <w:rStyle w:val="normaltextrun"/>
                  <w:rFonts w:ascii="Arial" w:hAnsi="Arial" w:cs="Arial"/>
                  <w:color w:val="0000FF"/>
                  <w:u w:val="single"/>
                </w:rPr>
                <w:t>MHRA Drug safety update</w:t>
              </w:r>
            </w:hyperlink>
            <w:r w:rsidRPr="00F30AE3">
              <w:rPr>
                <w:rStyle w:val="normaltextrun"/>
                <w:rFonts w:ascii="Arial" w:hAnsi="Arial" w:cs="Arial"/>
                <w:color w:val="0000FF"/>
              </w:rPr>
              <w:t xml:space="preserve"> </w:t>
            </w:r>
            <w:r w:rsidRPr="00F30AE3">
              <w:rPr>
                <w:rStyle w:val="normaltextrun"/>
                <w:rFonts w:ascii="Arial" w:hAnsi="Arial" w:cs="Arial"/>
                <w:color w:val="000000"/>
              </w:rPr>
              <w:t>and</w:t>
            </w:r>
            <w:r w:rsidRPr="00F30AE3">
              <w:rPr>
                <w:rStyle w:val="normaltextrun"/>
                <w:rFonts w:ascii="Arial" w:hAnsi="Arial" w:cs="Arial"/>
                <w:color w:val="0000FF"/>
              </w:rPr>
              <w:t xml:space="preserve"> </w:t>
            </w:r>
            <w:hyperlink r:id="rId67" w:tgtFrame="_blank" w:history="1">
              <w:r w:rsidRPr="00F30AE3">
                <w:rPr>
                  <w:rStyle w:val="normaltextrun"/>
                  <w:rFonts w:ascii="Arial" w:hAnsi="Arial" w:cs="Arial"/>
                  <w:color w:val="0000FF"/>
                  <w:u w:val="single"/>
                </w:rPr>
                <w:t>letter sent to healthcare professionals</w:t>
              </w:r>
            </w:hyperlink>
            <w:r w:rsidRPr="00F30AE3">
              <w:rPr>
                <w:rStyle w:val="normaltextrun"/>
                <w:rFonts w:ascii="Arial" w:hAnsi="Arial" w:cs="Arial"/>
                <w:color w:val="000000"/>
              </w:rPr>
              <w:t>. See also more recent advice:</w:t>
            </w:r>
            <w:r w:rsidRPr="00F30AE3">
              <w:rPr>
                <w:rStyle w:val="eop"/>
                <w:rFonts w:ascii="Arial" w:hAnsi="Arial" w:cs="Arial"/>
                <w:color w:val="000000"/>
              </w:rPr>
              <w:t> </w:t>
            </w:r>
          </w:p>
          <w:p w14:paraId="7FC6A35F" w14:textId="77777777" w:rsidR="001150CD" w:rsidRPr="00F30AE3" w:rsidRDefault="003244FB" w:rsidP="001150CD">
            <w:pPr>
              <w:pStyle w:val="paragraph"/>
              <w:numPr>
                <w:ilvl w:val="0"/>
                <w:numId w:val="19"/>
              </w:numPr>
              <w:spacing w:before="0" w:beforeAutospacing="0" w:after="0" w:afterAutospacing="0" w:line="360" w:lineRule="atLeast"/>
              <w:textAlignment w:val="baseline"/>
              <w:rPr>
                <w:rFonts w:ascii="Arial" w:hAnsi="Arial" w:cs="Arial"/>
              </w:rPr>
            </w:pPr>
            <w:hyperlink r:id="rId68" w:anchor="need-for-pregnancy-testing" w:tgtFrame="_blank" w:history="1">
              <w:r w:rsidR="00267AE2" w:rsidRPr="00F30AE3">
                <w:rPr>
                  <w:rStyle w:val="normaltextrun"/>
                  <w:rFonts w:ascii="Arial" w:hAnsi="Arial" w:cs="Arial"/>
                  <w:color w:val="0000FF"/>
                  <w:u w:val="single"/>
                </w:rPr>
                <w:t>MHRA Drug Safety Update: Medicines with teratogenic potential: what is effective contraception and how often is pregnancy testing needed?</w:t>
              </w:r>
            </w:hyperlink>
            <w:r w:rsidR="00267AE2" w:rsidRPr="00F30AE3">
              <w:rPr>
                <w:rStyle w:val="eop"/>
                <w:rFonts w:ascii="Arial" w:hAnsi="Arial" w:cs="Arial"/>
                <w:color w:val="000000"/>
              </w:rPr>
              <w:t> </w:t>
            </w:r>
          </w:p>
          <w:p w14:paraId="380DF52B" w14:textId="50DB1522" w:rsidR="00267AE2" w:rsidRPr="00F30AE3" w:rsidRDefault="003244FB" w:rsidP="001150CD">
            <w:pPr>
              <w:pStyle w:val="paragraph"/>
              <w:numPr>
                <w:ilvl w:val="0"/>
                <w:numId w:val="19"/>
              </w:numPr>
              <w:spacing w:before="0" w:beforeAutospacing="0" w:after="0" w:afterAutospacing="0" w:line="360" w:lineRule="atLeast"/>
              <w:textAlignment w:val="baseline"/>
              <w:rPr>
                <w:rFonts w:ascii="Arial" w:hAnsi="Arial" w:cs="Arial"/>
              </w:rPr>
            </w:pPr>
            <w:hyperlink r:id="rId69" w:tgtFrame="_blank" w:history="1">
              <w:r w:rsidR="00267AE2" w:rsidRPr="00F30AE3">
                <w:rPr>
                  <w:rStyle w:val="normaltextrun"/>
                  <w:rFonts w:ascii="Arial" w:hAnsi="Arial" w:cs="Arial"/>
                  <w:color w:val="0000FF"/>
                  <w:u w:val="single"/>
                </w:rPr>
                <w:t>Faculty of Sexual and Reproductive Healthcare statement on contraception for women using known teratogenic drugs or drugs with potential teratogenic effects</w:t>
              </w:r>
            </w:hyperlink>
            <w:r w:rsidR="00267AE2" w:rsidRPr="00F30AE3">
              <w:rPr>
                <w:rStyle w:val="normaltextrun"/>
                <w:rFonts w:ascii="Arial" w:hAnsi="Arial" w:cs="Arial"/>
                <w:color w:val="000000"/>
              </w:rPr>
              <w:t>.</w:t>
            </w:r>
            <w:r w:rsidR="00267AE2" w:rsidRPr="00F30AE3">
              <w:rPr>
                <w:rStyle w:val="eop"/>
                <w:rFonts w:ascii="Arial" w:hAnsi="Arial" w:cs="Arial"/>
                <w:color w:val="000000"/>
              </w:rPr>
              <w:t> </w:t>
            </w:r>
          </w:p>
          <w:p w14:paraId="0BF3E6E0" w14:textId="77777777" w:rsidR="001150CD" w:rsidRPr="00F30AE3" w:rsidRDefault="001150CD" w:rsidP="00267AE2">
            <w:pPr>
              <w:pStyle w:val="paragraph"/>
              <w:spacing w:before="0" w:beforeAutospacing="0" w:after="0" w:afterAutospacing="0" w:line="360" w:lineRule="atLeast"/>
              <w:textAlignment w:val="baseline"/>
              <w:rPr>
                <w:rStyle w:val="normaltextrun"/>
                <w:rFonts w:ascii="Arial" w:hAnsi="Arial" w:cs="Arial"/>
                <w:color w:val="000000"/>
              </w:rPr>
            </w:pPr>
          </w:p>
          <w:p w14:paraId="0A834B57" w14:textId="5402D6B6"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Methods of contraception which are considered ‘highly effective’ in this context include the long-acting reversible contraceptives (LARC) copper intrauterine device (Cu-IUD), levonorgestrel intrauterine system (LNG-IUS) and progestogen-only implant (IMP) and male and female sterilisation, all of which have a failure rate of less than 1% with typical use. (Note that patients using IMP must not take any interacting drugs that could reduce contraceptive effectiveness).</w:t>
            </w:r>
            <w:r w:rsidRPr="00F30AE3">
              <w:rPr>
                <w:rStyle w:val="eop"/>
                <w:rFonts w:ascii="Arial" w:hAnsi="Arial" w:cs="Arial"/>
                <w:color w:val="000000"/>
              </w:rPr>
              <w:t> </w:t>
            </w:r>
          </w:p>
          <w:p w14:paraId="69EDFE7A"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healthcare professionals: </w:t>
            </w:r>
            <w:hyperlink r:id="rId70" w:tgtFrame="_blank" w:history="1">
              <w:r w:rsidRPr="00F30AE3">
                <w:rPr>
                  <w:rStyle w:val="normaltextrun"/>
                  <w:rFonts w:ascii="Arial" w:hAnsi="Arial" w:cs="Arial"/>
                  <w:color w:val="0000FF"/>
                  <w:u w:val="single"/>
                </w:rPr>
                <w:t>https://www.medicinesinpregnancy.org/bumps/monographs/USE-OF-MYCOPHENOLATE-MOFETIL-IN-PREGNANCY/</w:t>
              </w:r>
            </w:hyperlink>
            <w:r w:rsidRPr="00F30AE3">
              <w:rPr>
                <w:rStyle w:val="normaltextrun"/>
                <w:rFonts w:ascii="Arial" w:hAnsi="Arial" w:cs="Arial"/>
                <w:color w:val="000000"/>
              </w:rPr>
              <w:t> </w:t>
            </w:r>
            <w:r w:rsidRPr="00F30AE3">
              <w:rPr>
                <w:rStyle w:val="eop"/>
                <w:rFonts w:ascii="Arial" w:hAnsi="Arial" w:cs="Arial"/>
                <w:color w:val="000000"/>
              </w:rPr>
              <w:t> </w:t>
            </w:r>
          </w:p>
          <w:p w14:paraId="6A487F29"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patients and carers: </w:t>
            </w:r>
            <w:hyperlink r:id="rId71" w:tgtFrame="_blank" w:history="1">
              <w:r w:rsidRPr="00F30AE3">
                <w:rPr>
                  <w:rStyle w:val="normaltextrun"/>
                  <w:rFonts w:ascii="Arial" w:hAnsi="Arial" w:cs="Arial"/>
                  <w:color w:val="0000FF"/>
                  <w:u w:val="single"/>
                </w:rPr>
                <w:t>https://www.medicinesinpregnancy.org/Medicine--pregnancy/Mycophenolate/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7A4336DC"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7F9C967F"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Breastfeeding</w:t>
            </w:r>
            <w:r w:rsidRPr="00F30AE3">
              <w:rPr>
                <w:rStyle w:val="normaltextrun"/>
                <w:rFonts w:ascii="Arial" w:hAnsi="Arial" w:cs="Arial"/>
                <w:b/>
                <w:bCs/>
                <w:color w:val="000000"/>
              </w:rPr>
              <w:t>:</w:t>
            </w:r>
            <w:r w:rsidRPr="00F30AE3">
              <w:rPr>
                <w:rStyle w:val="eop"/>
                <w:rFonts w:ascii="Arial" w:hAnsi="Arial" w:cs="Arial"/>
                <w:color w:val="000000"/>
              </w:rPr>
              <w:t> </w:t>
            </w:r>
          </w:p>
          <w:p w14:paraId="35467AA7"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Mycophenolate should not be prescribed for people who are breastfeeding </w:t>
            </w:r>
            <w:r w:rsidRPr="00F30AE3">
              <w:rPr>
                <w:rStyle w:val="eop"/>
                <w:rFonts w:ascii="Arial" w:hAnsi="Arial" w:cs="Arial"/>
                <w:color w:val="000000"/>
              </w:rPr>
              <w:t> </w:t>
            </w:r>
          </w:p>
          <w:p w14:paraId="6BDC1D86"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healthcare professionals: </w:t>
            </w:r>
            <w:hyperlink r:id="rId72" w:tgtFrame="_blank" w:history="1">
              <w:r w:rsidRPr="00F30AE3">
                <w:rPr>
                  <w:rStyle w:val="normaltextrun"/>
                  <w:rFonts w:ascii="Arial" w:hAnsi="Arial" w:cs="Arial"/>
                  <w:color w:val="0000FF"/>
                  <w:u w:val="single"/>
                </w:rPr>
                <w:t>https://www.sps.nhs.uk/medicines/mycophenolate-mofetil/</w:t>
              </w:r>
            </w:hyperlink>
            <w:r w:rsidRPr="00F30AE3">
              <w:rPr>
                <w:rStyle w:val="normaltextrun"/>
                <w:rFonts w:ascii="Arial" w:hAnsi="Arial" w:cs="Arial"/>
                <w:color w:val="000000"/>
              </w:rPr>
              <w:t> </w:t>
            </w:r>
            <w:r w:rsidRPr="00F30AE3">
              <w:rPr>
                <w:rStyle w:val="eop"/>
                <w:rFonts w:ascii="Arial" w:hAnsi="Arial" w:cs="Arial"/>
                <w:color w:val="000000"/>
              </w:rPr>
              <w:t> </w:t>
            </w:r>
          </w:p>
          <w:p w14:paraId="76659B1B"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32FC5DB6"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Paternal exposure</w:t>
            </w:r>
            <w:r w:rsidRPr="00F30AE3">
              <w:rPr>
                <w:rStyle w:val="normaltextrun"/>
                <w:rFonts w:ascii="Arial" w:hAnsi="Arial" w:cs="Arial"/>
                <w:color w:val="000000"/>
              </w:rPr>
              <w:t>:</w:t>
            </w:r>
            <w:r w:rsidRPr="00F30AE3">
              <w:rPr>
                <w:rStyle w:val="eop"/>
                <w:rFonts w:ascii="Arial" w:hAnsi="Arial" w:cs="Arial"/>
                <w:color w:val="000000"/>
              </w:rPr>
              <w:t> </w:t>
            </w:r>
          </w:p>
          <w:p w14:paraId="16A3CF2F"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Limited evidence does not indicate an increased risk of malformations or miscarriages in pregnancies where the father is taking mycophenolate.  However, mycophenolate is genotoxic and the risk cannot be fully excluded.  It is therefore recommended that male patients or their female partners use reliable contraception during treatment, and for at least 90 days after stopping mycophenolate. See MHRA Drug Safety Update: </w:t>
            </w:r>
            <w:hyperlink r:id="rId73" w:tgtFrame="_blank" w:history="1">
              <w:r w:rsidRPr="00F30AE3">
                <w:rPr>
                  <w:rStyle w:val="normaltextrun"/>
                  <w:rFonts w:ascii="Arial" w:hAnsi="Arial" w:cs="Arial"/>
                  <w:color w:val="0000FF"/>
                  <w:u w:val="single"/>
                </w:rPr>
                <w:t>Mycophenolate mofetil, mycophenolic acid, updated contraception advice for male patients (Feb 2018)</w:t>
              </w:r>
            </w:hyperlink>
            <w:r w:rsidRPr="00F30AE3">
              <w:rPr>
                <w:rStyle w:val="eop"/>
                <w:rFonts w:ascii="Arial" w:hAnsi="Arial" w:cs="Arial"/>
                <w:color w:val="0000FF"/>
              </w:rPr>
              <w:t> </w:t>
            </w:r>
          </w:p>
          <w:p w14:paraId="28BE39FA" w14:textId="64C36AA2" w:rsidR="002C1756" w:rsidRPr="00F30AE3" w:rsidRDefault="002C1756" w:rsidP="00267AE2">
            <w:pPr>
              <w:rPr>
                <w:rFonts w:eastAsia="Times New Roman" w:cs="Arial"/>
                <w:color w:val="000000"/>
                <w:lang w:eastAsia="en-GB"/>
              </w:rPr>
            </w:pPr>
          </w:p>
        </w:tc>
      </w:tr>
    </w:tbl>
    <w:p w14:paraId="73A4DAE7" w14:textId="77777777" w:rsidR="00846A4A" w:rsidRPr="00F30AE3" w:rsidRDefault="00846A4A">
      <w:bookmarkStart w:id="18" w:name="Thirteen_specialist_contact"/>
      <w:r w:rsidRPr="00F30AE3">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F30AE3" w14:paraId="3A78E10C" w14:textId="77777777" w:rsidTr="007C7494">
        <w:trPr>
          <w:jc w:val="center"/>
        </w:trPr>
        <w:tc>
          <w:tcPr>
            <w:tcW w:w="10455" w:type="dxa"/>
            <w:tcBorders>
              <w:bottom w:val="nil"/>
            </w:tcBorders>
            <w:shd w:val="clear" w:color="auto" w:fill="F2F2F2"/>
          </w:tcPr>
          <w:p w14:paraId="2536982E" w14:textId="5A651A0A" w:rsidR="002C1756" w:rsidRPr="00F30AE3" w:rsidRDefault="002C1756" w:rsidP="007F3977">
            <w:pPr>
              <w:pStyle w:val="Heading1"/>
              <w:tabs>
                <w:tab w:val="right" w:pos="10238"/>
              </w:tabs>
              <w:ind w:left="599" w:hanging="599"/>
              <w:rPr>
                <w:lang w:eastAsia="en-GB"/>
              </w:rPr>
            </w:pPr>
            <w:r w:rsidRPr="00F30AE3">
              <w:rPr>
                <w:lang w:eastAsia="en-GB"/>
              </w:rPr>
              <w:lastRenderedPageBreak/>
              <w:t>Specialist contact information</w:t>
            </w:r>
            <w:bookmarkEnd w:id="18"/>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4CD4F732" w14:textId="77777777" w:rsidTr="007C7494">
        <w:trPr>
          <w:jc w:val="center"/>
        </w:trPr>
        <w:tc>
          <w:tcPr>
            <w:tcW w:w="10455" w:type="dxa"/>
            <w:tcBorders>
              <w:top w:val="nil"/>
              <w:bottom w:val="single" w:sz="4" w:space="0" w:color="auto"/>
            </w:tcBorders>
            <w:shd w:val="clear" w:color="auto" w:fill="auto"/>
          </w:tcPr>
          <w:p w14:paraId="48A50075" w14:textId="3BBD9C81" w:rsidR="00133CD2" w:rsidRPr="008F7C65" w:rsidRDefault="00133CD2" w:rsidP="00133CD2">
            <w:pPr>
              <w:spacing w:before="60" w:after="60"/>
              <w:rPr>
                <w:rFonts w:eastAsia="Times New Roman" w:cstheme="minorHAnsi"/>
              </w:rPr>
            </w:pPr>
            <w:r w:rsidRPr="008F7C65">
              <w:rPr>
                <w:rFonts w:eastAsia="Times New Roman" w:cstheme="minorHAnsi"/>
              </w:rPr>
              <w:t xml:space="preserve">Name: </w:t>
            </w:r>
            <w:permStart w:id="1771719410" w:edGrp="everyone"/>
            <w:r w:rsidRPr="008F7C65">
              <w:rPr>
                <w:rFonts w:eastAsia="Times New Roman" w:cstheme="minorHAnsi"/>
              </w:rPr>
              <w:t>insert nam</w:t>
            </w:r>
            <w:r w:rsidR="00AA5C93">
              <w:t>e</w:t>
            </w:r>
            <w:r w:rsidRPr="008F7C65">
              <w:rPr>
                <w:rFonts w:eastAsia="Times New Roman" w:cstheme="minorHAnsi"/>
              </w:rPr>
              <w:t xml:space="preserve"> </w:t>
            </w:r>
            <w:permEnd w:id="1771719410"/>
          </w:p>
          <w:p w14:paraId="7D0F6629" w14:textId="71A2B24E" w:rsidR="00133CD2" w:rsidRPr="008F7C65" w:rsidRDefault="00133CD2" w:rsidP="00133CD2">
            <w:pPr>
              <w:spacing w:before="60" w:after="60"/>
              <w:rPr>
                <w:rFonts w:eastAsia="Times New Roman" w:cstheme="minorHAnsi"/>
              </w:rPr>
            </w:pPr>
            <w:r w:rsidRPr="008F7C65">
              <w:rPr>
                <w:rFonts w:eastAsia="Times New Roman" w:cstheme="minorHAnsi"/>
              </w:rPr>
              <w:t xml:space="preserve">Role and specialty: </w:t>
            </w:r>
            <w:permStart w:id="773093114" w:edGrp="everyone"/>
            <w:r w:rsidRPr="008F7C65">
              <w:rPr>
                <w:rFonts w:eastAsia="Times New Roman" w:cstheme="minorHAnsi"/>
              </w:rPr>
              <w:t>insert role and</w:t>
            </w:r>
            <w:r w:rsidR="00DB5BD7">
              <w:t xml:space="preserve"> </w:t>
            </w:r>
            <w:r w:rsidRPr="008F7C65">
              <w:rPr>
                <w:rFonts w:eastAsia="Times New Roman" w:cstheme="minorHAnsi"/>
              </w:rPr>
              <w:t xml:space="preserve">speciality </w:t>
            </w:r>
            <w:permEnd w:id="773093114"/>
          </w:p>
          <w:p w14:paraId="52CF350B" w14:textId="77777777" w:rsidR="00133CD2" w:rsidRPr="008F7C65" w:rsidRDefault="00133CD2" w:rsidP="00133CD2">
            <w:pPr>
              <w:spacing w:before="60" w:after="60"/>
              <w:rPr>
                <w:rFonts w:eastAsia="Times New Roman" w:cstheme="minorHAnsi"/>
              </w:rPr>
            </w:pPr>
            <w:r w:rsidRPr="008F7C65">
              <w:rPr>
                <w:rFonts w:eastAsia="Times New Roman" w:cstheme="minorHAnsi"/>
              </w:rPr>
              <w:t xml:space="preserve">Daytime telephone number: </w:t>
            </w:r>
            <w:permStart w:id="1447458569" w:edGrp="everyone"/>
            <w:r w:rsidRPr="008F7C65">
              <w:rPr>
                <w:rFonts w:eastAsia="Times New Roman" w:cstheme="minorHAnsi"/>
              </w:rPr>
              <w:t xml:space="preserve">insert daytime telephone number </w:t>
            </w:r>
            <w:permEnd w:id="1447458569"/>
          </w:p>
          <w:p w14:paraId="7232D477" w14:textId="77777777" w:rsidR="00133CD2" w:rsidRPr="008F7C65" w:rsidRDefault="00133CD2" w:rsidP="00133CD2">
            <w:pPr>
              <w:spacing w:before="60" w:after="60"/>
              <w:rPr>
                <w:rFonts w:eastAsia="Times New Roman" w:cstheme="minorHAnsi"/>
              </w:rPr>
            </w:pPr>
            <w:r w:rsidRPr="008F7C65">
              <w:rPr>
                <w:rFonts w:eastAsia="Times New Roman" w:cstheme="minorHAnsi"/>
              </w:rPr>
              <w:t xml:space="preserve">Email address: </w:t>
            </w:r>
            <w:permStart w:id="237332940" w:edGrp="everyone"/>
            <w:r w:rsidRPr="008F7C65">
              <w:rPr>
                <w:rFonts w:eastAsia="Times New Roman" w:cstheme="minorHAnsi"/>
              </w:rPr>
              <w:t xml:space="preserve">insert email address </w:t>
            </w:r>
            <w:permEnd w:id="237332940"/>
          </w:p>
          <w:p w14:paraId="230DC188" w14:textId="77777777" w:rsidR="00133CD2" w:rsidRPr="008F7C65" w:rsidRDefault="00133CD2" w:rsidP="00133CD2">
            <w:pPr>
              <w:spacing w:before="60" w:after="60"/>
              <w:rPr>
                <w:rFonts w:eastAsia="Times New Roman" w:cstheme="minorHAnsi"/>
              </w:rPr>
            </w:pPr>
            <w:r w:rsidRPr="008F7C65">
              <w:rPr>
                <w:rFonts w:eastAsia="Times New Roman" w:cstheme="minorHAnsi"/>
              </w:rPr>
              <w:t xml:space="preserve">Alternative contact: insert contact information, e.g. for clinic or specialist nurse  </w:t>
            </w:r>
          </w:p>
          <w:p w14:paraId="37CB85AB" w14:textId="61C65240" w:rsidR="00A50B40" w:rsidRDefault="00133CD2" w:rsidP="00133CD2">
            <w:pPr>
              <w:spacing w:before="60" w:after="60" w:line="240" w:lineRule="auto"/>
              <w:rPr>
                <w:rFonts w:eastAsia="Times New Roman" w:cstheme="minorHAnsi"/>
              </w:rPr>
            </w:pPr>
            <w:r w:rsidRPr="008F7C65">
              <w:rPr>
                <w:rFonts w:eastAsia="Times New Roman" w:cstheme="minorHAnsi"/>
              </w:rPr>
              <w:t xml:space="preserve">Out of hours contact details: </w:t>
            </w:r>
            <w:permStart w:id="299439962" w:edGrp="everyone"/>
            <w:r w:rsidRPr="008F7C65">
              <w:rPr>
                <w:rFonts w:eastAsia="Times New Roman" w:cstheme="minorHAnsi"/>
              </w:rPr>
              <w:t>insert contact information, e.g. for duty doctor</w:t>
            </w:r>
            <w:permEnd w:id="299439962"/>
          </w:p>
          <w:p w14:paraId="12BF91B5" w14:textId="77777777" w:rsidR="00133CD2" w:rsidRPr="00F30AE3" w:rsidRDefault="00133CD2" w:rsidP="00133CD2">
            <w:pPr>
              <w:spacing w:before="60" w:after="60" w:line="240" w:lineRule="auto"/>
              <w:rPr>
                <w:rFonts w:eastAsia="Times New Roman" w:cs="Arial"/>
                <w:i/>
              </w:rPr>
            </w:pPr>
          </w:p>
          <w:p w14:paraId="11714EBC" w14:textId="77777777" w:rsidR="002C1756" w:rsidRPr="00F30AE3" w:rsidRDefault="002C1756" w:rsidP="002C1756">
            <w:pPr>
              <w:spacing w:before="60" w:after="60" w:line="240" w:lineRule="auto"/>
              <w:rPr>
                <w:rFonts w:eastAsia="Times New Roman" w:cs="Arial"/>
              </w:rPr>
            </w:pPr>
            <w:bookmarkStart w:id="19" w:name="_Hlk77610562"/>
            <w:r w:rsidRPr="00F30AE3">
              <w:rPr>
                <w:rFonts w:eastAsia="Times New Roman" w:cs="Arial"/>
                <w:b/>
              </w:rPr>
              <w:t>Valproate Safety Lead (Named Person)</w:t>
            </w:r>
          </w:p>
          <w:bookmarkEnd w:id="19"/>
          <w:p w14:paraId="357A12C2" w14:textId="77777777" w:rsidR="00133CD2" w:rsidRPr="008F7C65" w:rsidRDefault="00133CD2" w:rsidP="00133CD2">
            <w:pPr>
              <w:spacing w:before="60" w:after="60"/>
              <w:rPr>
                <w:rFonts w:eastAsia="Times New Roman" w:cstheme="minorHAnsi"/>
              </w:rPr>
            </w:pPr>
            <w:r w:rsidRPr="008F7C65">
              <w:rPr>
                <w:rFonts w:eastAsia="Times New Roman" w:cstheme="minorHAnsi"/>
              </w:rPr>
              <w:t xml:space="preserve">Name: </w:t>
            </w:r>
            <w:permStart w:id="203256869" w:edGrp="everyone"/>
            <w:r w:rsidRPr="008F7C65">
              <w:rPr>
                <w:rFonts w:eastAsia="Times New Roman" w:cstheme="minorHAnsi"/>
              </w:rPr>
              <w:t xml:space="preserve">insert name </w:t>
            </w:r>
            <w:permEnd w:id="203256869"/>
          </w:p>
          <w:p w14:paraId="272E7B43" w14:textId="77777777" w:rsidR="00133CD2" w:rsidRPr="008F7C65" w:rsidRDefault="00133CD2" w:rsidP="00133CD2">
            <w:pPr>
              <w:spacing w:before="60" w:after="60"/>
              <w:rPr>
                <w:rFonts w:eastAsia="Times New Roman" w:cstheme="minorHAnsi"/>
              </w:rPr>
            </w:pPr>
            <w:r w:rsidRPr="008F7C65">
              <w:rPr>
                <w:rFonts w:eastAsia="Times New Roman" w:cstheme="minorHAnsi"/>
              </w:rPr>
              <w:t xml:space="preserve">Role and specialty: </w:t>
            </w:r>
            <w:permStart w:id="376704964" w:edGrp="everyone"/>
            <w:r w:rsidRPr="008F7C65">
              <w:rPr>
                <w:rFonts w:eastAsia="Times New Roman" w:cstheme="minorHAnsi"/>
              </w:rPr>
              <w:t xml:space="preserve">insert role and speciality </w:t>
            </w:r>
            <w:permEnd w:id="376704964"/>
          </w:p>
          <w:p w14:paraId="3D3B8A90" w14:textId="77777777" w:rsidR="00133CD2" w:rsidRPr="008F7C65" w:rsidRDefault="00133CD2" w:rsidP="00133CD2">
            <w:pPr>
              <w:spacing w:before="60" w:after="60"/>
              <w:rPr>
                <w:rFonts w:eastAsia="Times New Roman" w:cstheme="minorHAnsi"/>
              </w:rPr>
            </w:pPr>
            <w:r w:rsidRPr="008F7C65">
              <w:rPr>
                <w:rFonts w:eastAsia="Times New Roman" w:cstheme="minorHAnsi"/>
              </w:rPr>
              <w:t xml:space="preserve">Daytime telephone number: </w:t>
            </w:r>
            <w:permStart w:id="691081587" w:edGrp="everyone"/>
            <w:r w:rsidRPr="008F7C65">
              <w:rPr>
                <w:rFonts w:eastAsia="Times New Roman" w:cstheme="minorHAnsi"/>
              </w:rPr>
              <w:t xml:space="preserve">insert daytime telephone number </w:t>
            </w:r>
            <w:permEnd w:id="691081587"/>
          </w:p>
          <w:p w14:paraId="303F8C42" w14:textId="77777777" w:rsidR="00133CD2" w:rsidRPr="008F7C65" w:rsidRDefault="00133CD2" w:rsidP="00133CD2">
            <w:pPr>
              <w:spacing w:before="60" w:after="60"/>
              <w:rPr>
                <w:rFonts w:eastAsia="Times New Roman" w:cstheme="minorHAnsi"/>
              </w:rPr>
            </w:pPr>
            <w:r w:rsidRPr="008F7C65">
              <w:rPr>
                <w:rFonts w:eastAsia="Times New Roman" w:cstheme="minorHAnsi"/>
              </w:rPr>
              <w:t xml:space="preserve">Email address: </w:t>
            </w:r>
            <w:permStart w:id="290803573" w:edGrp="everyone"/>
            <w:r w:rsidRPr="008F7C65">
              <w:rPr>
                <w:rFonts w:eastAsia="Times New Roman" w:cstheme="minorHAnsi"/>
              </w:rPr>
              <w:t xml:space="preserve">insert email address </w:t>
            </w:r>
            <w:permEnd w:id="290803573"/>
          </w:p>
          <w:p w14:paraId="68E5A417" w14:textId="75366CF8" w:rsidR="002C1756" w:rsidRPr="00F30AE3" w:rsidRDefault="002C1756" w:rsidP="002C1756">
            <w:pPr>
              <w:spacing w:before="60" w:after="60" w:line="240" w:lineRule="auto"/>
              <w:rPr>
                <w:rFonts w:eastAsia="Times New Roman" w:cs="Arial"/>
              </w:rPr>
            </w:pPr>
          </w:p>
        </w:tc>
      </w:tr>
      <w:tr w:rsidR="002C1756" w:rsidRPr="00F30AE3" w14:paraId="1AD14A2A" w14:textId="77777777" w:rsidTr="007C7494">
        <w:trPr>
          <w:jc w:val="center"/>
        </w:trPr>
        <w:tc>
          <w:tcPr>
            <w:tcW w:w="10455" w:type="dxa"/>
            <w:tcBorders>
              <w:bottom w:val="nil"/>
            </w:tcBorders>
            <w:shd w:val="clear" w:color="auto" w:fill="F2F2F2"/>
          </w:tcPr>
          <w:p w14:paraId="201683F6" w14:textId="41E7CC27" w:rsidR="002C1756" w:rsidRPr="00F30AE3" w:rsidRDefault="002C1756" w:rsidP="007F3977">
            <w:pPr>
              <w:pStyle w:val="Heading1"/>
              <w:tabs>
                <w:tab w:val="right" w:pos="10238"/>
              </w:tabs>
              <w:ind w:left="599" w:hanging="599"/>
              <w:rPr>
                <w:sz w:val="20"/>
                <w:lang w:val="en-US" w:eastAsia="en-GB"/>
              </w:rPr>
            </w:pPr>
            <w:bookmarkStart w:id="20" w:name="Fourteen_additional_info"/>
            <w:r w:rsidRPr="00F30AE3">
              <w:rPr>
                <w:lang w:eastAsia="en-GB"/>
              </w:rPr>
              <w:t>Additional information</w:t>
            </w:r>
            <w:bookmarkEnd w:id="20"/>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0650CF87" w14:textId="77777777" w:rsidTr="007C7494">
        <w:trPr>
          <w:jc w:val="center"/>
        </w:trPr>
        <w:tc>
          <w:tcPr>
            <w:tcW w:w="10455" w:type="dxa"/>
            <w:tcBorders>
              <w:top w:val="nil"/>
              <w:bottom w:val="single" w:sz="4" w:space="0" w:color="auto"/>
            </w:tcBorders>
            <w:shd w:val="clear" w:color="auto" w:fill="auto"/>
          </w:tcPr>
          <w:p w14:paraId="079D94A0" w14:textId="77777777" w:rsidR="002C1756" w:rsidRPr="00F30AE3" w:rsidRDefault="001150CD" w:rsidP="001150CD">
            <w:pPr>
              <w:spacing w:before="100" w:beforeAutospacing="1" w:after="100" w:afterAutospacing="1"/>
              <w:textAlignment w:val="baseline"/>
              <w:rPr>
                <w:rFonts w:eastAsia="Times New Roman" w:cs="Arial"/>
                <w:sz w:val="28"/>
                <w:szCs w:val="28"/>
                <w:lang w:eastAsia="en-GB"/>
              </w:rPr>
            </w:pPr>
            <w:r w:rsidRPr="00F30AE3">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 </w:t>
            </w:r>
          </w:p>
          <w:p w14:paraId="6F1EA946" w14:textId="334C0D0E" w:rsidR="001150CD" w:rsidRPr="00F30AE3" w:rsidRDefault="001150CD" w:rsidP="001150CD">
            <w:pPr>
              <w:spacing w:before="100" w:beforeAutospacing="1" w:after="100" w:afterAutospacing="1"/>
              <w:textAlignment w:val="baseline"/>
              <w:rPr>
                <w:rFonts w:eastAsia="Times New Roman" w:cs="Arial"/>
                <w:sz w:val="28"/>
                <w:szCs w:val="28"/>
                <w:lang w:eastAsia="en-GB"/>
              </w:rPr>
            </w:pPr>
          </w:p>
        </w:tc>
      </w:tr>
      <w:tr w:rsidR="002C1756" w:rsidRPr="00F30AE3" w14:paraId="40A4CE02" w14:textId="77777777" w:rsidTr="007C7494">
        <w:trPr>
          <w:jc w:val="center"/>
        </w:trPr>
        <w:tc>
          <w:tcPr>
            <w:tcW w:w="10455" w:type="dxa"/>
            <w:tcBorders>
              <w:bottom w:val="nil"/>
            </w:tcBorders>
            <w:shd w:val="clear" w:color="auto" w:fill="F2F2F2"/>
          </w:tcPr>
          <w:p w14:paraId="469E4408" w14:textId="3AC79B0D" w:rsidR="002C1756" w:rsidRPr="00F30AE3" w:rsidRDefault="002C1756" w:rsidP="007F3977">
            <w:pPr>
              <w:pStyle w:val="Heading1"/>
              <w:tabs>
                <w:tab w:val="right" w:pos="10240"/>
              </w:tabs>
              <w:ind w:left="599" w:hanging="599"/>
              <w:rPr>
                <w:lang w:eastAsia="en-GB"/>
              </w:rPr>
            </w:pPr>
            <w:bookmarkStart w:id="21" w:name="Fifteen_references"/>
            <w:r w:rsidRPr="00F30AE3">
              <w:rPr>
                <w:lang w:eastAsia="en-GB"/>
              </w:rPr>
              <w:t>References</w:t>
            </w:r>
            <w:bookmarkEnd w:id="21"/>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583AE708" w14:textId="77777777" w:rsidTr="007C7494">
        <w:trPr>
          <w:jc w:val="center"/>
        </w:trPr>
        <w:tc>
          <w:tcPr>
            <w:tcW w:w="10455" w:type="dxa"/>
            <w:tcBorders>
              <w:top w:val="nil"/>
              <w:bottom w:val="single" w:sz="4" w:space="0" w:color="auto"/>
            </w:tcBorders>
            <w:shd w:val="clear" w:color="auto" w:fill="auto"/>
          </w:tcPr>
          <w:p w14:paraId="2DB80EAE"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eBNF. Mycophenolate mofetil, last updated 26</w:t>
            </w:r>
            <w:r w:rsidRPr="00F30AE3">
              <w:rPr>
                <w:rStyle w:val="normaltextrun"/>
                <w:rFonts w:ascii="Arial" w:hAnsi="Arial" w:cs="Arial"/>
                <w:vertAlign w:val="superscript"/>
              </w:rPr>
              <w:t>th</w:t>
            </w:r>
            <w:r w:rsidRPr="00F30AE3">
              <w:rPr>
                <w:rStyle w:val="normaltextrun"/>
                <w:rFonts w:ascii="Arial" w:hAnsi="Arial" w:cs="Arial"/>
              </w:rPr>
              <w:t xml:space="preserve"> November 2020. Accessed via </w:t>
            </w:r>
            <w:hyperlink r:id="rId74" w:tgtFrame="_blank" w:history="1">
              <w:r w:rsidRPr="00F30AE3">
                <w:rPr>
                  <w:rStyle w:val="normaltextrun"/>
                  <w:rFonts w:ascii="Arial" w:hAnsi="Arial" w:cs="Arial"/>
                  <w:color w:val="0000FF"/>
                  <w:u w:val="single"/>
                </w:rPr>
                <w:t>www.medicinescomplete.com</w:t>
              </w:r>
            </w:hyperlink>
            <w:r w:rsidRPr="00F30AE3">
              <w:rPr>
                <w:rStyle w:val="normaltextrun"/>
                <w:rFonts w:ascii="Arial" w:hAnsi="Arial" w:cs="Arial"/>
              </w:rPr>
              <w:t xml:space="preserve"> on 05/07/2021</w:t>
            </w:r>
            <w:r w:rsidRPr="00F30AE3">
              <w:rPr>
                <w:rStyle w:val="eop"/>
                <w:rFonts w:ascii="Arial" w:hAnsi="Arial" w:cs="Arial"/>
              </w:rPr>
              <w:t> </w:t>
            </w:r>
          </w:p>
          <w:p w14:paraId="0917F139"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250 mg capsules (CellCept®). Date of revision of the text 03/03/2021. Accessed via</w:t>
            </w:r>
            <w:r w:rsidRPr="00F30AE3">
              <w:rPr>
                <w:rStyle w:val="normaltextrun"/>
                <w:rFonts w:ascii="Arial" w:hAnsi="Arial" w:cs="Arial"/>
                <w:color w:val="FF0000"/>
              </w:rPr>
              <w:t xml:space="preserve"> </w:t>
            </w:r>
            <w:hyperlink r:id="rId75" w:tgtFrame="_blank" w:history="1">
              <w:r w:rsidRPr="00F30AE3">
                <w:rPr>
                  <w:rStyle w:val="normaltextrun"/>
                  <w:rFonts w:ascii="Arial" w:hAnsi="Arial" w:cs="Arial"/>
                  <w:color w:val="0000FF"/>
                  <w:u w:val="single"/>
                </w:rPr>
                <w:t>https://www.medicines.org.uk/emc/product/1102</w:t>
              </w:r>
            </w:hyperlink>
            <w:r w:rsidRPr="00F30AE3">
              <w:rPr>
                <w:rStyle w:val="normaltextrun"/>
                <w:rFonts w:ascii="Arial" w:hAnsi="Arial" w:cs="Arial"/>
                <w:color w:val="000000"/>
              </w:rPr>
              <w:t xml:space="preserve"> on 05/07/21</w:t>
            </w:r>
            <w:r w:rsidRPr="00F30AE3">
              <w:rPr>
                <w:rStyle w:val="eop"/>
                <w:rFonts w:ascii="Arial" w:hAnsi="Arial" w:cs="Arial"/>
                <w:color w:val="000000"/>
              </w:rPr>
              <w:t> </w:t>
            </w:r>
          </w:p>
          <w:p w14:paraId="768DBA2C"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500 mg film-coated tablets (Cellcept®). Date of revision of the text 03/03/2021. Accessed via</w:t>
            </w:r>
            <w:r w:rsidRPr="00F30AE3">
              <w:rPr>
                <w:rStyle w:val="normaltextrun"/>
                <w:rFonts w:ascii="Arial" w:hAnsi="Arial" w:cs="Arial"/>
                <w:color w:val="FF0000"/>
              </w:rPr>
              <w:t xml:space="preserve"> </w:t>
            </w:r>
            <w:hyperlink r:id="rId76" w:tgtFrame="_blank" w:history="1">
              <w:r w:rsidRPr="00F30AE3">
                <w:rPr>
                  <w:rStyle w:val="normaltextrun"/>
                  <w:rFonts w:ascii="Arial" w:hAnsi="Arial" w:cs="Arial"/>
                  <w:color w:val="0000FF"/>
                  <w:u w:val="single"/>
                </w:rPr>
                <w:t>https://www.medicines.org.uk/emc/product/1103</w:t>
              </w:r>
            </w:hyperlink>
            <w:r w:rsidRPr="00F30AE3">
              <w:rPr>
                <w:rStyle w:val="normaltextrun"/>
                <w:rFonts w:ascii="Arial" w:hAnsi="Arial" w:cs="Arial"/>
                <w:color w:val="0000FF"/>
                <w:u w:val="single"/>
              </w:rPr>
              <w:t xml:space="preserve"> </w:t>
            </w:r>
            <w:r w:rsidRPr="00F30AE3">
              <w:rPr>
                <w:rStyle w:val="normaltextrun"/>
                <w:rFonts w:ascii="Arial" w:hAnsi="Arial" w:cs="Arial"/>
                <w:color w:val="000000"/>
              </w:rPr>
              <w:t>on 05/07/21</w:t>
            </w:r>
            <w:r w:rsidRPr="00F30AE3">
              <w:rPr>
                <w:rStyle w:val="eop"/>
                <w:rFonts w:ascii="Arial" w:hAnsi="Arial" w:cs="Arial"/>
                <w:color w:val="000000"/>
              </w:rPr>
              <w:t> </w:t>
            </w:r>
          </w:p>
          <w:p w14:paraId="362C191B"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1g/5 mL powder for oral suspension (CellCept®). Date of revision of the text 03/03/2021. Accessed via</w:t>
            </w:r>
            <w:r w:rsidRPr="00F30AE3">
              <w:rPr>
                <w:rStyle w:val="normaltextrun"/>
                <w:rFonts w:ascii="Arial" w:hAnsi="Arial" w:cs="Arial"/>
                <w:color w:val="FF0000"/>
              </w:rPr>
              <w:t xml:space="preserve"> </w:t>
            </w:r>
            <w:hyperlink r:id="rId77" w:tgtFrame="_blank" w:history="1">
              <w:r w:rsidRPr="00F30AE3">
                <w:rPr>
                  <w:rStyle w:val="normaltextrun"/>
                  <w:rFonts w:ascii="Arial" w:hAnsi="Arial" w:cs="Arial"/>
                  <w:color w:val="0000FF"/>
                  <w:u w:val="single"/>
                </w:rPr>
                <w:t>https://www.medicines.org.uk/emc/product/1569</w:t>
              </w:r>
            </w:hyperlink>
            <w:r w:rsidRPr="00F30AE3">
              <w:rPr>
                <w:rStyle w:val="normaltextrun"/>
                <w:rFonts w:ascii="Arial" w:hAnsi="Arial" w:cs="Arial"/>
                <w:color w:val="0000FF"/>
                <w:u w:val="single"/>
              </w:rPr>
              <w:t xml:space="preserve"> </w:t>
            </w:r>
            <w:r w:rsidRPr="00F30AE3">
              <w:rPr>
                <w:rStyle w:val="normaltextrun"/>
                <w:rFonts w:ascii="Arial" w:hAnsi="Arial" w:cs="Arial"/>
                <w:color w:val="000000"/>
              </w:rPr>
              <w:t>on 05/07/21</w:t>
            </w:r>
            <w:r w:rsidRPr="00F30AE3">
              <w:rPr>
                <w:rStyle w:val="eop"/>
                <w:rFonts w:ascii="Arial" w:hAnsi="Arial" w:cs="Arial"/>
                <w:color w:val="000000"/>
              </w:rPr>
              <w:t> </w:t>
            </w:r>
          </w:p>
          <w:p w14:paraId="54CBE2AB"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Mycophenolate mofetil 250 mg hard capsules (Myfenax®). Date of revision of the text 01/01/2021. Accessed via </w:t>
            </w:r>
            <w:hyperlink r:id="rId78" w:tgtFrame="_blank" w:history="1">
              <w:r w:rsidRPr="00F30AE3">
                <w:rPr>
                  <w:rStyle w:val="normaltextrun"/>
                  <w:rFonts w:ascii="Arial" w:hAnsi="Arial" w:cs="Arial"/>
                  <w:color w:val="0000FF"/>
                  <w:u w:val="single"/>
                </w:rPr>
                <w:t>https://www.medicines.org.uk/emc/product/9293</w:t>
              </w:r>
            </w:hyperlink>
            <w:r w:rsidRPr="00F30AE3">
              <w:rPr>
                <w:rStyle w:val="normaltextrun"/>
                <w:rFonts w:ascii="Arial" w:hAnsi="Arial" w:cs="Arial"/>
              </w:rPr>
              <w:t xml:space="preserve"> on 05/07/21 </w:t>
            </w:r>
            <w:r w:rsidRPr="00F30AE3">
              <w:rPr>
                <w:rStyle w:val="eop"/>
                <w:rFonts w:ascii="Arial" w:hAnsi="Arial" w:cs="Arial"/>
              </w:rPr>
              <w:t> </w:t>
            </w:r>
          </w:p>
          <w:p w14:paraId="2CC3AD5D"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lastRenderedPageBreak/>
              <w:t xml:space="preserve">Mycophenolate mofetil 500 mg tablets (Myfenax®). Date of revision of the text 01/01/2021. Accessed via </w:t>
            </w:r>
            <w:hyperlink r:id="rId79" w:tgtFrame="_blank" w:history="1">
              <w:r w:rsidRPr="00F30AE3">
                <w:rPr>
                  <w:rStyle w:val="normaltextrun"/>
                  <w:rFonts w:ascii="Arial" w:hAnsi="Arial" w:cs="Arial"/>
                  <w:color w:val="0000FF"/>
                  <w:u w:val="single"/>
                </w:rPr>
                <w:t>https://www.medicines.org.uk/emc/product/9294</w:t>
              </w:r>
            </w:hyperlink>
            <w:r w:rsidRPr="00F30AE3">
              <w:rPr>
                <w:rStyle w:val="normaltextrun"/>
                <w:rFonts w:ascii="Arial" w:hAnsi="Arial" w:cs="Arial"/>
              </w:rPr>
              <w:t xml:space="preserve"> on 05/07/21</w:t>
            </w:r>
            <w:r w:rsidRPr="00F30AE3">
              <w:rPr>
                <w:rStyle w:val="eop"/>
                <w:rFonts w:ascii="Arial" w:hAnsi="Arial" w:cs="Arial"/>
              </w:rPr>
              <w:t> </w:t>
            </w:r>
          </w:p>
          <w:p w14:paraId="69DE8A32"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British Society for Rheumatology and British Health Professionals in Rheumatology. BSR and BHPR guideline for the prescription and monitoring of non-biologic disease-modifying anti-rheumatic drugs. Rheumatology 2017;56:865868. doi:10.1093/rheumatology/kew479. Accessed via </w:t>
            </w:r>
            <w:hyperlink r:id="rId80" w:anchor="97289271" w:tgtFrame="_blank" w:history="1">
              <w:r w:rsidRPr="00F30AE3">
                <w:rPr>
                  <w:rStyle w:val="normaltextrun"/>
                  <w:rFonts w:ascii="Arial" w:hAnsi="Arial" w:cs="Arial"/>
                  <w:color w:val="0000FF"/>
                  <w:u w:val="single"/>
                </w:rPr>
                <w:t>https://academic.oup.com/rheumatology/article/56/6/865/3053478#97289271</w:t>
              </w:r>
            </w:hyperlink>
            <w:r w:rsidRPr="00F30AE3">
              <w:rPr>
                <w:rStyle w:val="normaltextrun"/>
                <w:rFonts w:ascii="Arial" w:hAnsi="Arial" w:cs="Arial"/>
              </w:rPr>
              <w:t> </w:t>
            </w:r>
            <w:r w:rsidRPr="00F30AE3">
              <w:rPr>
                <w:rStyle w:val="eop"/>
                <w:rFonts w:ascii="Arial" w:hAnsi="Arial" w:cs="Arial"/>
              </w:rPr>
              <w:t> </w:t>
            </w:r>
          </w:p>
          <w:p w14:paraId="19688FF6"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81" w:tgtFrame="_blank" w:history="1">
              <w:r w:rsidRPr="00F30AE3">
                <w:rPr>
                  <w:rStyle w:val="normaltextrun"/>
                  <w:rFonts w:ascii="Arial" w:hAnsi="Arial" w:cs="Arial"/>
                  <w:color w:val="0000FF"/>
                  <w:u w:val="single"/>
                </w:rPr>
                <w:t>https://academic.oup.com/rheumatology/article/55/9/1693/1744535</w:t>
              </w:r>
            </w:hyperlink>
            <w:r w:rsidRPr="00F30AE3">
              <w:rPr>
                <w:rStyle w:val="normaltextrun"/>
                <w:rFonts w:ascii="Arial" w:hAnsi="Arial" w:cs="Arial"/>
              </w:rPr>
              <w:t>. </w:t>
            </w:r>
            <w:r w:rsidRPr="00F30AE3">
              <w:rPr>
                <w:rStyle w:val="eop"/>
                <w:rFonts w:ascii="Arial" w:hAnsi="Arial" w:cs="Arial"/>
              </w:rPr>
              <w:t> </w:t>
            </w:r>
          </w:p>
          <w:p w14:paraId="5B678424"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Renal Drug Database. Mycophenolate. Reviewed 10/08/20. Accessed via </w:t>
            </w:r>
            <w:hyperlink r:id="rId82" w:tgtFrame="_blank" w:history="1">
              <w:r w:rsidRPr="00F30AE3">
                <w:rPr>
                  <w:rStyle w:val="normaltextrun"/>
                  <w:rFonts w:ascii="Arial" w:hAnsi="Arial" w:cs="Arial"/>
                  <w:color w:val="0000FF"/>
                  <w:u w:val="single"/>
                </w:rPr>
                <w:t>https://renaldrugdatabase.com/</w:t>
              </w:r>
            </w:hyperlink>
            <w:r w:rsidRPr="00F30AE3">
              <w:rPr>
                <w:rStyle w:val="normaltextrun"/>
                <w:rFonts w:ascii="Arial" w:hAnsi="Arial" w:cs="Arial"/>
              </w:rPr>
              <w:t xml:space="preserve"> on 07/04/21. </w:t>
            </w:r>
            <w:r w:rsidRPr="00F30AE3">
              <w:rPr>
                <w:rStyle w:val="eop"/>
                <w:rFonts w:ascii="Arial" w:hAnsi="Arial" w:cs="Arial"/>
              </w:rPr>
              <w:t> </w:t>
            </w:r>
          </w:p>
          <w:p w14:paraId="2D4546A0"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Public Health England. The Green Book: Immunisation against infectious disease. Last updated 27 November 2020. Accessed via </w:t>
            </w:r>
            <w:hyperlink r:id="rId83" w:tgtFrame="_blank" w:history="1">
              <w:r w:rsidRPr="00F30AE3">
                <w:rPr>
                  <w:rStyle w:val="normaltextrun"/>
                  <w:rFonts w:ascii="Arial" w:hAnsi="Arial" w:cs="Arial"/>
                  <w:color w:val="0000FF"/>
                  <w:u w:val="single"/>
                </w:rPr>
                <w:t>https://www.gov.uk/government/collections/immunisation-against-infectious-disease-the-green-book</w:t>
              </w:r>
            </w:hyperlink>
            <w:r w:rsidRPr="00F30AE3">
              <w:rPr>
                <w:rStyle w:val="normaltextrun"/>
                <w:rFonts w:ascii="Arial" w:hAnsi="Arial" w:cs="Arial"/>
              </w:rPr>
              <w:t> </w:t>
            </w:r>
            <w:r w:rsidRPr="00F30AE3">
              <w:rPr>
                <w:rStyle w:val="eop"/>
                <w:rFonts w:ascii="Arial" w:hAnsi="Arial" w:cs="Arial"/>
              </w:rPr>
              <w:t> </w:t>
            </w:r>
          </w:p>
          <w:p w14:paraId="55B33107"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mycophenolic acid: new pregnancy-prevention advice for women and men. Last updated December 2015. Accessed via </w:t>
            </w:r>
            <w:hyperlink r:id="rId84" w:tgtFrame="_blank" w:history="1">
              <w:r w:rsidRPr="00F30AE3">
                <w:rPr>
                  <w:rStyle w:val="normaltextrun"/>
                  <w:rFonts w:ascii="Arial" w:hAnsi="Arial" w:cs="Arial"/>
                  <w:color w:val="0000FF"/>
                  <w:u w:val="single"/>
                </w:rPr>
                <w:t>https://www.gov.uk/drug-safety-update/mycophenolate-mofetil-mycophenolic-acid-new-pregnancy-prevention-advice-for-women-and-men</w:t>
              </w:r>
            </w:hyperlink>
            <w:r w:rsidRPr="00F30AE3">
              <w:rPr>
                <w:rStyle w:val="eop"/>
                <w:rFonts w:ascii="Arial" w:hAnsi="Arial" w:cs="Arial"/>
              </w:rPr>
              <w:t> </w:t>
            </w:r>
          </w:p>
          <w:p w14:paraId="566CCFA1"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mycophenolic acid: updated contraception advice for male patients. February 2018. Accessed via </w:t>
            </w:r>
            <w:hyperlink r:id="rId85" w:tgtFrame="_blank" w:history="1">
              <w:r w:rsidRPr="00F30AE3">
                <w:rPr>
                  <w:rStyle w:val="normaltextrun"/>
                  <w:rFonts w:ascii="Arial" w:hAnsi="Arial" w:cs="Arial"/>
                  <w:color w:val="0000FF"/>
                  <w:u w:val="single"/>
                </w:rPr>
                <w:t>https://www.gov.uk/drug-safety-update/mycophenolate-mofetil-mycophenolic-acid-updated-contraception-advice-for-male-patients</w:t>
              </w:r>
            </w:hyperlink>
            <w:r w:rsidRPr="00F30AE3">
              <w:rPr>
                <w:rStyle w:val="normaltextrun"/>
                <w:rFonts w:ascii="Arial" w:hAnsi="Arial" w:cs="Arial"/>
              </w:rPr>
              <w:t>. </w:t>
            </w:r>
            <w:r w:rsidRPr="00F30AE3">
              <w:rPr>
                <w:rStyle w:val="eop"/>
                <w:rFonts w:ascii="Arial" w:hAnsi="Arial" w:cs="Arial"/>
              </w:rPr>
              <w:t> </w:t>
            </w:r>
          </w:p>
          <w:p w14:paraId="27663785"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pure red cell aplasia. July 2009. Accessed via </w:t>
            </w:r>
            <w:hyperlink r:id="rId86" w:tgtFrame="_blank" w:history="1">
              <w:r w:rsidRPr="00F30AE3">
                <w:rPr>
                  <w:rStyle w:val="normaltextrun"/>
                  <w:rFonts w:ascii="Arial" w:hAnsi="Arial" w:cs="Arial"/>
                  <w:color w:val="0000FF"/>
                  <w:u w:val="single"/>
                </w:rPr>
                <w:t>https://www.gov.uk/drug-safety-update/mycophenolate-mofetil-pure-red-cell-aplasia</w:t>
              </w:r>
            </w:hyperlink>
            <w:r w:rsidRPr="00F30AE3">
              <w:rPr>
                <w:rStyle w:val="normaltextrun"/>
                <w:rFonts w:ascii="Arial" w:hAnsi="Arial" w:cs="Arial"/>
              </w:rPr>
              <w:t>. </w:t>
            </w:r>
            <w:r w:rsidRPr="00F30AE3">
              <w:rPr>
                <w:rStyle w:val="eop"/>
                <w:rFonts w:ascii="Arial" w:hAnsi="Arial" w:cs="Arial"/>
              </w:rPr>
              <w:t> </w:t>
            </w:r>
          </w:p>
          <w:p w14:paraId="79414682" w14:textId="42008A28" w:rsidR="001E3E2A" w:rsidRPr="00F30AE3" w:rsidRDefault="001150CD" w:rsidP="00C77005">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(CellCept) and mycophenolic acid: risk of hypogammaglobulinaemia and risk of bronchiectasis. January 2015. Accessed via </w:t>
            </w:r>
            <w:hyperlink r:id="rId87" w:tgtFrame="_blank" w:history="1">
              <w:r w:rsidRPr="00F30AE3">
                <w:rPr>
                  <w:rStyle w:val="normaltextrun"/>
                  <w:rFonts w:ascii="Arial" w:hAnsi="Arial" w:cs="Arial"/>
                  <w:color w:val="0000FF"/>
                  <w:u w:val="single"/>
                </w:rPr>
                <w:t>https://www.gov.uk/drug-safety-update/mycophenolate-mofetil-cellcept-and-mycophenolic-acid-risk-of-hypogammaglobulinaemia-and-risk-of-bronchiectasis</w:t>
              </w:r>
            </w:hyperlink>
            <w:r w:rsidRPr="00F30AE3">
              <w:rPr>
                <w:rStyle w:val="normaltextrun"/>
                <w:rFonts w:ascii="Arial" w:hAnsi="Arial" w:cs="Arial"/>
              </w:rPr>
              <w:t>. </w:t>
            </w:r>
            <w:r w:rsidRPr="00F30AE3">
              <w:rPr>
                <w:rStyle w:val="eop"/>
                <w:rFonts w:ascii="Arial" w:hAnsi="Arial" w:cs="Arial"/>
              </w:rPr>
              <w:t> </w:t>
            </w:r>
          </w:p>
        </w:tc>
      </w:tr>
      <w:tr w:rsidR="002C1756" w:rsidRPr="00F30AE3" w14:paraId="42F50346" w14:textId="77777777" w:rsidTr="007C7494">
        <w:trPr>
          <w:jc w:val="center"/>
        </w:trPr>
        <w:tc>
          <w:tcPr>
            <w:tcW w:w="10455" w:type="dxa"/>
            <w:tcBorders>
              <w:bottom w:val="nil"/>
            </w:tcBorders>
            <w:shd w:val="clear" w:color="auto" w:fill="F2F2F2"/>
          </w:tcPr>
          <w:p w14:paraId="24F76BF3" w14:textId="4C261A28" w:rsidR="002C1756" w:rsidRPr="00F30AE3" w:rsidRDefault="002C1756" w:rsidP="007F3977">
            <w:pPr>
              <w:pStyle w:val="Heading1"/>
              <w:tabs>
                <w:tab w:val="right" w:pos="10240"/>
              </w:tabs>
              <w:ind w:left="599" w:hanging="599"/>
              <w:rPr>
                <w:lang w:eastAsia="en-GB"/>
              </w:rPr>
            </w:pPr>
            <w:bookmarkStart w:id="22" w:name="Sixteen_relevant_guidance"/>
            <w:r w:rsidRPr="00F30AE3">
              <w:rPr>
                <w:lang w:eastAsia="en-GB"/>
              </w:rPr>
              <w:lastRenderedPageBreak/>
              <w:t>Other relevant national guidance</w:t>
            </w:r>
            <w:bookmarkEnd w:id="22"/>
            <w:r w:rsidR="007F3977" w:rsidRPr="00F30AE3">
              <w:rPr>
                <w:lang w:eastAsia="en-GB"/>
              </w:rPr>
              <w:t xml:space="preserve"> </w:t>
            </w:r>
            <w:r w:rsidR="007F3977" w:rsidRPr="00F30AE3">
              <w:rPr>
                <w:lang w:eastAsia="en-GB"/>
              </w:rPr>
              <w:tab/>
            </w:r>
            <w:hyperlink w:anchor="Responsibilities" w:history="1">
              <w:r w:rsidR="007F3977" w:rsidRPr="00F30AE3">
                <w:rPr>
                  <w:rStyle w:val="Hyperlink"/>
                  <w:rFonts w:eastAsia="Times New Roman" w:cs="Arial"/>
                  <w:b w:val="0"/>
                  <w:bCs w:val="0"/>
                  <w:sz w:val="24"/>
                  <w:szCs w:val="24"/>
                  <w:lang w:eastAsia="en-GB"/>
                </w:rPr>
                <w:t>Back to top</w:t>
              </w:r>
            </w:hyperlink>
          </w:p>
        </w:tc>
      </w:tr>
      <w:tr w:rsidR="002C1756" w:rsidRPr="00F30AE3" w14:paraId="4CE5A668" w14:textId="77777777" w:rsidTr="007C7494">
        <w:trPr>
          <w:jc w:val="center"/>
        </w:trPr>
        <w:tc>
          <w:tcPr>
            <w:tcW w:w="10455" w:type="dxa"/>
            <w:tcBorders>
              <w:top w:val="nil"/>
              <w:bottom w:val="single" w:sz="4" w:space="0" w:color="auto"/>
            </w:tcBorders>
            <w:shd w:val="clear" w:color="auto" w:fill="auto"/>
          </w:tcPr>
          <w:p w14:paraId="64C58698"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Shared Care for Medicines Guidance – A Standard Approach (RMOC). Available from </w:t>
            </w:r>
            <w:hyperlink r:id="rId88" w:tgtFrame="_blank" w:history="1">
              <w:r w:rsidRPr="00F30AE3">
                <w:rPr>
                  <w:rStyle w:val="normaltextrun"/>
                  <w:rFonts w:ascii="Arial" w:hAnsi="Arial" w:cs="Arial"/>
                  <w:color w:val="0000FF"/>
                  <w:u w:val="single"/>
                </w:rPr>
                <w:t>https://www.sps.nhs.uk/articles/rmoc-shared-care-guidance/</w:t>
              </w:r>
            </w:hyperlink>
            <w:r w:rsidRPr="00F30AE3">
              <w:rPr>
                <w:rStyle w:val="normaltextrun"/>
                <w:rFonts w:ascii="Arial" w:hAnsi="Arial" w:cs="Arial"/>
              </w:rPr>
              <w:t> </w:t>
            </w:r>
            <w:r w:rsidRPr="00F30AE3">
              <w:rPr>
                <w:rStyle w:val="eop"/>
                <w:rFonts w:ascii="Arial" w:hAnsi="Arial" w:cs="Arial"/>
              </w:rPr>
              <w:t> </w:t>
            </w:r>
          </w:p>
          <w:p w14:paraId="08C9695C"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lastRenderedPageBreak/>
              <w:t xml:space="preserve">NHSE guidance – Responsibility for prescribing between primary &amp; secondary/tertiary care. Available from </w:t>
            </w:r>
            <w:hyperlink r:id="rId89" w:tgtFrame="_blank" w:history="1">
              <w:r w:rsidRPr="00F30AE3">
                <w:rPr>
                  <w:rStyle w:val="normaltextrun"/>
                  <w:rFonts w:ascii="Arial" w:hAnsi="Arial" w:cs="Arial"/>
                  <w:color w:val="0000FF"/>
                  <w:u w:val="single"/>
                </w:rPr>
                <w:t>https://www.england.nhs.uk/publication/responsibility-for-prescribing-between-primary-and-secondary-tertiary-care/</w:t>
              </w:r>
            </w:hyperlink>
            <w:r w:rsidRPr="00F30AE3">
              <w:rPr>
                <w:rStyle w:val="normaltextrun"/>
                <w:rFonts w:ascii="Arial" w:hAnsi="Arial" w:cs="Arial"/>
              </w:rPr>
              <w:t> </w:t>
            </w:r>
            <w:r w:rsidRPr="00F30AE3">
              <w:rPr>
                <w:rStyle w:val="eop"/>
                <w:rFonts w:ascii="Arial" w:hAnsi="Arial" w:cs="Arial"/>
              </w:rPr>
              <w:t> </w:t>
            </w:r>
          </w:p>
          <w:p w14:paraId="31DBB6BB"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General Medical Council. Good practice in prescribing and managing medicines and devices. Shared care. Available from </w:t>
            </w:r>
            <w:hyperlink r:id="rId90" w:tgtFrame="_blank" w:history="1">
              <w:r w:rsidRPr="00F30AE3">
                <w:rPr>
                  <w:rStyle w:val="normaltextrun"/>
                  <w:rFonts w:ascii="Arial" w:hAnsi="Arial" w:cs="Arial"/>
                  <w:color w:val="0000FF"/>
                  <w:u w:val="single"/>
                </w:rPr>
                <w:t>https://www.gmc-uk.org/ethical-guidance/ethical-guidance-for-doctors/good-practice-in-prescribing-and-managing-medicines-and-devices/shared-care</w:t>
              </w:r>
            </w:hyperlink>
            <w:r w:rsidRPr="00F30AE3">
              <w:rPr>
                <w:rStyle w:val="normaltextrun"/>
                <w:rFonts w:ascii="Arial" w:hAnsi="Arial" w:cs="Arial"/>
              </w:rPr>
              <w:t> </w:t>
            </w:r>
            <w:r w:rsidRPr="00F30AE3">
              <w:rPr>
                <w:rStyle w:val="eop"/>
                <w:rFonts w:ascii="Arial" w:hAnsi="Arial" w:cs="Arial"/>
              </w:rPr>
              <w:t> </w:t>
            </w:r>
          </w:p>
          <w:p w14:paraId="17D120D7" w14:textId="239F3DEF" w:rsidR="002C1756"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NICE NG197: Shared decision making. Last updated June 2021. </w:t>
            </w:r>
            <w:hyperlink r:id="rId91" w:tgtFrame="_blank" w:history="1">
              <w:r w:rsidRPr="00F30AE3">
                <w:rPr>
                  <w:rStyle w:val="normaltextrun"/>
                  <w:rFonts w:ascii="Arial" w:hAnsi="Arial" w:cs="Arial"/>
                  <w:color w:val="0000FF"/>
                  <w:u w:val="single"/>
                </w:rPr>
                <w:t>https://www.nice.org.uk/guidance/ng197/</w:t>
              </w:r>
            </w:hyperlink>
            <w:r w:rsidRPr="00F30AE3">
              <w:rPr>
                <w:rStyle w:val="normaltextrun"/>
                <w:rFonts w:ascii="Arial" w:hAnsi="Arial" w:cs="Arial"/>
              </w:rPr>
              <w:t>. </w:t>
            </w:r>
            <w:r w:rsidRPr="00F30AE3">
              <w:rPr>
                <w:rStyle w:val="eop"/>
                <w:rFonts w:ascii="Arial" w:hAnsi="Arial" w:cs="Arial"/>
              </w:rPr>
              <w:t> </w:t>
            </w:r>
          </w:p>
        </w:tc>
      </w:tr>
      <w:tr w:rsidR="00B92DDF" w:rsidRPr="00F30AE3" w14:paraId="47C81485" w14:textId="77777777" w:rsidTr="007C7494">
        <w:trPr>
          <w:jc w:val="center"/>
        </w:trPr>
        <w:tc>
          <w:tcPr>
            <w:tcW w:w="10455" w:type="dxa"/>
            <w:tcBorders>
              <w:bottom w:val="nil"/>
            </w:tcBorders>
            <w:shd w:val="clear" w:color="auto" w:fill="F2F2F2"/>
          </w:tcPr>
          <w:p w14:paraId="24773817" w14:textId="201B7BAE" w:rsidR="00B92DDF" w:rsidRPr="00F30AE3" w:rsidRDefault="00B92DDF" w:rsidP="00846A4A">
            <w:pPr>
              <w:pStyle w:val="Heading1"/>
              <w:tabs>
                <w:tab w:val="right" w:pos="10240"/>
              </w:tabs>
              <w:ind w:left="599" w:hanging="599"/>
              <w:rPr>
                <w:lang w:eastAsia="en-GB"/>
              </w:rPr>
            </w:pPr>
            <w:r w:rsidRPr="00F30AE3">
              <w:rPr>
                <w:lang w:eastAsia="en-GB"/>
              </w:rPr>
              <w:lastRenderedPageBreak/>
              <w:t xml:space="preserve">Local arrangements for referral </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0CAF9A88" w14:textId="77777777" w:rsidR="00B92DDF" w:rsidRPr="00F30AE3" w:rsidRDefault="00B92DDF" w:rsidP="00B92DDF">
            <w:pPr>
              <w:spacing w:before="60" w:after="60" w:line="240" w:lineRule="auto"/>
              <w:rPr>
                <w:rFonts w:eastAsia="Times New Roman" w:cs="Arial"/>
                <w:lang w:eastAsia="en-GB"/>
              </w:rPr>
            </w:pPr>
            <w:r w:rsidRPr="00F30AE3">
              <w:rPr>
                <w:rFonts w:eastAsia="Times New Roman" w:cs="Arial"/>
                <w:bCs/>
                <w:lang w:eastAsia="en-GB"/>
              </w:rPr>
              <w:t>Define the referral procedure from hospital to primary care prescriber &amp; route of return should the patient’s condition change.</w:t>
            </w:r>
          </w:p>
        </w:tc>
      </w:tr>
      <w:tr w:rsidR="00B92DDF" w:rsidRPr="00F30AE3" w14:paraId="1EFCF2EC" w14:textId="77777777" w:rsidTr="007C7494">
        <w:trPr>
          <w:jc w:val="center"/>
        </w:trPr>
        <w:tc>
          <w:tcPr>
            <w:tcW w:w="10455" w:type="dxa"/>
            <w:tcBorders>
              <w:top w:val="nil"/>
            </w:tcBorders>
            <w:shd w:val="clear" w:color="auto" w:fill="auto"/>
          </w:tcPr>
          <w:p w14:paraId="51A4166B" w14:textId="3E6298B5" w:rsidR="00B92DDF" w:rsidRPr="00F30AE3" w:rsidRDefault="00C15D4C" w:rsidP="00B92DDF">
            <w:pPr>
              <w:spacing w:before="60" w:after="60" w:line="240" w:lineRule="auto"/>
              <w:rPr>
                <w:rFonts w:eastAsia="Times New Roman" w:cs="Arial"/>
                <w:color w:val="000000"/>
                <w:lang w:val="en" w:eastAsia="en-GB"/>
              </w:rPr>
            </w:pPr>
            <w:r>
              <w:t>Follow Place based processes</w:t>
            </w:r>
            <w:r w:rsidR="00B92DDF" w:rsidRPr="00F30AE3">
              <w:rPr>
                <w:rFonts w:eastAsia="Times New Roman" w:cs="Arial"/>
                <w:lang w:eastAsia="en-GB"/>
              </w:rPr>
              <w:t xml:space="preserve"> </w:t>
            </w:r>
          </w:p>
        </w:tc>
      </w:tr>
    </w:tbl>
    <w:p w14:paraId="4F3763D2" w14:textId="0DE927B2" w:rsidR="0087662D" w:rsidRPr="00F30AE3" w:rsidRDefault="0087662D" w:rsidP="00295135">
      <w:pPr>
        <w:spacing w:after="0" w:line="240" w:lineRule="auto"/>
        <w:rPr>
          <w:rFonts w:ascii="Times New Roman" w:eastAsia="Times New Roman" w:hAnsi="Times New Roman" w:cs="Times New Roman"/>
          <w:szCs w:val="24"/>
          <w:lang w:eastAsia="en-GB"/>
        </w:rPr>
      </w:pPr>
    </w:p>
    <w:p w14:paraId="75924742" w14:textId="77777777" w:rsidR="00A063A1" w:rsidRPr="00F30AE3" w:rsidRDefault="00A063A1" w:rsidP="00877E1D">
      <w:pPr>
        <w:rPr>
          <w:rFonts w:ascii="Calibri" w:hAnsi="Calibri" w:cs="Calibri"/>
          <w:b/>
          <w:u w:val="single"/>
        </w:rPr>
      </w:pPr>
    </w:p>
    <w:p w14:paraId="4F2BAA2E" w14:textId="77777777" w:rsidR="005F6358" w:rsidRPr="00F30AE3" w:rsidRDefault="005F6358" w:rsidP="005F6358">
      <w:pPr>
        <w:rPr>
          <w:rFonts w:cstheme="minorHAnsi"/>
        </w:rPr>
      </w:pPr>
      <w:r w:rsidRPr="00F30AE3">
        <w:rPr>
          <w:rFonts w:cstheme="minorHAnsi"/>
        </w:rPr>
        <w:br w:type="page"/>
      </w:r>
    </w:p>
    <w:p w14:paraId="592C80B3" w14:textId="77777777" w:rsidR="005F6358" w:rsidRPr="00F30AE3" w:rsidRDefault="005F6358" w:rsidP="00F13240">
      <w:pPr>
        <w:pStyle w:val="Heading1"/>
        <w:numPr>
          <w:ilvl w:val="0"/>
          <w:numId w:val="0"/>
        </w:numPr>
      </w:pPr>
      <w:bookmarkStart w:id="23" w:name="_Toc64632334"/>
      <w:r w:rsidRPr="00F30AE3">
        <w:lastRenderedPageBreak/>
        <w:t>Appendix 1: Shared Care Request letter (Specialist to Primary Care Prescriber)</w:t>
      </w:r>
      <w:bookmarkEnd w:id="23"/>
    </w:p>
    <w:p w14:paraId="28C6EB75" w14:textId="77777777" w:rsidR="00133CD2" w:rsidRPr="006C3BBB" w:rsidRDefault="00133CD2" w:rsidP="00133CD2">
      <w:pPr>
        <w:spacing w:after="120"/>
        <w:rPr>
          <w:rFonts w:eastAsia="Times New Roman" w:cs="Calibri"/>
          <w:szCs w:val="24"/>
        </w:rPr>
      </w:pPr>
      <w:r w:rsidRPr="006C3BBB">
        <w:rPr>
          <w:rFonts w:eastAsia="Times New Roman" w:cs="Calibri"/>
          <w:szCs w:val="24"/>
        </w:rPr>
        <w:t xml:space="preserve">Dear </w:t>
      </w:r>
      <w:permStart w:id="1586565202" w:edGrp="everyone"/>
      <w:r w:rsidRPr="006C3BBB">
        <w:rPr>
          <w:rFonts w:eastAsia="Times New Roman" w:cs="Calibri"/>
          <w:i/>
          <w:iCs/>
          <w:szCs w:val="24"/>
        </w:rPr>
        <w:t>insert Primary Care Prescriber's name</w:t>
      </w:r>
      <w:permEnd w:id="1586565202"/>
    </w:p>
    <w:p w14:paraId="7243A5C4" w14:textId="77777777" w:rsidR="00133CD2" w:rsidRPr="006C3BBB" w:rsidRDefault="00133CD2" w:rsidP="00133CD2">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1689999044" w:edGrp="everyone"/>
      <w:r w:rsidRPr="006C3BBB">
        <w:rPr>
          <w:rFonts w:eastAsia="Times New Roman" w:cs="Calibri"/>
          <w:i/>
          <w:iCs/>
          <w:szCs w:val="24"/>
        </w:rPr>
        <w:t>insert patient's name</w:t>
      </w:r>
      <w:permEnd w:id="1689999044"/>
    </w:p>
    <w:p w14:paraId="283B4E3C" w14:textId="77777777" w:rsidR="00133CD2" w:rsidRPr="006C3BBB" w:rsidRDefault="00133CD2" w:rsidP="00133CD2">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1156281440" w:edGrp="everyone"/>
      <w:r w:rsidRPr="006C3BBB">
        <w:rPr>
          <w:rFonts w:eastAsia="Times New Roman" w:cs="Calibri"/>
          <w:i/>
          <w:iCs/>
          <w:szCs w:val="24"/>
        </w:rPr>
        <w:t>insert date of birth</w:t>
      </w:r>
      <w:permEnd w:id="1156281440"/>
    </w:p>
    <w:p w14:paraId="06351B5B" w14:textId="77777777" w:rsidR="00133CD2" w:rsidRPr="006C3BBB" w:rsidRDefault="00133CD2" w:rsidP="00133CD2">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655914109" w:edGrp="everyone"/>
      <w:r w:rsidRPr="006C3BBB">
        <w:rPr>
          <w:rFonts w:eastAsia="Times New Roman" w:cs="Calibri"/>
          <w:i/>
          <w:szCs w:val="24"/>
        </w:rPr>
        <w:t>insert NHS Number</w:t>
      </w:r>
      <w:permEnd w:id="655914109"/>
    </w:p>
    <w:p w14:paraId="3E673771" w14:textId="77777777" w:rsidR="00133CD2" w:rsidRPr="006C3BBB" w:rsidRDefault="00133CD2" w:rsidP="00133CD2">
      <w:pPr>
        <w:spacing w:after="120"/>
        <w:rPr>
          <w:rFonts w:eastAsia="Times New Roman" w:cs="Calibri"/>
          <w:i/>
          <w:szCs w:val="24"/>
        </w:rPr>
      </w:pPr>
      <w:r w:rsidRPr="006C3BBB">
        <w:rPr>
          <w:rFonts w:eastAsia="Times New Roman" w:cs="Calibri"/>
          <w:szCs w:val="24"/>
        </w:rPr>
        <w:t xml:space="preserve">Diagnosis: </w:t>
      </w:r>
      <w:permStart w:id="1384780585" w:edGrp="everyone"/>
      <w:r w:rsidRPr="006C3BBB">
        <w:rPr>
          <w:rFonts w:eastAsia="Times New Roman" w:cs="Calibri"/>
          <w:i/>
          <w:iCs/>
          <w:szCs w:val="24"/>
        </w:rPr>
        <w:t>insert diagnosis</w:t>
      </w:r>
      <w:permEnd w:id="1384780585"/>
    </w:p>
    <w:p w14:paraId="7E27733C" w14:textId="77777777" w:rsidR="00133CD2" w:rsidRPr="006C3BBB" w:rsidRDefault="00133CD2" w:rsidP="00133CD2">
      <w:pPr>
        <w:spacing w:after="120"/>
        <w:rPr>
          <w:rFonts w:eastAsia="Calibri" w:cs="Times New Roman"/>
          <w:i/>
          <w:iCs/>
          <w:szCs w:val="24"/>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965148719" w:edGrp="everyone"/>
      <w:r w:rsidRPr="006C3BBB">
        <w:rPr>
          <w:rFonts w:eastAsia="Calibri" w:cs="Times New Roman"/>
          <w:i/>
          <w:iCs/>
          <w:szCs w:val="24"/>
        </w:rPr>
        <w:t>insert medicine name</w:t>
      </w:r>
      <w:r>
        <w:rPr>
          <w:rFonts w:eastAsia="Calibri" w:cs="Times New Roman"/>
          <w:i/>
          <w:iCs/>
          <w:szCs w:val="24"/>
        </w:rPr>
        <w:t xml:space="preserve"> </w:t>
      </w:r>
      <w:permEnd w:id="965148719"/>
      <w:r w:rsidRPr="006C3BBB">
        <w:rPr>
          <w:rFonts w:eastAsia="Calibri" w:cs="Times New Roman"/>
          <w:szCs w:val="24"/>
        </w:rPr>
        <w:t xml:space="preserve">for the treatment of </w:t>
      </w:r>
      <w:r w:rsidRPr="006C3BBB">
        <w:rPr>
          <w:rFonts w:eastAsia="Calibri" w:cs="Times New Roman"/>
          <w:i/>
          <w:iCs/>
          <w:szCs w:val="24"/>
        </w:rPr>
        <w:t>insert indication</w:t>
      </w:r>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p>
    <w:p w14:paraId="2093DFBA" w14:textId="1BEE152D" w:rsidR="005F6358" w:rsidRPr="00F30AE3" w:rsidRDefault="005F6358" w:rsidP="00F13240">
      <w:pPr>
        <w:spacing w:after="120"/>
      </w:pPr>
      <w:r w:rsidRPr="00F30AE3">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F30AE3" w:rsidRDefault="005F6358" w:rsidP="00F13240">
      <w:r w:rsidRPr="00F30AE3">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F30AE3" w14:paraId="0B8EECC0" w14:textId="77777777" w:rsidTr="00F13240">
        <w:tc>
          <w:tcPr>
            <w:tcW w:w="7650" w:type="dxa"/>
            <w:shd w:val="clear" w:color="auto" w:fill="D9D9D9" w:themeFill="background1" w:themeFillShade="D9"/>
            <w:vAlign w:val="center"/>
          </w:tcPr>
          <w:p w14:paraId="230FB15B" w14:textId="77777777" w:rsidR="005F6358" w:rsidRPr="00F30AE3"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F30AE3" w:rsidRDefault="005F6358" w:rsidP="00F13240">
            <w:pPr>
              <w:spacing w:before="60" w:after="60" w:line="276" w:lineRule="auto"/>
              <w:jc w:val="center"/>
              <w:rPr>
                <w:rFonts w:eastAsia="Times New Roman" w:cstheme="minorHAnsi"/>
                <w:b/>
                <w:sz w:val="18"/>
              </w:rPr>
            </w:pPr>
            <w:r w:rsidRPr="00F30AE3">
              <w:rPr>
                <w:rFonts w:eastAsia="Times New Roman" w:cstheme="minorHAnsi"/>
                <w:b/>
                <w:sz w:val="18"/>
              </w:rPr>
              <w:t>Specialist to complete</w:t>
            </w:r>
          </w:p>
        </w:tc>
      </w:tr>
      <w:tr w:rsidR="00A50B40" w:rsidRPr="00F30AE3" w14:paraId="36312264" w14:textId="77777777" w:rsidTr="00F13240">
        <w:tc>
          <w:tcPr>
            <w:tcW w:w="7650" w:type="dxa"/>
            <w:vAlign w:val="center"/>
          </w:tcPr>
          <w:p w14:paraId="051D4244" w14:textId="7A866211"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A50B40" w:rsidRPr="00F30AE3" w:rsidRDefault="00A50B40" w:rsidP="00A50B40">
            <w:pPr>
              <w:spacing w:before="60" w:after="60" w:line="276" w:lineRule="auto"/>
              <w:rPr>
                <w:rFonts w:eastAsia="Times New Roman" w:cstheme="minorHAnsi"/>
                <w:i/>
                <w:sz w:val="18"/>
              </w:rPr>
            </w:pPr>
            <w:permStart w:id="2142858166" w:edGrp="everyone"/>
            <w:permEnd w:id="2142858166"/>
          </w:p>
        </w:tc>
      </w:tr>
      <w:tr w:rsidR="00A50B40" w:rsidRPr="00F30AE3" w14:paraId="296A4D6C" w14:textId="77777777" w:rsidTr="00F13240">
        <w:tc>
          <w:tcPr>
            <w:tcW w:w="7650" w:type="dxa"/>
            <w:vAlign w:val="center"/>
          </w:tcPr>
          <w:p w14:paraId="16011904" w14:textId="44D3BB17"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3CC85100" w:rsidR="00A50B40" w:rsidRPr="00F30AE3" w:rsidRDefault="00A50B40" w:rsidP="00A50B40">
            <w:pPr>
              <w:spacing w:before="60" w:after="60" w:line="276" w:lineRule="auto"/>
              <w:jc w:val="center"/>
              <w:rPr>
                <w:rFonts w:eastAsia="Times New Roman" w:cstheme="minorHAnsi"/>
                <w:i/>
                <w:sz w:val="18"/>
              </w:rPr>
            </w:pPr>
            <w:permStart w:id="1138954355" w:edGrp="everyone"/>
            <w:r w:rsidRPr="002D255E">
              <w:rPr>
                <w:rFonts w:eastAsia="Times New Roman" w:cstheme="minorHAnsi"/>
                <w:i/>
                <w:sz w:val="18"/>
              </w:rPr>
              <w:t>Yes  /  No</w:t>
            </w:r>
            <w:permEnd w:id="1138954355"/>
          </w:p>
        </w:tc>
      </w:tr>
      <w:tr w:rsidR="00A50B40" w:rsidRPr="00F30AE3" w14:paraId="60A05EDF" w14:textId="77777777" w:rsidTr="00F13240">
        <w:tc>
          <w:tcPr>
            <w:tcW w:w="7650" w:type="dxa"/>
            <w:vAlign w:val="center"/>
          </w:tcPr>
          <w:p w14:paraId="6E28F5C8" w14:textId="6039F945"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09C15128" w:rsidR="00A50B40" w:rsidRPr="00F30AE3" w:rsidRDefault="00A50B40" w:rsidP="00A50B40">
            <w:pPr>
              <w:spacing w:before="60" w:after="60" w:line="276" w:lineRule="auto"/>
              <w:jc w:val="center"/>
              <w:rPr>
                <w:rFonts w:eastAsia="Times New Roman" w:cstheme="minorHAnsi"/>
                <w:i/>
                <w:sz w:val="18"/>
              </w:rPr>
            </w:pPr>
            <w:permStart w:id="117253752" w:edGrp="everyone"/>
            <w:r w:rsidRPr="002D255E">
              <w:rPr>
                <w:rFonts w:eastAsia="Times New Roman" w:cstheme="minorHAnsi"/>
                <w:i/>
                <w:sz w:val="18"/>
              </w:rPr>
              <w:t>Yes  /  No</w:t>
            </w:r>
            <w:permEnd w:id="117253752"/>
          </w:p>
        </w:tc>
      </w:tr>
      <w:tr w:rsidR="00A50B40" w:rsidRPr="00F30AE3" w14:paraId="57D89858" w14:textId="77777777" w:rsidTr="00F13240">
        <w:tc>
          <w:tcPr>
            <w:tcW w:w="7650" w:type="dxa"/>
            <w:vAlign w:val="center"/>
          </w:tcPr>
          <w:p w14:paraId="03647C77" w14:textId="09940D7C"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The risks and benefits of treatment have been explained to the patient</w:t>
            </w:r>
          </w:p>
        </w:tc>
        <w:tc>
          <w:tcPr>
            <w:tcW w:w="2126" w:type="dxa"/>
            <w:vAlign w:val="center"/>
          </w:tcPr>
          <w:p w14:paraId="4107807A" w14:textId="2294A5DE" w:rsidR="00A50B40" w:rsidRPr="00F30AE3" w:rsidRDefault="00A50B40" w:rsidP="00A50B40">
            <w:pPr>
              <w:spacing w:before="60" w:after="60" w:line="276" w:lineRule="auto"/>
              <w:jc w:val="center"/>
              <w:rPr>
                <w:i/>
                <w:sz w:val="18"/>
              </w:rPr>
            </w:pPr>
            <w:permStart w:id="562831836" w:edGrp="everyone"/>
            <w:r w:rsidRPr="002D255E">
              <w:rPr>
                <w:i/>
                <w:sz w:val="18"/>
              </w:rPr>
              <w:t>Yes  /  No</w:t>
            </w:r>
            <w:permEnd w:id="562831836"/>
          </w:p>
        </w:tc>
      </w:tr>
      <w:tr w:rsidR="00A50B40" w:rsidRPr="00F30AE3" w14:paraId="2FD663D7" w14:textId="77777777" w:rsidTr="00F13240">
        <w:tc>
          <w:tcPr>
            <w:tcW w:w="7650" w:type="dxa"/>
            <w:vAlign w:val="center"/>
          </w:tcPr>
          <w:p w14:paraId="2B594182" w14:textId="4FF56173"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The roles of the specialist/specialist team/</w:t>
            </w:r>
            <w:r w:rsidRPr="002D255E">
              <w:t xml:space="preserve"> </w:t>
            </w:r>
            <w:r w:rsidRPr="002D255E">
              <w:rPr>
                <w:rFonts w:eastAsia="Times New Roman" w:cstheme="minorHAnsi"/>
                <w:i/>
                <w:sz w:val="18"/>
              </w:rPr>
              <w:t>Primary Care Prescriber / Patient and pharmacist have been explained and agreed</w:t>
            </w:r>
          </w:p>
        </w:tc>
        <w:tc>
          <w:tcPr>
            <w:tcW w:w="2126" w:type="dxa"/>
            <w:vAlign w:val="center"/>
          </w:tcPr>
          <w:p w14:paraId="1A32F464" w14:textId="39C15CBA" w:rsidR="00A50B40" w:rsidRPr="00F30AE3" w:rsidRDefault="00A50B40" w:rsidP="00A50B40">
            <w:pPr>
              <w:spacing w:before="60" w:after="60" w:line="276" w:lineRule="auto"/>
              <w:jc w:val="center"/>
              <w:rPr>
                <w:i/>
                <w:sz w:val="18"/>
              </w:rPr>
            </w:pPr>
            <w:permStart w:id="497374601" w:edGrp="everyone"/>
            <w:r w:rsidRPr="002D255E">
              <w:rPr>
                <w:i/>
                <w:sz w:val="18"/>
              </w:rPr>
              <w:t>Yes  /  No</w:t>
            </w:r>
            <w:permEnd w:id="497374601"/>
          </w:p>
        </w:tc>
      </w:tr>
      <w:tr w:rsidR="00A50B40" w:rsidRPr="00F30AE3" w14:paraId="336ADA04" w14:textId="77777777" w:rsidTr="00F13240">
        <w:tc>
          <w:tcPr>
            <w:tcW w:w="7650" w:type="dxa"/>
            <w:vAlign w:val="center"/>
          </w:tcPr>
          <w:p w14:paraId="4EC0FBD5" w14:textId="43ECA9DE"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588BF7F" w:rsidR="00A50B40" w:rsidRPr="00F30AE3" w:rsidRDefault="00A50B40" w:rsidP="00A50B40">
            <w:pPr>
              <w:spacing w:before="60" w:after="60" w:line="276" w:lineRule="auto"/>
              <w:jc w:val="center"/>
              <w:rPr>
                <w:i/>
                <w:sz w:val="18"/>
              </w:rPr>
            </w:pPr>
            <w:permStart w:id="1090979064" w:edGrp="everyone"/>
            <w:r w:rsidRPr="002D255E">
              <w:rPr>
                <w:i/>
                <w:sz w:val="18"/>
              </w:rPr>
              <w:t>Yes  /  No</w:t>
            </w:r>
            <w:permEnd w:id="1090979064"/>
          </w:p>
        </w:tc>
      </w:tr>
      <w:tr w:rsidR="00A50B40" w:rsidRPr="00F30AE3" w14:paraId="1137386B" w14:textId="77777777" w:rsidTr="00F13240">
        <w:tc>
          <w:tcPr>
            <w:tcW w:w="7650" w:type="dxa"/>
            <w:vAlign w:val="center"/>
          </w:tcPr>
          <w:p w14:paraId="253AA4D8" w14:textId="73EF0A21"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0D6B7D75" w:rsidR="00A50B40" w:rsidRPr="00F30AE3" w:rsidRDefault="00A50B40" w:rsidP="00A50B40">
            <w:pPr>
              <w:spacing w:before="60" w:after="60" w:line="276" w:lineRule="auto"/>
              <w:jc w:val="center"/>
              <w:rPr>
                <w:i/>
                <w:sz w:val="18"/>
              </w:rPr>
            </w:pPr>
            <w:permStart w:id="157366412" w:edGrp="everyone"/>
            <w:r w:rsidRPr="002D255E">
              <w:rPr>
                <w:i/>
                <w:sz w:val="18"/>
              </w:rPr>
              <w:t>Yes  /  No</w:t>
            </w:r>
            <w:permEnd w:id="157366412"/>
          </w:p>
        </w:tc>
      </w:tr>
      <w:tr w:rsidR="00A50B40" w:rsidRPr="00F30AE3" w14:paraId="179E7E01" w14:textId="77777777" w:rsidTr="00F13240">
        <w:tc>
          <w:tcPr>
            <w:tcW w:w="7650" w:type="dxa"/>
            <w:vAlign w:val="center"/>
          </w:tcPr>
          <w:p w14:paraId="0E7C2CDA" w14:textId="18B52D55"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I have included with the letter copies of the information the patient has received</w:t>
            </w:r>
          </w:p>
        </w:tc>
        <w:tc>
          <w:tcPr>
            <w:tcW w:w="2126" w:type="dxa"/>
            <w:vAlign w:val="center"/>
          </w:tcPr>
          <w:p w14:paraId="4CD161B7" w14:textId="796B0BF2" w:rsidR="00A50B40" w:rsidRPr="00F30AE3" w:rsidRDefault="00A50B40" w:rsidP="00A50B40">
            <w:pPr>
              <w:spacing w:before="60" w:after="60" w:line="276" w:lineRule="auto"/>
              <w:jc w:val="center"/>
              <w:rPr>
                <w:i/>
                <w:sz w:val="18"/>
              </w:rPr>
            </w:pPr>
            <w:permStart w:id="1327585217" w:edGrp="everyone"/>
            <w:r w:rsidRPr="002D255E">
              <w:rPr>
                <w:i/>
                <w:sz w:val="18"/>
              </w:rPr>
              <w:t>Yes  /  No</w:t>
            </w:r>
            <w:permEnd w:id="1327585217"/>
          </w:p>
        </w:tc>
      </w:tr>
      <w:tr w:rsidR="00A50B40" w:rsidRPr="00F30AE3" w14:paraId="4D499DCE" w14:textId="77777777" w:rsidTr="00F13240">
        <w:tc>
          <w:tcPr>
            <w:tcW w:w="7650" w:type="dxa"/>
            <w:vAlign w:val="center"/>
          </w:tcPr>
          <w:p w14:paraId="36549BA5" w14:textId="5D002A3B"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I have provided the patient with sufficient medication to last until</w:t>
            </w:r>
          </w:p>
        </w:tc>
        <w:tc>
          <w:tcPr>
            <w:tcW w:w="2126" w:type="dxa"/>
          </w:tcPr>
          <w:p w14:paraId="66E3D404" w14:textId="77777777" w:rsidR="00A50B40" w:rsidRPr="00F30AE3" w:rsidRDefault="00A50B40" w:rsidP="00A50B40">
            <w:pPr>
              <w:spacing w:before="60" w:after="60" w:line="276" w:lineRule="auto"/>
              <w:rPr>
                <w:rFonts w:eastAsia="Times New Roman" w:cstheme="minorHAnsi"/>
                <w:i/>
                <w:sz w:val="18"/>
              </w:rPr>
            </w:pPr>
            <w:permStart w:id="1375497572" w:edGrp="everyone"/>
            <w:permEnd w:id="1375497572"/>
          </w:p>
        </w:tc>
      </w:tr>
      <w:tr w:rsidR="00A50B40" w:rsidRPr="00F30AE3" w14:paraId="33D9304A" w14:textId="77777777" w:rsidTr="00F13240">
        <w:tc>
          <w:tcPr>
            <w:tcW w:w="7650" w:type="dxa"/>
            <w:vAlign w:val="center"/>
          </w:tcPr>
          <w:p w14:paraId="1C37C772" w14:textId="26362106" w:rsidR="00A50B40" w:rsidRPr="00F30AE3" w:rsidRDefault="00A50B40" w:rsidP="00A50B40">
            <w:pPr>
              <w:spacing w:before="60" w:after="60" w:line="276" w:lineRule="auto"/>
              <w:jc w:val="right"/>
              <w:rPr>
                <w:rFonts w:eastAsia="Times New Roman" w:cstheme="minorHAnsi"/>
                <w:i/>
                <w:sz w:val="18"/>
              </w:rPr>
            </w:pPr>
            <w:r w:rsidRPr="002D255E">
              <w:rPr>
                <w:rFonts w:eastAsia="Times New Roman" w:cstheme="minorHAnsi"/>
                <w:i/>
                <w:sz w:val="18"/>
              </w:rPr>
              <w:t>I have arranged a follow up with this patient in the following timescale</w:t>
            </w:r>
          </w:p>
        </w:tc>
        <w:tc>
          <w:tcPr>
            <w:tcW w:w="2126" w:type="dxa"/>
          </w:tcPr>
          <w:p w14:paraId="22EB3190" w14:textId="77777777" w:rsidR="00A50B40" w:rsidRPr="00F30AE3" w:rsidRDefault="00A50B40" w:rsidP="00A50B40">
            <w:pPr>
              <w:spacing w:before="60" w:after="60" w:line="276" w:lineRule="auto"/>
              <w:rPr>
                <w:rFonts w:eastAsia="Times New Roman" w:cstheme="minorHAnsi"/>
                <w:i/>
                <w:sz w:val="18"/>
              </w:rPr>
            </w:pPr>
            <w:permStart w:id="1415977103" w:edGrp="everyone"/>
            <w:permEnd w:id="1415977103"/>
          </w:p>
        </w:tc>
      </w:tr>
    </w:tbl>
    <w:p w14:paraId="49C870C2" w14:textId="77777777" w:rsidR="00133CD2" w:rsidRDefault="00133CD2" w:rsidP="00133CD2">
      <w:pPr>
        <w:spacing w:after="60"/>
        <w:rPr>
          <w:rFonts w:eastAsia="Calibri" w:cs="Times New Roman"/>
          <w:szCs w:val="24"/>
        </w:rPr>
      </w:pPr>
    </w:p>
    <w:p w14:paraId="50B9F9A3" w14:textId="02F9F213" w:rsidR="00133CD2" w:rsidRPr="006C3BBB" w:rsidRDefault="00133CD2" w:rsidP="00133CD2">
      <w:pPr>
        <w:spacing w:after="60"/>
        <w:rPr>
          <w:rFonts w:eastAsia="Calibri" w:cs="Times New Roman"/>
          <w:szCs w:val="24"/>
        </w:rPr>
      </w:pPr>
      <w:r w:rsidRPr="006C3BBB">
        <w:rPr>
          <w:rFonts w:eastAsia="Calibri" w:cs="Times New Roman"/>
          <w:szCs w:val="24"/>
        </w:rPr>
        <w:t xml:space="preserve">Treatment was started on </w:t>
      </w:r>
      <w:permStart w:id="1054741990" w:edGrp="everyone"/>
      <w:r w:rsidRPr="006C3BBB">
        <w:rPr>
          <w:rFonts w:eastAsia="Calibri" w:cs="Times New Roman"/>
          <w:i/>
          <w:iCs/>
          <w:szCs w:val="24"/>
        </w:rPr>
        <w:t>insert date started</w:t>
      </w:r>
      <w:r w:rsidRPr="006C3BBB">
        <w:rPr>
          <w:rFonts w:eastAsia="Calibri" w:cs="Times New Roman"/>
          <w:szCs w:val="24"/>
        </w:rPr>
        <w:t xml:space="preserve"> </w:t>
      </w:r>
      <w:permEnd w:id="1054741990"/>
      <w:r w:rsidRPr="006C3BBB">
        <w:rPr>
          <w:rFonts w:eastAsia="Calibri" w:cs="Times New Roman"/>
          <w:szCs w:val="24"/>
        </w:rPr>
        <w:t xml:space="preserve">and the current dose is </w:t>
      </w:r>
      <w:permStart w:id="2137993268" w:edGrp="everyone"/>
      <w:r w:rsidRPr="006C3BBB">
        <w:rPr>
          <w:rFonts w:eastAsia="Calibri" w:cs="Times New Roman"/>
          <w:i/>
          <w:iCs/>
          <w:szCs w:val="24"/>
        </w:rPr>
        <w:t>insert dose and frequency</w:t>
      </w:r>
      <w:permEnd w:id="2137993268"/>
    </w:p>
    <w:p w14:paraId="09AAD023" w14:textId="77777777" w:rsidR="00133CD2" w:rsidRPr="006C3BBB" w:rsidRDefault="00133CD2" w:rsidP="00133CD2">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1559954434" w:edGrp="everyone"/>
      <w:r w:rsidRPr="006C3BBB">
        <w:rPr>
          <w:rFonts w:eastAsia="Times New Roman" w:cs="Calibri"/>
          <w:i/>
          <w:iCs/>
          <w:szCs w:val="24"/>
        </w:rPr>
        <w:t>insert date</w:t>
      </w:r>
      <w:r>
        <w:rPr>
          <w:rFonts w:eastAsia="Times New Roman" w:cs="Calibri"/>
          <w:i/>
          <w:iCs/>
          <w:szCs w:val="24"/>
        </w:rPr>
        <w:t xml:space="preserve"> </w:t>
      </w:r>
      <w:permEnd w:id="1559954434"/>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2E100D26" w14:textId="32325A2B" w:rsidR="00A50B40" w:rsidRPr="00A50B40" w:rsidRDefault="00A50B40" w:rsidP="00A50B40">
      <w:pPr>
        <w:spacing w:after="60"/>
        <w:rPr>
          <w:rFonts w:eastAsia="Times New Roman" w:cs="Calibri"/>
          <w:szCs w:val="24"/>
        </w:rPr>
      </w:pPr>
      <w:r w:rsidRPr="006C3BBB">
        <w:rPr>
          <w:rFonts w:eastAsia="Times New Roman" w:cs="Calibri"/>
          <w:szCs w:val="24"/>
        </w:rPr>
        <w:t>.</w:t>
      </w:r>
    </w:p>
    <w:p w14:paraId="4AFE627E" w14:textId="77777777" w:rsidR="00133CD2" w:rsidRPr="006C3BBB" w:rsidRDefault="00133CD2" w:rsidP="00133CD2">
      <w:pPr>
        <w:spacing w:after="60"/>
        <w:rPr>
          <w:rFonts w:eastAsia="Times New Roman" w:cs="Calibri"/>
          <w:szCs w:val="24"/>
        </w:rPr>
      </w:pPr>
      <w:r w:rsidRPr="006C3BBB">
        <w:rPr>
          <w:rFonts w:eastAsia="Times New Roman" w:cs="Calibri"/>
          <w:szCs w:val="24"/>
        </w:rPr>
        <w:lastRenderedPageBreak/>
        <w:t xml:space="preserve">The next blood monitoring is due on </w:t>
      </w:r>
      <w:permStart w:id="171646183" w:edGrp="everyone"/>
      <w:r w:rsidRPr="006C3BBB">
        <w:rPr>
          <w:rFonts w:eastAsia="Times New Roman" w:cs="Calibri"/>
          <w:i/>
          <w:iCs/>
          <w:szCs w:val="24"/>
        </w:rPr>
        <w:t>insert date</w:t>
      </w:r>
      <w:r w:rsidRPr="006C3BBB">
        <w:rPr>
          <w:rFonts w:eastAsia="Calibri" w:cs="Times New Roman"/>
          <w:i/>
          <w:szCs w:val="24"/>
        </w:rPr>
        <w:t xml:space="preserve"> </w:t>
      </w:r>
      <w:permEnd w:id="171646183"/>
      <w:r w:rsidRPr="006C3BBB">
        <w:rPr>
          <w:rFonts w:eastAsia="Times New Roman" w:cs="Calibri"/>
          <w:szCs w:val="24"/>
        </w:rPr>
        <w:t>and should be continued in line with the shared care guideline.</w:t>
      </w:r>
    </w:p>
    <w:p w14:paraId="7E7E76AC" w14:textId="355D44BA" w:rsidR="005F6358" w:rsidRDefault="003F53C9" w:rsidP="005F6358">
      <w:pPr>
        <w:spacing w:after="60"/>
        <w:rPr>
          <w:rFonts w:eastAsia="Times New Roman" w:cstheme="minorHAnsi"/>
        </w:rPr>
      </w:pPr>
      <w:r w:rsidRPr="00F30AE3">
        <w:rPr>
          <w:rFonts w:eastAsia="Times New Roman" w:cstheme="minorHAnsi"/>
        </w:rPr>
        <w:t>Please respond to this request for shared care, in writing, within 14 days of the request being made where possible.</w:t>
      </w:r>
    </w:p>
    <w:p w14:paraId="003EE213" w14:textId="78FAF173" w:rsidR="00A50B40" w:rsidRDefault="00A50B40">
      <w:pPr>
        <w:spacing w:after="200" w:line="276" w:lineRule="auto"/>
        <w:rPr>
          <w:rFonts w:eastAsia="Times New Roman" w:cstheme="minorHAnsi"/>
        </w:rPr>
      </w:pPr>
      <w:r>
        <w:rPr>
          <w:rFonts w:eastAsia="Times New Roman" w:cstheme="minorHAnsi"/>
        </w:rPr>
        <w:br w:type="page"/>
      </w:r>
    </w:p>
    <w:p w14:paraId="41BD8DEF" w14:textId="77777777" w:rsidR="005F6358" w:rsidRPr="00F30AE3" w:rsidRDefault="005F6358" w:rsidP="00F13240">
      <w:pPr>
        <w:pStyle w:val="Heading1"/>
        <w:numPr>
          <w:ilvl w:val="0"/>
          <w:numId w:val="0"/>
        </w:numPr>
      </w:pPr>
      <w:bookmarkStart w:id="24" w:name="_Appendix_3"/>
      <w:bookmarkStart w:id="25" w:name="_Toc28084478"/>
      <w:bookmarkStart w:id="26" w:name="_Toc64632335"/>
      <w:bookmarkEnd w:id="24"/>
      <w:r w:rsidRPr="00F30AE3">
        <w:lastRenderedPageBreak/>
        <w:t xml:space="preserve">Appendix </w:t>
      </w:r>
      <w:bookmarkEnd w:id="25"/>
      <w:r w:rsidRPr="00F30AE3">
        <w:t>2: Shared Care Agreement Letter (Primary Care Prescriber to Specialist)</w:t>
      </w:r>
      <w:bookmarkEnd w:id="26"/>
    </w:p>
    <w:p w14:paraId="1FFAE8B0" w14:textId="77777777" w:rsidR="005F6358" w:rsidRPr="00F30AE3" w:rsidRDefault="005F6358" w:rsidP="005F6358">
      <w:pPr>
        <w:spacing w:after="0"/>
        <w:rPr>
          <w:rFonts w:eastAsia="Times New Roman" w:cs="Arial"/>
          <w:b/>
          <w:bCs/>
          <w:sz w:val="32"/>
          <w:szCs w:val="20"/>
        </w:rPr>
      </w:pPr>
    </w:p>
    <w:p w14:paraId="77BD59C3" w14:textId="77777777" w:rsidR="005F6358" w:rsidRPr="00F30AE3" w:rsidRDefault="005F6358" w:rsidP="005F6358">
      <w:pPr>
        <w:rPr>
          <w:rFonts w:cs="Arial"/>
          <w:b/>
        </w:rPr>
      </w:pPr>
      <w:r w:rsidRPr="00F30AE3">
        <w:rPr>
          <w:rFonts w:cs="Arial"/>
          <w:b/>
        </w:rPr>
        <w:t>Primary Care Prescriber Response</w:t>
      </w:r>
    </w:p>
    <w:p w14:paraId="32005DFA" w14:textId="77777777" w:rsidR="00133CD2" w:rsidRPr="006C3BBB" w:rsidRDefault="00133CD2" w:rsidP="00133CD2">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1776304334" w:edGrp="everyone"/>
      <w:r w:rsidRPr="006C3BBB">
        <w:rPr>
          <w:rFonts w:eastAsia="Times New Roman" w:cs="Arial"/>
          <w:i/>
          <w:iCs/>
          <w:szCs w:val="24"/>
        </w:rPr>
        <w:t>insert Doctor's name</w:t>
      </w:r>
    </w:p>
    <w:permEnd w:id="1776304334"/>
    <w:p w14:paraId="53221636" w14:textId="77777777" w:rsidR="00133CD2" w:rsidRPr="006C3BBB" w:rsidRDefault="00133CD2" w:rsidP="00133CD2">
      <w:pPr>
        <w:spacing w:after="0"/>
        <w:rPr>
          <w:rFonts w:eastAsia="Times New Roman" w:cs="Arial"/>
          <w:i/>
          <w:szCs w:val="24"/>
        </w:rPr>
      </w:pPr>
      <w:r w:rsidRPr="006C3BBB">
        <w:rPr>
          <w:rFonts w:eastAsia="Times New Roman" w:cs="Arial"/>
          <w:szCs w:val="24"/>
        </w:rPr>
        <w:t xml:space="preserve">Patient: </w:t>
      </w:r>
      <w:permStart w:id="2060586544" w:edGrp="everyone"/>
      <w:r w:rsidRPr="006C3BBB">
        <w:rPr>
          <w:rFonts w:eastAsia="Times New Roman" w:cs="Arial"/>
          <w:i/>
          <w:iCs/>
          <w:szCs w:val="24"/>
        </w:rPr>
        <w:t>insert Patient's name</w:t>
      </w:r>
      <w:permEnd w:id="2060586544"/>
    </w:p>
    <w:p w14:paraId="5DBB0004" w14:textId="77777777" w:rsidR="00133CD2" w:rsidRPr="006C3BBB" w:rsidRDefault="00133CD2" w:rsidP="00133CD2">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153524817" w:edGrp="everyone"/>
      <w:r w:rsidRPr="006C3BBB">
        <w:rPr>
          <w:rFonts w:eastAsia="Times New Roman" w:cs="Arial"/>
          <w:i/>
          <w:iCs/>
          <w:szCs w:val="24"/>
        </w:rPr>
        <w:t>insert NHS Number</w:t>
      </w:r>
      <w:permEnd w:id="1153524817"/>
    </w:p>
    <w:p w14:paraId="69FC7098" w14:textId="77777777" w:rsidR="00133CD2" w:rsidRPr="006C3BBB" w:rsidRDefault="00133CD2" w:rsidP="00133CD2">
      <w:pPr>
        <w:spacing w:after="0"/>
        <w:rPr>
          <w:rFonts w:eastAsia="Times New Roman" w:cs="Arial"/>
          <w:i/>
          <w:iCs/>
          <w:szCs w:val="24"/>
        </w:rPr>
      </w:pPr>
      <w:r w:rsidRPr="006C3BBB">
        <w:rPr>
          <w:rFonts w:eastAsia="Times New Roman" w:cs="Arial"/>
          <w:szCs w:val="24"/>
        </w:rPr>
        <w:t xml:space="preserve">Identifier:  </w:t>
      </w:r>
      <w:permStart w:id="726408277" w:edGrp="everyone"/>
      <w:r w:rsidRPr="006C3BBB">
        <w:rPr>
          <w:rFonts w:eastAsia="Times New Roman" w:cs="Arial"/>
          <w:i/>
          <w:iCs/>
          <w:szCs w:val="24"/>
        </w:rPr>
        <w:t>insert patient's date of birth and/or address</w:t>
      </w:r>
      <w:permEnd w:id="726408277"/>
    </w:p>
    <w:p w14:paraId="5DEE2732" w14:textId="1C23B065" w:rsidR="005F6358" w:rsidRPr="00F30AE3" w:rsidRDefault="005F6358" w:rsidP="005F6358">
      <w:pPr>
        <w:spacing w:after="0"/>
        <w:rPr>
          <w:rFonts w:eastAsia="Times New Roman" w:cs="Arial"/>
          <w:i/>
          <w:iCs/>
        </w:rPr>
      </w:pPr>
    </w:p>
    <w:p w14:paraId="1462A147" w14:textId="77777777" w:rsidR="005F6358" w:rsidRPr="00F30AE3" w:rsidRDefault="005F6358" w:rsidP="005F6358">
      <w:pPr>
        <w:spacing w:after="0"/>
        <w:rPr>
          <w:rFonts w:eastAsia="Times New Roman" w:cs="Arial"/>
          <w:i/>
          <w:iCs/>
        </w:rPr>
      </w:pPr>
    </w:p>
    <w:p w14:paraId="5BC3417C" w14:textId="77777777" w:rsidR="005F6358" w:rsidRPr="00F30AE3" w:rsidRDefault="005F6358" w:rsidP="005F6358">
      <w:pPr>
        <w:spacing w:after="0"/>
        <w:rPr>
          <w:rFonts w:eastAsia="Times New Roman" w:cs="Arial"/>
        </w:rPr>
      </w:pPr>
      <w:r w:rsidRPr="00F30AE3">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F30AE3"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F30AE3" w14:paraId="78F58A4F" w14:textId="77777777" w:rsidTr="00E3221B">
        <w:tc>
          <w:tcPr>
            <w:tcW w:w="3320" w:type="dxa"/>
            <w:shd w:val="clear" w:color="auto" w:fill="D9D9D9" w:themeFill="background1" w:themeFillShade="D9"/>
          </w:tcPr>
          <w:p w14:paraId="55EA8A96" w14:textId="77777777" w:rsidR="005F6358" w:rsidRPr="00F30AE3" w:rsidRDefault="005F6358" w:rsidP="00E3221B">
            <w:pPr>
              <w:jc w:val="center"/>
              <w:rPr>
                <w:rFonts w:eastAsia="Times New Roman" w:cs="Arial"/>
              </w:rPr>
            </w:pPr>
            <w:r w:rsidRPr="00F30AE3">
              <w:rPr>
                <w:rFonts w:eastAsia="Times New Roman" w:cs="Arial"/>
              </w:rPr>
              <w:t>Medicine</w:t>
            </w:r>
          </w:p>
        </w:tc>
        <w:tc>
          <w:tcPr>
            <w:tcW w:w="3321" w:type="dxa"/>
            <w:shd w:val="clear" w:color="auto" w:fill="D9D9D9" w:themeFill="background1" w:themeFillShade="D9"/>
          </w:tcPr>
          <w:p w14:paraId="21D38F36" w14:textId="77777777" w:rsidR="005F6358" w:rsidRPr="00F30AE3" w:rsidRDefault="005F6358" w:rsidP="00E3221B">
            <w:pPr>
              <w:jc w:val="center"/>
              <w:rPr>
                <w:rFonts w:eastAsia="Times New Roman" w:cs="Arial"/>
              </w:rPr>
            </w:pPr>
            <w:r w:rsidRPr="00F30AE3">
              <w:rPr>
                <w:rFonts w:eastAsia="Times New Roman" w:cs="Arial"/>
              </w:rPr>
              <w:t>Route</w:t>
            </w:r>
          </w:p>
        </w:tc>
        <w:tc>
          <w:tcPr>
            <w:tcW w:w="3321" w:type="dxa"/>
            <w:shd w:val="clear" w:color="auto" w:fill="D9D9D9" w:themeFill="background1" w:themeFillShade="D9"/>
          </w:tcPr>
          <w:p w14:paraId="4C29C19D" w14:textId="77777777" w:rsidR="005F6358" w:rsidRPr="00F30AE3" w:rsidRDefault="005F6358" w:rsidP="00E3221B">
            <w:pPr>
              <w:jc w:val="center"/>
              <w:rPr>
                <w:rFonts w:eastAsia="Times New Roman" w:cs="Arial"/>
              </w:rPr>
            </w:pPr>
            <w:r w:rsidRPr="00F30AE3">
              <w:rPr>
                <w:rFonts w:eastAsia="Times New Roman" w:cs="Arial"/>
              </w:rPr>
              <w:t>Dose &amp; frequency</w:t>
            </w:r>
          </w:p>
        </w:tc>
      </w:tr>
      <w:tr w:rsidR="005F6358" w:rsidRPr="00F30AE3" w14:paraId="1EB3B9B3" w14:textId="77777777" w:rsidTr="00E3221B">
        <w:tc>
          <w:tcPr>
            <w:tcW w:w="3320" w:type="dxa"/>
          </w:tcPr>
          <w:p w14:paraId="7EC7F693" w14:textId="77777777" w:rsidR="005F6358" w:rsidRPr="00F30AE3" w:rsidRDefault="005F6358" w:rsidP="00E3221B">
            <w:pPr>
              <w:rPr>
                <w:rFonts w:eastAsia="Times New Roman" w:cs="Arial"/>
              </w:rPr>
            </w:pPr>
            <w:permStart w:id="1849962691" w:edGrp="everyone"/>
            <w:permEnd w:id="1849962691"/>
          </w:p>
        </w:tc>
        <w:tc>
          <w:tcPr>
            <w:tcW w:w="3321" w:type="dxa"/>
          </w:tcPr>
          <w:p w14:paraId="584B6B99" w14:textId="77777777" w:rsidR="005F6358" w:rsidRPr="00F30AE3" w:rsidRDefault="005F6358" w:rsidP="00E3221B">
            <w:pPr>
              <w:rPr>
                <w:rFonts w:eastAsia="Times New Roman" w:cs="Arial"/>
              </w:rPr>
            </w:pPr>
            <w:permStart w:id="1428909892" w:edGrp="everyone"/>
            <w:permEnd w:id="1428909892"/>
          </w:p>
        </w:tc>
        <w:tc>
          <w:tcPr>
            <w:tcW w:w="3321" w:type="dxa"/>
          </w:tcPr>
          <w:p w14:paraId="606BB2B5" w14:textId="77777777" w:rsidR="005F6358" w:rsidRPr="00F30AE3" w:rsidRDefault="005F6358" w:rsidP="00E3221B">
            <w:pPr>
              <w:rPr>
                <w:rFonts w:eastAsia="Times New Roman" w:cs="Arial"/>
              </w:rPr>
            </w:pPr>
            <w:permStart w:id="362885840" w:edGrp="everyone"/>
            <w:permEnd w:id="362885840"/>
          </w:p>
        </w:tc>
      </w:tr>
    </w:tbl>
    <w:p w14:paraId="6FE7C9BD" w14:textId="77777777" w:rsidR="005F6358" w:rsidRPr="00F30AE3" w:rsidRDefault="005F6358" w:rsidP="005F6358">
      <w:pPr>
        <w:spacing w:after="0"/>
        <w:rPr>
          <w:rFonts w:eastAsia="Times New Roman" w:cs="Arial"/>
        </w:rPr>
      </w:pPr>
    </w:p>
    <w:p w14:paraId="339E7D91" w14:textId="77777777" w:rsidR="00133CD2" w:rsidRPr="006C3BBB" w:rsidRDefault="00133CD2" w:rsidP="00133CD2">
      <w:pPr>
        <w:spacing w:after="0"/>
        <w:rPr>
          <w:rFonts w:eastAsia="Times New Roman" w:cs="Arial"/>
        </w:rPr>
      </w:pPr>
      <w:r w:rsidRPr="104F79DE">
        <w:rPr>
          <w:rFonts w:eastAsia="Times New Roman" w:cs="Arial"/>
        </w:rPr>
        <w:t xml:space="preserve">I can confirm that I am willing to take on this responsibility from </w:t>
      </w:r>
      <w:permStart w:id="1540109500" w:edGrp="everyone"/>
      <w:r w:rsidRPr="104F79DE">
        <w:rPr>
          <w:rFonts w:eastAsia="Times New Roman" w:cs="Arial"/>
          <w:i/>
        </w:rPr>
        <w:t xml:space="preserve">insert date </w:t>
      </w:r>
      <w:permEnd w:id="1540109500"/>
      <w:r w:rsidRPr="104F79DE">
        <w:rPr>
          <w:rFonts w:eastAsia="Times New Roman" w:cs="Arial"/>
        </w:rPr>
        <w:t>and will complete the monitoring as set out in the shared care protocol for this medicine/condition.</w:t>
      </w:r>
    </w:p>
    <w:p w14:paraId="1A2733A6" w14:textId="77777777" w:rsidR="005F6358" w:rsidRPr="00F30AE3" w:rsidRDefault="005F6358" w:rsidP="005F6358">
      <w:pPr>
        <w:spacing w:after="0"/>
        <w:ind w:left="720"/>
        <w:rPr>
          <w:rFonts w:eastAsia="Times New Roman" w:cs="Arial"/>
          <w:bCs/>
        </w:rPr>
      </w:pPr>
    </w:p>
    <w:p w14:paraId="3DA3F882" w14:textId="77777777" w:rsidR="00A50B40" w:rsidRDefault="005F6358" w:rsidP="005F6358">
      <w:pPr>
        <w:spacing w:after="0"/>
        <w:rPr>
          <w:rFonts w:eastAsia="Times New Roman" w:cs="Arial"/>
          <w:bCs/>
        </w:rPr>
      </w:pPr>
      <w:r w:rsidRPr="00F30AE3">
        <w:rPr>
          <w:rFonts w:eastAsia="Times New Roman" w:cs="Arial"/>
          <w:bCs/>
        </w:rPr>
        <w:t>Primary Care Prescriber signature: _______________________________</w:t>
      </w:r>
      <w:r w:rsidRPr="00F30AE3">
        <w:rPr>
          <w:rFonts w:eastAsia="Times New Roman" w:cs="Arial"/>
          <w:bCs/>
        </w:rPr>
        <w:tab/>
      </w:r>
    </w:p>
    <w:p w14:paraId="6CF5221F" w14:textId="61B025B8" w:rsidR="005F6358" w:rsidRPr="00F30AE3" w:rsidRDefault="005F6358" w:rsidP="005F6358">
      <w:pPr>
        <w:spacing w:after="0"/>
        <w:rPr>
          <w:rFonts w:eastAsia="Times New Roman" w:cs="Arial"/>
          <w:bCs/>
        </w:rPr>
      </w:pPr>
      <w:r w:rsidRPr="00F30AE3">
        <w:rPr>
          <w:rFonts w:eastAsia="Times New Roman" w:cs="Arial"/>
          <w:bCs/>
        </w:rPr>
        <w:t xml:space="preserve">Date: ____________ </w:t>
      </w:r>
    </w:p>
    <w:p w14:paraId="132AEFA8" w14:textId="77777777" w:rsidR="005F6358" w:rsidRPr="00F30AE3" w:rsidRDefault="005F6358" w:rsidP="005F6358">
      <w:pPr>
        <w:spacing w:after="0"/>
        <w:ind w:left="720"/>
        <w:rPr>
          <w:rFonts w:eastAsia="Times New Roman" w:cs="Arial"/>
          <w:bCs/>
        </w:rPr>
      </w:pPr>
    </w:p>
    <w:p w14:paraId="7138C530" w14:textId="77777777" w:rsidR="005F6358" w:rsidRPr="00F30AE3" w:rsidRDefault="005F6358" w:rsidP="005F6358">
      <w:pPr>
        <w:spacing w:after="0"/>
        <w:ind w:left="720"/>
        <w:rPr>
          <w:rFonts w:eastAsia="Times New Roman" w:cs="Arial"/>
          <w:bCs/>
        </w:rPr>
      </w:pPr>
    </w:p>
    <w:p w14:paraId="29F1B561" w14:textId="77777777" w:rsidR="005F6358" w:rsidRPr="00F30AE3" w:rsidRDefault="005F6358" w:rsidP="005F6358">
      <w:pPr>
        <w:spacing w:after="0"/>
        <w:ind w:left="720"/>
        <w:rPr>
          <w:rFonts w:eastAsia="Times New Roman" w:cs="Arial"/>
          <w:bCs/>
        </w:rPr>
      </w:pPr>
    </w:p>
    <w:p w14:paraId="38C8164B" w14:textId="77777777" w:rsidR="005F6358" w:rsidRPr="00F30AE3" w:rsidRDefault="005F6358" w:rsidP="005F6358">
      <w:pPr>
        <w:spacing w:after="0"/>
        <w:rPr>
          <w:rFonts w:eastAsia="Times New Roman" w:cs="Arial"/>
          <w:bCs/>
        </w:rPr>
      </w:pPr>
      <w:r w:rsidRPr="00F30AE3">
        <w:rPr>
          <w:rFonts w:eastAsia="Times New Roman" w:cs="Arial"/>
          <w:bCs/>
        </w:rPr>
        <w:t>Primary Care Prescriber address/practice stamp</w:t>
      </w:r>
    </w:p>
    <w:p w14:paraId="6F0BFCBB" w14:textId="77777777" w:rsidR="005F6358" w:rsidRPr="00F30AE3" w:rsidRDefault="005F6358" w:rsidP="005F6358">
      <w:pPr>
        <w:rPr>
          <w:rFonts w:eastAsia="Times New Roman" w:cs="Arial"/>
          <w:bCs/>
        </w:rPr>
      </w:pPr>
      <w:r w:rsidRPr="00F30AE3">
        <w:rPr>
          <w:rFonts w:eastAsia="Times New Roman" w:cs="Arial"/>
          <w:bCs/>
        </w:rPr>
        <w:br w:type="page"/>
      </w:r>
    </w:p>
    <w:p w14:paraId="39EB88B2" w14:textId="77777777" w:rsidR="005F6358" w:rsidRPr="00F30AE3" w:rsidRDefault="005F6358" w:rsidP="00F13240">
      <w:pPr>
        <w:pStyle w:val="Heading1"/>
        <w:numPr>
          <w:ilvl w:val="0"/>
          <w:numId w:val="0"/>
        </w:numPr>
      </w:pPr>
      <w:bookmarkStart w:id="27" w:name="_Appendix_4"/>
      <w:bookmarkStart w:id="28" w:name="_Toc28084479"/>
      <w:bookmarkStart w:id="29" w:name="_Toc64632336"/>
      <w:bookmarkEnd w:id="27"/>
      <w:r w:rsidRPr="00F30AE3">
        <w:lastRenderedPageBreak/>
        <w:t xml:space="preserve">Appendix </w:t>
      </w:r>
      <w:bookmarkEnd w:id="28"/>
      <w:r w:rsidRPr="00F30AE3">
        <w:t>3: Shared Care Refusal Letter (Primary Care Prescriber to Specialist)</w:t>
      </w:r>
      <w:bookmarkEnd w:id="29"/>
    </w:p>
    <w:p w14:paraId="1BE7EAC2" w14:textId="77777777" w:rsidR="005F6358" w:rsidRPr="00F30AE3" w:rsidRDefault="005F6358" w:rsidP="005F6358">
      <w:pPr>
        <w:autoSpaceDE w:val="0"/>
        <w:autoSpaceDN w:val="0"/>
        <w:adjustRightInd w:val="0"/>
        <w:spacing w:after="0"/>
        <w:rPr>
          <w:rFonts w:eastAsia="Times New Roman" w:cs="Arial"/>
          <w:lang w:eastAsia="en-GB"/>
        </w:rPr>
      </w:pPr>
    </w:p>
    <w:p w14:paraId="46A7B0C3" w14:textId="77777777" w:rsidR="00133CD2" w:rsidRPr="006C3BBB" w:rsidRDefault="00133CD2" w:rsidP="00133CD2">
      <w:pPr>
        <w:spacing w:after="0"/>
        <w:rPr>
          <w:rFonts w:eastAsia="Times New Roman" w:cs="Arial"/>
          <w:i/>
          <w:szCs w:val="24"/>
        </w:rPr>
      </w:pPr>
      <w:r w:rsidRPr="006C3BBB">
        <w:rPr>
          <w:rFonts w:eastAsia="Times New Roman" w:cs="Arial"/>
          <w:szCs w:val="24"/>
        </w:rPr>
        <w:t xml:space="preserve">Patient:  </w:t>
      </w:r>
      <w:permStart w:id="1037501194" w:edGrp="everyone"/>
      <w:r w:rsidRPr="006C3BBB">
        <w:rPr>
          <w:rFonts w:eastAsia="Times New Roman" w:cs="Arial"/>
          <w:i/>
          <w:iCs/>
          <w:szCs w:val="24"/>
        </w:rPr>
        <w:t>insert Patient's name</w:t>
      </w:r>
      <w:permEnd w:id="1037501194"/>
    </w:p>
    <w:p w14:paraId="2A34F8CA" w14:textId="77777777" w:rsidR="00133CD2" w:rsidRPr="006C3BBB" w:rsidRDefault="00133CD2" w:rsidP="00133CD2">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548300663" w:edGrp="everyone"/>
      <w:r w:rsidRPr="006C3BBB">
        <w:rPr>
          <w:rFonts w:eastAsia="Times New Roman" w:cs="Arial"/>
          <w:i/>
          <w:iCs/>
          <w:szCs w:val="24"/>
        </w:rPr>
        <w:t>insert NHS Number</w:t>
      </w:r>
      <w:permEnd w:id="1548300663"/>
    </w:p>
    <w:p w14:paraId="4D392FF4" w14:textId="77777777" w:rsidR="00133CD2" w:rsidRPr="006C3BBB" w:rsidRDefault="00133CD2" w:rsidP="00133CD2">
      <w:pPr>
        <w:spacing w:after="0"/>
        <w:rPr>
          <w:rFonts w:eastAsia="Times New Roman" w:cs="Arial"/>
          <w:i/>
          <w:szCs w:val="24"/>
        </w:rPr>
      </w:pPr>
      <w:r w:rsidRPr="006C3BBB">
        <w:rPr>
          <w:rFonts w:eastAsia="Times New Roman" w:cs="Arial"/>
          <w:szCs w:val="24"/>
        </w:rPr>
        <w:t xml:space="preserve">Identifier:  </w:t>
      </w:r>
      <w:permStart w:id="2122871798"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2122871798"/>
    </w:p>
    <w:p w14:paraId="7700C6D4" w14:textId="77777777" w:rsidR="005F6358" w:rsidRPr="00F30AE3" w:rsidRDefault="005F6358" w:rsidP="005F6358">
      <w:pPr>
        <w:spacing w:after="0"/>
        <w:rPr>
          <w:rFonts w:eastAsia="Times New Roman" w:cs="Arial"/>
          <w:i/>
          <w:iCs/>
        </w:rPr>
      </w:pPr>
    </w:p>
    <w:p w14:paraId="62F2BB60" w14:textId="77777777" w:rsidR="00116685" w:rsidRPr="006C3BBB" w:rsidRDefault="00116685" w:rsidP="00F12D75">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4C6E87C4" w14:textId="778B3E89" w:rsidR="00133CD2" w:rsidRDefault="00133CD2" w:rsidP="00133CD2">
      <w:pPr>
        <w:autoSpaceDE w:val="0"/>
        <w:autoSpaceDN w:val="0"/>
        <w:adjustRightInd w:val="0"/>
        <w:spacing w:after="0" w:line="276" w:lineRule="auto"/>
        <w:rPr>
          <w:rFonts w:eastAsia="Times New Roman" w:cs="Arial"/>
          <w:bCs/>
          <w:szCs w:val="24"/>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143209104"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143209104"/>
      <w:r w:rsidRPr="006C3BBB">
        <w:rPr>
          <w:rFonts w:eastAsia="Times New Roman" w:cs="Arial"/>
          <w:bCs/>
          <w:szCs w:val="24"/>
          <w:lang w:eastAsia="en-GB"/>
        </w:rPr>
        <w:t>as a Shared Care drug and requires a number of conditions to be met before transfer can be made to primary care</w:t>
      </w:r>
      <w:r>
        <w:rPr>
          <w:rFonts w:eastAsia="Times New Roman" w:cs="Arial"/>
          <w:bCs/>
          <w:szCs w:val="24"/>
          <w:lang w:eastAsia="en-GB"/>
        </w:rPr>
        <w:t>.</w:t>
      </w:r>
    </w:p>
    <w:p w14:paraId="5DCCCF9C" w14:textId="77777777" w:rsidR="00133CD2" w:rsidRPr="009E33B5" w:rsidRDefault="00133CD2" w:rsidP="00133CD2">
      <w:pPr>
        <w:autoSpaceDE w:val="0"/>
        <w:autoSpaceDN w:val="0"/>
        <w:adjustRightInd w:val="0"/>
        <w:spacing w:after="0" w:line="276" w:lineRule="auto"/>
        <w:rPr>
          <w:rFonts w:eastAsia="Times New Roman" w:cs="Arial"/>
          <w:b/>
          <w:lang w:eastAsia="en-GB"/>
        </w:rPr>
      </w:pPr>
    </w:p>
    <w:p w14:paraId="68E679A9" w14:textId="77777777" w:rsidR="00116685" w:rsidRDefault="00116685" w:rsidP="00116685">
      <w:pPr>
        <w:autoSpaceDE w:val="0"/>
        <w:autoSpaceDN w:val="0"/>
        <w:adjustRightInd w:val="0"/>
        <w:spacing w:after="0" w:line="276" w:lineRule="auto"/>
        <w:rPr>
          <w:rFonts w:eastAsia="Times New Roman" w:cs="Arial"/>
          <w:b/>
          <w:bCs/>
          <w:lang w:eastAsia="en-GB"/>
        </w:rPr>
      </w:pPr>
      <w:r w:rsidRPr="002D255E">
        <w:rPr>
          <w:rFonts w:eastAsia="Times New Roman" w:cs="Arial"/>
          <w:b/>
          <w:bCs/>
          <w:lang w:eastAsia="en-GB"/>
        </w:rPr>
        <w:t>I regret to inform you that in this instance I am unable to take on responsibility due to the following:</w:t>
      </w:r>
    </w:p>
    <w:p w14:paraId="0C1783FE" w14:textId="77777777" w:rsidR="00116685" w:rsidRPr="002D255E" w:rsidRDefault="00116685" w:rsidP="00116685">
      <w:pPr>
        <w:autoSpaceDE w:val="0"/>
        <w:autoSpaceDN w:val="0"/>
        <w:adjustRightInd w:val="0"/>
        <w:spacing w:after="0" w:line="276" w:lineRule="auto"/>
        <w:rPr>
          <w:rFonts w:eastAsia="Times New Roman" w:cs="Arial"/>
          <w:b/>
          <w:bCs/>
          <w:sz w:val="20"/>
          <w:szCs w:val="20"/>
          <w:lang w:eastAsia="en-GB"/>
        </w:rPr>
      </w:pPr>
    </w:p>
    <w:tbl>
      <w:tblPr>
        <w:tblStyle w:val="TableGrid1"/>
        <w:tblW w:w="5000" w:type="pct"/>
        <w:tblCellMar>
          <w:top w:w="113" w:type="dxa"/>
          <w:bottom w:w="113" w:type="dxa"/>
        </w:tblCellMar>
        <w:tblLook w:val="04A0" w:firstRow="1" w:lastRow="0" w:firstColumn="1" w:lastColumn="0" w:noHBand="0" w:noVBand="1"/>
      </w:tblPr>
      <w:tblGrid>
        <w:gridCol w:w="417"/>
        <w:gridCol w:w="7562"/>
        <w:gridCol w:w="1081"/>
      </w:tblGrid>
      <w:tr w:rsidR="00116685" w:rsidRPr="00F30AE3" w14:paraId="65190CF4" w14:textId="77777777" w:rsidTr="00F13240">
        <w:trPr>
          <w:cantSplit/>
        </w:trPr>
        <w:tc>
          <w:tcPr>
            <w:tcW w:w="211" w:type="pct"/>
          </w:tcPr>
          <w:p w14:paraId="1130104A" w14:textId="6589E960" w:rsidR="00116685" w:rsidRPr="00F30AE3" w:rsidRDefault="00116685" w:rsidP="00116685">
            <w:pPr>
              <w:autoSpaceDE w:val="0"/>
              <w:autoSpaceDN w:val="0"/>
              <w:adjustRightInd w:val="0"/>
              <w:spacing w:after="0" w:line="276" w:lineRule="auto"/>
              <w:jc w:val="center"/>
              <w:rPr>
                <w:rFonts w:eastAsia="Times New Roman" w:cs="Arial"/>
                <w:b/>
                <w:bCs/>
                <w:lang w:eastAsia="en-GB"/>
              </w:rPr>
            </w:pPr>
            <w:r w:rsidRPr="004515D1">
              <w:rPr>
                <w:rFonts w:eastAsia="Times New Roman" w:cs="Arial"/>
                <w:b/>
                <w:bCs/>
                <w:szCs w:val="24"/>
                <w:lang w:eastAsia="en-GB"/>
              </w:rPr>
              <w:t xml:space="preserve">   </w:t>
            </w:r>
          </w:p>
        </w:tc>
        <w:tc>
          <w:tcPr>
            <w:tcW w:w="4183" w:type="pct"/>
          </w:tcPr>
          <w:p w14:paraId="7BEDA9A4" w14:textId="77777777" w:rsidR="00116685" w:rsidRPr="00F30AE3" w:rsidRDefault="00116685" w:rsidP="00116685">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62922082" w:rsidR="00116685" w:rsidRPr="00F30AE3" w:rsidRDefault="00116685" w:rsidP="00116685">
            <w:pPr>
              <w:autoSpaceDE w:val="0"/>
              <w:autoSpaceDN w:val="0"/>
              <w:adjustRightInd w:val="0"/>
              <w:spacing w:after="0" w:line="276" w:lineRule="auto"/>
              <w:jc w:val="center"/>
              <w:rPr>
                <w:rFonts w:eastAsia="Times New Roman" w:cs="Arial"/>
                <w:b/>
                <w:bCs/>
                <w:sz w:val="18"/>
                <w:lang w:eastAsia="en-GB"/>
              </w:rPr>
            </w:pPr>
            <w:r w:rsidRPr="004515D1">
              <w:rPr>
                <w:rFonts w:eastAsia="Times New Roman" w:cs="Arial"/>
                <w:b/>
                <w:bCs/>
                <w:szCs w:val="24"/>
                <w:lang w:eastAsia="en-GB"/>
              </w:rPr>
              <w:t>Tick which apply</w:t>
            </w:r>
          </w:p>
        </w:tc>
      </w:tr>
      <w:tr w:rsidR="00116685" w:rsidRPr="00F30AE3" w14:paraId="06E31781" w14:textId="77777777" w:rsidTr="00F13240">
        <w:trPr>
          <w:cantSplit/>
        </w:trPr>
        <w:tc>
          <w:tcPr>
            <w:tcW w:w="211" w:type="pct"/>
          </w:tcPr>
          <w:p w14:paraId="0D12C882" w14:textId="6DB825F1" w:rsidR="00116685" w:rsidRPr="00F30AE3" w:rsidRDefault="00116685" w:rsidP="00116685">
            <w:pPr>
              <w:autoSpaceDE w:val="0"/>
              <w:autoSpaceDN w:val="0"/>
              <w:adjustRightInd w:val="0"/>
              <w:spacing w:after="0" w:line="276" w:lineRule="auto"/>
              <w:rPr>
                <w:rFonts w:eastAsia="Times New Roman" w:cs="Arial"/>
                <w:b/>
                <w:bCs/>
                <w:sz w:val="20"/>
                <w:szCs w:val="20"/>
                <w:lang w:eastAsia="en-GB"/>
              </w:rPr>
            </w:pPr>
            <w:r w:rsidRPr="004515D1">
              <w:rPr>
                <w:rFonts w:eastAsia="Times New Roman" w:cs="Arial"/>
                <w:b/>
                <w:bCs/>
                <w:szCs w:val="24"/>
                <w:lang w:eastAsia="en-GB"/>
              </w:rPr>
              <w:t>1.</w:t>
            </w:r>
          </w:p>
        </w:tc>
        <w:tc>
          <w:tcPr>
            <w:tcW w:w="4183" w:type="pct"/>
          </w:tcPr>
          <w:p w14:paraId="789D2639" w14:textId="77777777" w:rsidR="00116685" w:rsidRPr="004515D1" w:rsidRDefault="00116685" w:rsidP="00116685">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3FD042CE" w14:textId="77777777" w:rsidR="00116685" w:rsidRPr="004515D1" w:rsidRDefault="00116685" w:rsidP="00116685">
            <w:pPr>
              <w:autoSpaceDE w:val="0"/>
              <w:autoSpaceDN w:val="0"/>
              <w:adjustRightInd w:val="0"/>
              <w:spacing w:after="120" w:line="240" w:lineRule="auto"/>
              <w:contextualSpacing/>
              <w:rPr>
                <w:rFonts w:eastAsia="Times New Roman" w:cs="Arial"/>
                <w:bCs/>
                <w:szCs w:val="24"/>
                <w:lang w:eastAsia="en-GB"/>
              </w:rPr>
            </w:pPr>
            <w:r w:rsidRPr="004515D1">
              <w:rPr>
                <w:rFonts w:eastAsia="Times New Roman" w:cs="Arial"/>
                <w:bCs/>
                <w:szCs w:val="24"/>
                <w:lang w:eastAsia="en-GB"/>
              </w:rPr>
              <w:t>As the patients primary care prescriber I do not feel clinically confident to manage this patient’s condition because</w:t>
            </w:r>
            <w:r>
              <w:rPr>
                <w:rFonts w:eastAsia="Times New Roman" w:cs="Arial"/>
                <w:i/>
                <w:szCs w:val="24"/>
              </w:rPr>
              <w:t xml:space="preserve"> </w:t>
            </w:r>
            <w:permStart w:id="1711240599" w:edGrp="everyone"/>
            <w:r>
              <w:rPr>
                <w:rFonts w:eastAsia="Times New Roman" w:cs="Arial"/>
                <w:i/>
                <w:szCs w:val="24"/>
              </w:rPr>
              <w:t>insert reason</w:t>
            </w:r>
            <w:permEnd w:id="1711240599"/>
            <w:r w:rsidRPr="004515D1">
              <w:rPr>
                <w:rFonts w:eastAsia="Times New Roman" w:cs="Arial"/>
                <w:bCs/>
                <w:szCs w:val="24"/>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339FBA78" w:rsidR="00116685" w:rsidRPr="00F30AE3" w:rsidRDefault="00116685" w:rsidP="00116685">
            <w:pPr>
              <w:autoSpaceDE w:val="0"/>
              <w:autoSpaceDN w:val="0"/>
              <w:adjustRightInd w:val="0"/>
              <w:spacing w:after="120" w:line="276" w:lineRule="auto"/>
              <w:rPr>
                <w:rFonts w:eastAsia="Times New Roman" w:cs="Arial"/>
                <w:b/>
                <w:bCs/>
                <w:sz w:val="20"/>
                <w:szCs w:val="20"/>
                <w:lang w:eastAsia="en-GB"/>
              </w:rPr>
            </w:pPr>
            <w:r w:rsidRPr="004515D1">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116685" w:rsidRPr="00F30AE3" w:rsidRDefault="00116685" w:rsidP="00116685">
            <w:pPr>
              <w:autoSpaceDE w:val="0"/>
              <w:autoSpaceDN w:val="0"/>
              <w:adjustRightInd w:val="0"/>
              <w:spacing w:after="0" w:line="276" w:lineRule="auto"/>
              <w:rPr>
                <w:rFonts w:eastAsia="Times New Roman" w:cs="Arial"/>
                <w:b/>
                <w:bCs/>
                <w:sz w:val="18"/>
                <w:lang w:eastAsia="en-GB"/>
              </w:rPr>
            </w:pPr>
            <w:permStart w:id="415984894" w:edGrp="everyone"/>
            <w:permEnd w:id="415984894"/>
          </w:p>
        </w:tc>
      </w:tr>
      <w:tr w:rsidR="00116685" w:rsidRPr="00F30AE3" w14:paraId="6095A7DF" w14:textId="77777777" w:rsidTr="00F13240">
        <w:trPr>
          <w:cantSplit/>
        </w:trPr>
        <w:tc>
          <w:tcPr>
            <w:tcW w:w="211" w:type="pct"/>
          </w:tcPr>
          <w:p w14:paraId="51095E2B" w14:textId="41CF9456" w:rsidR="00116685" w:rsidRPr="00F30AE3" w:rsidRDefault="00116685" w:rsidP="00116685">
            <w:pPr>
              <w:autoSpaceDE w:val="0"/>
              <w:autoSpaceDN w:val="0"/>
              <w:adjustRightInd w:val="0"/>
              <w:spacing w:after="0" w:line="276" w:lineRule="auto"/>
              <w:rPr>
                <w:rFonts w:eastAsia="Times New Roman" w:cs="Arial"/>
                <w:b/>
                <w:bCs/>
                <w:sz w:val="20"/>
                <w:szCs w:val="20"/>
                <w:lang w:eastAsia="en-GB"/>
              </w:rPr>
            </w:pPr>
            <w:r w:rsidRPr="004515D1">
              <w:rPr>
                <w:rFonts w:eastAsia="Times New Roman" w:cs="Arial"/>
                <w:b/>
                <w:bCs/>
                <w:szCs w:val="24"/>
                <w:lang w:eastAsia="en-GB"/>
              </w:rPr>
              <w:t>2.</w:t>
            </w:r>
          </w:p>
        </w:tc>
        <w:tc>
          <w:tcPr>
            <w:tcW w:w="4183" w:type="pct"/>
          </w:tcPr>
          <w:p w14:paraId="1C104750" w14:textId="77777777" w:rsidR="00116685" w:rsidRPr="004515D1" w:rsidRDefault="00116685" w:rsidP="00116685">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The medicine or condition does not fall within the criteria defining suitability for inclusion in a shared care arrangement</w:t>
            </w:r>
          </w:p>
          <w:p w14:paraId="378C996F" w14:textId="77777777" w:rsidR="00116685" w:rsidRPr="004515D1" w:rsidRDefault="00116685" w:rsidP="00116685">
            <w:pPr>
              <w:autoSpaceDE w:val="0"/>
              <w:autoSpaceDN w:val="0"/>
              <w:adjustRightInd w:val="0"/>
              <w:spacing w:after="120" w:line="240" w:lineRule="auto"/>
              <w:contextualSpacing/>
              <w:rPr>
                <w:rFonts w:eastAsia="Times New Roman" w:cs="Arial"/>
                <w:bCs/>
                <w:szCs w:val="24"/>
                <w:lang w:eastAsia="en-GB"/>
              </w:rPr>
            </w:pPr>
            <w:r w:rsidRPr="004515D1">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27E71B35" w:rsidR="00116685" w:rsidRPr="00F30AE3" w:rsidRDefault="00116685" w:rsidP="00116685">
            <w:pPr>
              <w:autoSpaceDE w:val="0"/>
              <w:autoSpaceDN w:val="0"/>
              <w:adjustRightInd w:val="0"/>
              <w:spacing w:after="120" w:line="276" w:lineRule="auto"/>
              <w:rPr>
                <w:rFonts w:eastAsia="Times New Roman" w:cs="Arial"/>
                <w:b/>
                <w:bCs/>
                <w:sz w:val="20"/>
                <w:szCs w:val="20"/>
                <w:lang w:eastAsia="en-GB"/>
              </w:rPr>
            </w:pPr>
            <w:r w:rsidRPr="004515D1">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116685" w:rsidRPr="00F30AE3" w:rsidRDefault="00116685" w:rsidP="00116685">
            <w:pPr>
              <w:autoSpaceDE w:val="0"/>
              <w:autoSpaceDN w:val="0"/>
              <w:adjustRightInd w:val="0"/>
              <w:spacing w:after="0" w:line="276" w:lineRule="auto"/>
              <w:rPr>
                <w:rFonts w:eastAsia="Times New Roman" w:cs="Arial"/>
                <w:b/>
                <w:bCs/>
                <w:sz w:val="18"/>
                <w:lang w:eastAsia="en-GB"/>
              </w:rPr>
            </w:pPr>
            <w:permStart w:id="16411651" w:edGrp="everyone"/>
            <w:permEnd w:id="16411651"/>
          </w:p>
        </w:tc>
      </w:tr>
      <w:tr w:rsidR="00116685" w:rsidRPr="00F30AE3" w14:paraId="51D5B5F5" w14:textId="77777777" w:rsidTr="00F13240">
        <w:trPr>
          <w:cantSplit/>
        </w:trPr>
        <w:tc>
          <w:tcPr>
            <w:tcW w:w="211" w:type="pct"/>
          </w:tcPr>
          <w:p w14:paraId="68560AF9" w14:textId="1B1E7634" w:rsidR="00116685" w:rsidRPr="00F30AE3" w:rsidRDefault="00116685" w:rsidP="00116685">
            <w:pPr>
              <w:autoSpaceDE w:val="0"/>
              <w:autoSpaceDN w:val="0"/>
              <w:adjustRightInd w:val="0"/>
              <w:spacing w:after="0" w:line="276" w:lineRule="auto"/>
              <w:rPr>
                <w:rFonts w:eastAsia="Times New Roman" w:cs="Arial"/>
                <w:b/>
                <w:bCs/>
                <w:sz w:val="20"/>
                <w:szCs w:val="20"/>
                <w:lang w:eastAsia="en-GB"/>
              </w:rPr>
            </w:pPr>
            <w:r w:rsidRPr="004515D1">
              <w:rPr>
                <w:rFonts w:eastAsia="Times New Roman" w:cs="Arial"/>
                <w:b/>
                <w:bCs/>
                <w:szCs w:val="24"/>
                <w:lang w:eastAsia="en-GB"/>
              </w:rPr>
              <w:lastRenderedPageBreak/>
              <w:t>3.</w:t>
            </w:r>
          </w:p>
        </w:tc>
        <w:tc>
          <w:tcPr>
            <w:tcW w:w="4183" w:type="pct"/>
          </w:tcPr>
          <w:p w14:paraId="4E51F36F" w14:textId="77777777" w:rsidR="00116685" w:rsidRPr="004515D1" w:rsidRDefault="00116685" w:rsidP="00116685">
            <w:pPr>
              <w:autoSpaceDE w:val="0"/>
              <w:autoSpaceDN w:val="0"/>
              <w:adjustRightInd w:val="0"/>
              <w:spacing w:after="120" w:line="240" w:lineRule="auto"/>
              <w:contextualSpacing/>
              <w:rPr>
                <w:rFonts w:eastAsia="Times New Roman" w:cs="Arial"/>
                <w:b/>
                <w:bCs/>
                <w:szCs w:val="24"/>
                <w:lang w:eastAsia="en-GB"/>
              </w:rPr>
            </w:pPr>
            <w:r w:rsidRPr="004515D1">
              <w:rPr>
                <w:rFonts w:eastAsia="Times New Roman" w:cs="Arial"/>
                <w:b/>
                <w:bCs/>
                <w:szCs w:val="24"/>
                <w:lang w:eastAsia="en-GB"/>
              </w:rPr>
              <w:t>A minimum duration of supply by the initiating clinician</w:t>
            </w:r>
          </w:p>
          <w:p w14:paraId="38F4B66D" w14:textId="77777777" w:rsidR="00116685" w:rsidRPr="004515D1" w:rsidRDefault="00116685" w:rsidP="00116685">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1F0749EB" w:rsidR="00116685" w:rsidRPr="00F30AE3" w:rsidRDefault="00116685" w:rsidP="00116685">
            <w:pPr>
              <w:autoSpaceDE w:val="0"/>
              <w:autoSpaceDN w:val="0"/>
              <w:adjustRightInd w:val="0"/>
              <w:spacing w:after="120" w:line="276" w:lineRule="auto"/>
              <w:rPr>
                <w:rFonts w:eastAsia="Times New Roman" w:cs="Arial"/>
                <w:sz w:val="20"/>
                <w:szCs w:val="20"/>
                <w:lang w:eastAsia="en-GB"/>
              </w:rPr>
            </w:pPr>
            <w:r w:rsidRPr="004515D1">
              <w:rPr>
                <w:rFonts w:eastAsia="Times New Roman" w:cs="Arial"/>
                <w:b/>
                <w:i/>
                <w:szCs w:val="24"/>
                <w:lang w:eastAsia="en-GB"/>
              </w:rPr>
              <w:t>Until the patient has had the appropriate length of supply the responsibility for providing the patient with their medication remains with you</w:t>
            </w:r>
            <w:r w:rsidRPr="004515D1">
              <w:rPr>
                <w:rFonts w:eastAsia="Times New Roman" w:cs="Arial"/>
                <w:b/>
                <w:bCs/>
                <w:i/>
                <w:szCs w:val="24"/>
                <w:lang w:eastAsia="en-GB"/>
              </w:rPr>
              <w:t>.</w:t>
            </w:r>
          </w:p>
        </w:tc>
        <w:tc>
          <w:tcPr>
            <w:tcW w:w="606" w:type="pct"/>
          </w:tcPr>
          <w:p w14:paraId="19AE6141" w14:textId="77777777" w:rsidR="00116685" w:rsidRPr="00F30AE3" w:rsidRDefault="00116685" w:rsidP="00116685">
            <w:pPr>
              <w:autoSpaceDE w:val="0"/>
              <w:autoSpaceDN w:val="0"/>
              <w:adjustRightInd w:val="0"/>
              <w:spacing w:after="0" w:line="276" w:lineRule="auto"/>
              <w:rPr>
                <w:rFonts w:eastAsia="Times New Roman" w:cs="Arial"/>
                <w:b/>
                <w:bCs/>
                <w:sz w:val="18"/>
                <w:lang w:eastAsia="en-GB"/>
              </w:rPr>
            </w:pPr>
            <w:permStart w:id="1166046020" w:edGrp="everyone"/>
            <w:permEnd w:id="1166046020"/>
          </w:p>
        </w:tc>
      </w:tr>
      <w:tr w:rsidR="00116685" w:rsidRPr="00F30AE3" w14:paraId="089988B7" w14:textId="77777777" w:rsidTr="00F13240">
        <w:trPr>
          <w:cantSplit/>
        </w:trPr>
        <w:tc>
          <w:tcPr>
            <w:tcW w:w="211" w:type="pct"/>
          </w:tcPr>
          <w:p w14:paraId="0EB24C74" w14:textId="4E5E98F3" w:rsidR="00116685" w:rsidRPr="00F30AE3" w:rsidRDefault="00116685" w:rsidP="00116685">
            <w:pPr>
              <w:autoSpaceDE w:val="0"/>
              <w:autoSpaceDN w:val="0"/>
              <w:adjustRightInd w:val="0"/>
              <w:spacing w:after="0" w:line="276" w:lineRule="auto"/>
              <w:rPr>
                <w:rFonts w:eastAsia="Times New Roman" w:cs="Arial"/>
                <w:b/>
                <w:bCs/>
                <w:sz w:val="20"/>
                <w:szCs w:val="20"/>
                <w:lang w:eastAsia="en-GB"/>
              </w:rPr>
            </w:pPr>
            <w:r w:rsidRPr="004515D1">
              <w:rPr>
                <w:rFonts w:eastAsia="Times New Roman" w:cs="Arial"/>
                <w:b/>
                <w:bCs/>
                <w:szCs w:val="24"/>
                <w:lang w:eastAsia="en-GB"/>
              </w:rPr>
              <w:t>4.</w:t>
            </w:r>
          </w:p>
        </w:tc>
        <w:tc>
          <w:tcPr>
            <w:tcW w:w="4183" w:type="pct"/>
          </w:tcPr>
          <w:p w14:paraId="13F0CC89" w14:textId="77777777" w:rsidR="00116685" w:rsidRPr="004515D1" w:rsidRDefault="00116685" w:rsidP="00116685">
            <w:pPr>
              <w:autoSpaceDE w:val="0"/>
              <w:autoSpaceDN w:val="0"/>
              <w:adjustRightInd w:val="0"/>
              <w:spacing w:after="120" w:line="240" w:lineRule="auto"/>
              <w:contextualSpacing/>
              <w:rPr>
                <w:rFonts w:eastAsia="Times New Roman" w:cs="Arial"/>
                <w:b/>
                <w:szCs w:val="24"/>
                <w:lang w:eastAsia="en-GB"/>
              </w:rPr>
            </w:pPr>
            <w:r w:rsidRPr="004515D1">
              <w:rPr>
                <w:rFonts w:eastAsia="Times New Roman" w:cs="Arial"/>
                <w:b/>
                <w:szCs w:val="24"/>
                <w:lang w:eastAsia="en-GB"/>
              </w:rPr>
              <w:t>Initiation and optimisation by the initiating specialist</w:t>
            </w:r>
          </w:p>
          <w:p w14:paraId="17E370E0" w14:textId="77777777" w:rsidR="00116685" w:rsidRPr="004515D1" w:rsidRDefault="00116685" w:rsidP="00116685">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0B6DF155" w:rsidR="00116685" w:rsidRPr="00F30AE3" w:rsidRDefault="00116685" w:rsidP="00116685">
            <w:pPr>
              <w:autoSpaceDE w:val="0"/>
              <w:autoSpaceDN w:val="0"/>
              <w:adjustRightInd w:val="0"/>
              <w:spacing w:after="120" w:line="276" w:lineRule="auto"/>
              <w:rPr>
                <w:rFonts w:eastAsia="Times New Roman" w:cs="Arial"/>
                <w:b/>
                <w:i/>
                <w:sz w:val="20"/>
                <w:szCs w:val="20"/>
                <w:lang w:eastAsia="en-GB"/>
              </w:rPr>
            </w:pPr>
            <w:r w:rsidRPr="004515D1">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689A7579" w14:textId="77777777" w:rsidR="00116685" w:rsidRPr="00F30AE3" w:rsidRDefault="00116685" w:rsidP="00116685">
            <w:pPr>
              <w:autoSpaceDE w:val="0"/>
              <w:autoSpaceDN w:val="0"/>
              <w:adjustRightInd w:val="0"/>
              <w:spacing w:after="0" w:line="276" w:lineRule="auto"/>
              <w:rPr>
                <w:rFonts w:eastAsia="Times New Roman" w:cs="Arial"/>
                <w:b/>
                <w:bCs/>
                <w:sz w:val="18"/>
                <w:lang w:eastAsia="en-GB"/>
              </w:rPr>
            </w:pPr>
            <w:permStart w:id="1129258597" w:edGrp="everyone"/>
            <w:permEnd w:id="1129258597"/>
          </w:p>
        </w:tc>
      </w:tr>
      <w:tr w:rsidR="00116685" w:rsidRPr="00F30AE3" w14:paraId="2013151E" w14:textId="77777777" w:rsidTr="00F13240">
        <w:trPr>
          <w:cantSplit/>
        </w:trPr>
        <w:tc>
          <w:tcPr>
            <w:tcW w:w="211" w:type="pct"/>
          </w:tcPr>
          <w:p w14:paraId="051E7B39" w14:textId="2EA74D2E" w:rsidR="00116685" w:rsidRPr="00F30AE3" w:rsidRDefault="00116685" w:rsidP="00116685">
            <w:pPr>
              <w:autoSpaceDE w:val="0"/>
              <w:autoSpaceDN w:val="0"/>
              <w:adjustRightInd w:val="0"/>
              <w:spacing w:after="0" w:line="276" w:lineRule="auto"/>
              <w:rPr>
                <w:rFonts w:eastAsia="Times New Roman" w:cs="Arial"/>
                <w:b/>
                <w:bCs/>
                <w:sz w:val="20"/>
                <w:szCs w:val="20"/>
                <w:lang w:eastAsia="en-GB"/>
              </w:rPr>
            </w:pPr>
            <w:r w:rsidRPr="004515D1">
              <w:rPr>
                <w:rFonts w:eastAsia="Times New Roman" w:cs="Arial"/>
                <w:b/>
                <w:bCs/>
                <w:szCs w:val="24"/>
                <w:lang w:eastAsia="en-GB"/>
              </w:rPr>
              <w:t>5.</w:t>
            </w:r>
          </w:p>
        </w:tc>
        <w:tc>
          <w:tcPr>
            <w:tcW w:w="4183" w:type="pct"/>
          </w:tcPr>
          <w:p w14:paraId="73556054" w14:textId="77777777" w:rsidR="00116685" w:rsidRPr="004515D1" w:rsidRDefault="00116685" w:rsidP="00116685">
            <w:pPr>
              <w:autoSpaceDE w:val="0"/>
              <w:autoSpaceDN w:val="0"/>
              <w:adjustRightInd w:val="0"/>
              <w:spacing w:after="120" w:line="240" w:lineRule="auto"/>
              <w:contextualSpacing/>
              <w:rPr>
                <w:rFonts w:eastAsia="Times New Roman" w:cs="Arial"/>
                <w:b/>
                <w:szCs w:val="24"/>
                <w:lang w:eastAsia="en-GB"/>
              </w:rPr>
            </w:pPr>
            <w:r w:rsidRPr="004515D1">
              <w:rPr>
                <w:rFonts w:eastAsia="Times New Roman" w:cs="Arial"/>
                <w:b/>
                <w:szCs w:val="24"/>
                <w:lang w:eastAsia="en-GB"/>
              </w:rPr>
              <w:t>Shared Care Protocol not received</w:t>
            </w:r>
          </w:p>
          <w:p w14:paraId="2D5D7239" w14:textId="77777777" w:rsidR="00116685" w:rsidRPr="004515D1" w:rsidRDefault="00116685" w:rsidP="00116685">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4515D1">
              <w:rPr>
                <w:rFonts w:eastAsia="Times New Roman" w:cs="Arial"/>
                <w:b/>
                <w:i/>
                <w:szCs w:val="24"/>
                <w:lang w:eastAsia="en-GB"/>
              </w:rPr>
              <w:t>.</w:t>
            </w:r>
          </w:p>
          <w:p w14:paraId="74F3CA59" w14:textId="77777777" w:rsidR="00116685" w:rsidRPr="004515D1" w:rsidRDefault="00116685" w:rsidP="00116685">
            <w:pPr>
              <w:autoSpaceDE w:val="0"/>
              <w:autoSpaceDN w:val="0"/>
              <w:adjustRightInd w:val="0"/>
              <w:spacing w:after="120" w:line="240" w:lineRule="auto"/>
              <w:contextualSpacing/>
              <w:rPr>
                <w:rFonts w:eastAsia="Times New Roman" w:cs="Arial"/>
                <w:b/>
                <w:i/>
                <w:szCs w:val="24"/>
                <w:lang w:eastAsia="en-GB"/>
              </w:rPr>
            </w:pPr>
            <w:r w:rsidRPr="004515D1">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4515D1">
              <w:rPr>
                <w:rFonts w:eastAsia="Times New Roman" w:cs="Arial"/>
                <w:b/>
                <w:i/>
                <w:szCs w:val="24"/>
                <w:lang w:eastAsia="en-GB"/>
              </w:rPr>
              <w:t xml:space="preserve">  </w:t>
            </w:r>
          </w:p>
          <w:p w14:paraId="2148BBDC" w14:textId="47A6A9C6" w:rsidR="00116685" w:rsidRPr="00F30AE3" w:rsidRDefault="00116685" w:rsidP="00116685">
            <w:pPr>
              <w:autoSpaceDE w:val="0"/>
              <w:autoSpaceDN w:val="0"/>
              <w:adjustRightInd w:val="0"/>
              <w:spacing w:after="120" w:line="276" w:lineRule="auto"/>
              <w:rPr>
                <w:rFonts w:eastAsia="Times New Roman" w:cs="Arial"/>
                <w:sz w:val="20"/>
                <w:szCs w:val="20"/>
                <w:lang w:eastAsia="en-GB"/>
              </w:rPr>
            </w:pPr>
            <w:r w:rsidRPr="004515D1">
              <w:rPr>
                <w:rFonts w:eastAsia="Times New Roman" w:cs="Arial"/>
                <w:b/>
                <w:i/>
                <w:szCs w:val="24"/>
                <w:lang w:eastAsia="en-GB"/>
              </w:rPr>
              <w:t>Until I receive the appropriate SCP, responsibility for providing the patient with their medication remains with you</w:t>
            </w:r>
            <w:r w:rsidRPr="004515D1">
              <w:rPr>
                <w:rFonts w:eastAsia="Times New Roman" w:cs="Arial"/>
                <w:b/>
                <w:bCs/>
                <w:i/>
                <w:szCs w:val="24"/>
                <w:lang w:eastAsia="en-GB"/>
              </w:rPr>
              <w:t>.</w:t>
            </w:r>
          </w:p>
        </w:tc>
        <w:tc>
          <w:tcPr>
            <w:tcW w:w="606" w:type="pct"/>
          </w:tcPr>
          <w:p w14:paraId="7E5BBA9D" w14:textId="77777777" w:rsidR="00116685" w:rsidRPr="00F30AE3" w:rsidRDefault="00116685" w:rsidP="00116685">
            <w:pPr>
              <w:autoSpaceDE w:val="0"/>
              <w:autoSpaceDN w:val="0"/>
              <w:adjustRightInd w:val="0"/>
              <w:spacing w:after="0" w:line="276" w:lineRule="auto"/>
              <w:rPr>
                <w:rFonts w:eastAsia="Times New Roman" w:cs="Arial"/>
                <w:b/>
                <w:bCs/>
                <w:sz w:val="18"/>
                <w:lang w:eastAsia="en-GB"/>
              </w:rPr>
            </w:pPr>
            <w:permStart w:id="1583615522" w:edGrp="everyone"/>
            <w:permEnd w:id="1583615522"/>
          </w:p>
        </w:tc>
      </w:tr>
      <w:tr w:rsidR="00116685" w:rsidRPr="00F30AE3" w14:paraId="2B399447" w14:textId="77777777" w:rsidTr="00F13240">
        <w:trPr>
          <w:cantSplit/>
        </w:trPr>
        <w:tc>
          <w:tcPr>
            <w:tcW w:w="211" w:type="pct"/>
          </w:tcPr>
          <w:p w14:paraId="171DF1F3" w14:textId="2D05D8B9" w:rsidR="00116685" w:rsidRPr="00F30AE3" w:rsidRDefault="00116685" w:rsidP="00116685">
            <w:pPr>
              <w:autoSpaceDE w:val="0"/>
              <w:autoSpaceDN w:val="0"/>
              <w:adjustRightInd w:val="0"/>
              <w:spacing w:after="0" w:line="276" w:lineRule="auto"/>
              <w:rPr>
                <w:rFonts w:eastAsia="Times New Roman" w:cs="Arial"/>
                <w:b/>
                <w:bCs/>
                <w:sz w:val="20"/>
                <w:szCs w:val="20"/>
                <w:lang w:eastAsia="en-GB"/>
              </w:rPr>
            </w:pPr>
            <w:r w:rsidRPr="004515D1">
              <w:rPr>
                <w:rFonts w:eastAsia="Times New Roman" w:cs="Arial"/>
                <w:b/>
                <w:bCs/>
                <w:szCs w:val="24"/>
                <w:lang w:eastAsia="en-GB"/>
              </w:rPr>
              <w:t>6.</w:t>
            </w:r>
          </w:p>
        </w:tc>
        <w:tc>
          <w:tcPr>
            <w:tcW w:w="4183" w:type="pct"/>
          </w:tcPr>
          <w:p w14:paraId="5457FA1D" w14:textId="77777777" w:rsidR="00116685" w:rsidRPr="004515D1" w:rsidRDefault="00116685" w:rsidP="00116685">
            <w:pPr>
              <w:autoSpaceDE w:val="0"/>
              <w:autoSpaceDN w:val="0"/>
              <w:adjustRightInd w:val="0"/>
              <w:spacing w:after="120" w:line="240" w:lineRule="auto"/>
              <w:contextualSpacing/>
              <w:rPr>
                <w:rFonts w:eastAsia="Times New Roman" w:cs="Arial"/>
                <w:b/>
                <w:szCs w:val="24"/>
                <w:lang w:eastAsia="en-GB"/>
              </w:rPr>
            </w:pPr>
            <w:r w:rsidRPr="004515D1">
              <w:rPr>
                <w:rFonts w:eastAsia="Times New Roman" w:cs="Arial"/>
                <w:b/>
                <w:szCs w:val="24"/>
                <w:lang w:eastAsia="en-GB"/>
              </w:rPr>
              <w:t>Other (Primary Care Prescriber to complete if there are other reasons why shared care cannot be accepted)</w:t>
            </w:r>
          </w:p>
          <w:p w14:paraId="4E22FA42" w14:textId="77777777" w:rsidR="00116685" w:rsidRPr="004515D1" w:rsidRDefault="00116685" w:rsidP="00116685">
            <w:pPr>
              <w:autoSpaceDE w:val="0"/>
              <w:autoSpaceDN w:val="0"/>
              <w:adjustRightInd w:val="0"/>
              <w:spacing w:after="120" w:line="240" w:lineRule="auto"/>
              <w:contextualSpacing/>
              <w:rPr>
                <w:rFonts w:eastAsia="Times New Roman" w:cs="Arial"/>
                <w:b/>
                <w:szCs w:val="24"/>
                <w:lang w:eastAsia="en-GB"/>
              </w:rPr>
            </w:pPr>
          </w:p>
          <w:p w14:paraId="07B4309A" w14:textId="77777777" w:rsidR="00116685" w:rsidRPr="00F30AE3" w:rsidRDefault="00116685" w:rsidP="00116685">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116685" w:rsidRPr="00F30AE3" w:rsidRDefault="00116685" w:rsidP="00116685">
            <w:pPr>
              <w:autoSpaceDE w:val="0"/>
              <w:autoSpaceDN w:val="0"/>
              <w:adjustRightInd w:val="0"/>
              <w:spacing w:after="0" w:line="276" w:lineRule="auto"/>
              <w:rPr>
                <w:rFonts w:eastAsia="Times New Roman" w:cs="Arial"/>
                <w:b/>
                <w:bCs/>
                <w:sz w:val="18"/>
                <w:lang w:eastAsia="en-GB"/>
              </w:rPr>
            </w:pPr>
            <w:permStart w:id="1363371400" w:edGrp="everyone"/>
            <w:permEnd w:id="1363371400"/>
          </w:p>
        </w:tc>
      </w:tr>
    </w:tbl>
    <w:p w14:paraId="5AFA3438" w14:textId="77777777" w:rsidR="005F6358" w:rsidRPr="00F30AE3" w:rsidRDefault="005F6358" w:rsidP="005F6358">
      <w:pPr>
        <w:autoSpaceDE w:val="0"/>
        <w:autoSpaceDN w:val="0"/>
        <w:adjustRightInd w:val="0"/>
        <w:spacing w:after="0"/>
        <w:rPr>
          <w:rFonts w:eastAsia="Times New Roman" w:cs="Arial"/>
          <w:b/>
          <w:bCs/>
          <w:lang w:eastAsia="en-GB"/>
        </w:rPr>
      </w:pPr>
    </w:p>
    <w:p w14:paraId="4BB22CAC" w14:textId="77777777" w:rsidR="005F6358" w:rsidRPr="00F30AE3" w:rsidRDefault="005F6358" w:rsidP="005F6358">
      <w:pPr>
        <w:autoSpaceDE w:val="0"/>
        <w:autoSpaceDN w:val="0"/>
        <w:adjustRightInd w:val="0"/>
        <w:spacing w:after="0"/>
        <w:rPr>
          <w:rFonts w:eastAsia="Times New Roman" w:cs="Arial"/>
          <w:bCs/>
          <w:lang w:eastAsia="en-GB"/>
        </w:rPr>
      </w:pPr>
      <w:r w:rsidRPr="00F30AE3">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F30AE3" w:rsidRDefault="005F6358" w:rsidP="005F6358">
      <w:pPr>
        <w:autoSpaceDE w:val="0"/>
        <w:autoSpaceDN w:val="0"/>
        <w:adjustRightInd w:val="0"/>
        <w:spacing w:after="0"/>
        <w:rPr>
          <w:rFonts w:eastAsia="Times New Roman" w:cs="Arial"/>
          <w:bCs/>
          <w:lang w:eastAsia="en-GB"/>
        </w:rPr>
      </w:pPr>
    </w:p>
    <w:p w14:paraId="0280FF79" w14:textId="77777777" w:rsidR="005F6358" w:rsidRPr="00F30AE3" w:rsidRDefault="005F6358" w:rsidP="005F6358">
      <w:pPr>
        <w:autoSpaceDE w:val="0"/>
        <w:autoSpaceDN w:val="0"/>
        <w:adjustRightInd w:val="0"/>
        <w:spacing w:after="0"/>
        <w:rPr>
          <w:rFonts w:eastAsia="Times New Roman" w:cs="Arial"/>
          <w:lang w:eastAsia="en-GB"/>
        </w:rPr>
      </w:pPr>
      <w:r w:rsidRPr="00F30AE3">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w:t>
      </w:r>
      <w:r w:rsidRPr="00F30AE3">
        <w:rPr>
          <w:rFonts w:eastAsia="Times New Roman" w:cs="Arial"/>
          <w:lang w:eastAsia="en-GB"/>
        </w:rPr>
        <w:lastRenderedPageBreak/>
        <w:t>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F30AE3" w:rsidRDefault="005F6358" w:rsidP="005F6358">
      <w:pPr>
        <w:autoSpaceDE w:val="0"/>
        <w:autoSpaceDN w:val="0"/>
        <w:adjustRightInd w:val="0"/>
        <w:spacing w:after="0"/>
        <w:rPr>
          <w:rFonts w:eastAsia="Times New Roman" w:cs="Arial"/>
          <w:lang w:eastAsia="en-GB"/>
        </w:rPr>
      </w:pPr>
    </w:p>
    <w:p w14:paraId="7DD8E7BA" w14:textId="77777777" w:rsidR="005F6358" w:rsidRPr="00F30AE3" w:rsidRDefault="005F6358" w:rsidP="005F6358">
      <w:pPr>
        <w:autoSpaceDE w:val="0"/>
        <w:autoSpaceDN w:val="0"/>
        <w:adjustRightInd w:val="0"/>
        <w:spacing w:after="0"/>
        <w:rPr>
          <w:rFonts w:eastAsia="Times New Roman" w:cs="Arial"/>
          <w:lang w:eastAsia="en-GB"/>
        </w:rPr>
      </w:pPr>
      <w:r w:rsidRPr="00F30AE3">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F30AE3" w:rsidRDefault="005F6358" w:rsidP="005F6358">
      <w:pPr>
        <w:autoSpaceDE w:val="0"/>
        <w:autoSpaceDN w:val="0"/>
        <w:adjustRightInd w:val="0"/>
        <w:spacing w:after="0"/>
        <w:rPr>
          <w:rFonts w:eastAsia="Times New Roman" w:cs="Arial"/>
          <w:lang w:eastAsia="en-GB"/>
        </w:rPr>
      </w:pPr>
    </w:p>
    <w:p w14:paraId="55351CD5" w14:textId="77777777" w:rsidR="005F6358" w:rsidRPr="00F30AE3" w:rsidRDefault="005F6358" w:rsidP="005F6358">
      <w:pPr>
        <w:spacing w:after="0"/>
        <w:rPr>
          <w:rFonts w:eastAsia="Times New Roman" w:cs="Arial"/>
          <w:lang w:eastAsia="en-GB"/>
        </w:rPr>
      </w:pPr>
      <w:r w:rsidRPr="00F30AE3">
        <w:rPr>
          <w:rFonts w:eastAsia="Times New Roman" w:cs="Arial"/>
          <w:lang w:eastAsia="en-GB"/>
        </w:rPr>
        <w:t>Yours sincerely</w:t>
      </w:r>
    </w:p>
    <w:p w14:paraId="719FE9CC" w14:textId="77777777" w:rsidR="005F6358" w:rsidRPr="00F30AE3" w:rsidRDefault="005F6358" w:rsidP="005F6358">
      <w:pPr>
        <w:spacing w:after="0" w:line="240" w:lineRule="auto"/>
        <w:rPr>
          <w:rFonts w:eastAsia="Times New Roman" w:cs="Arial"/>
          <w:lang w:eastAsia="en-GB"/>
        </w:rPr>
      </w:pPr>
    </w:p>
    <w:p w14:paraId="1ED92FD2" w14:textId="77777777" w:rsidR="005F6358" w:rsidRPr="00F30AE3" w:rsidRDefault="005F6358" w:rsidP="005F6358">
      <w:pPr>
        <w:spacing w:after="0" w:line="240" w:lineRule="auto"/>
        <w:rPr>
          <w:rFonts w:eastAsia="Times New Roman" w:cs="Arial"/>
          <w:lang w:eastAsia="en-GB"/>
        </w:rPr>
      </w:pPr>
    </w:p>
    <w:p w14:paraId="3C3CC6C4" w14:textId="77777777" w:rsidR="00116685" w:rsidRDefault="005F6358" w:rsidP="005F6358">
      <w:pPr>
        <w:autoSpaceDE w:val="0"/>
        <w:autoSpaceDN w:val="0"/>
        <w:adjustRightInd w:val="0"/>
        <w:spacing w:after="0" w:line="240" w:lineRule="auto"/>
        <w:rPr>
          <w:rFonts w:eastAsia="Times New Roman" w:cs="Arial"/>
          <w:b/>
          <w:bCs/>
        </w:rPr>
      </w:pPr>
      <w:r w:rsidRPr="00F30AE3">
        <w:rPr>
          <w:rFonts w:eastAsia="Times New Roman" w:cs="Arial"/>
          <w:b/>
          <w:bCs/>
        </w:rPr>
        <w:t>Primary Care Prescriber signature: _</w:t>
      </w:r>
      <w:permStart w:id="16594213" w:edGrp="everyone"/>
      <w:permEnd w:id="16594213"/>
      <w:r w:rsidRPr="00F30AE3">
        <w:rPr>
          <w:rFonts w:eastAsia="Times New Roman" w:cs="Arial"/>
          <w:b/>
          <w:bCs/>
        </w:rPr>
        <w:t>______________________________</w:t>
      </w:r>
    </w:p>
    <w:p w14:paraId="7AABED8C" w14:textId="77777777" w:rsidR="00116685" w:rsidRDefault="00116685" w:rsidP="005F6358">
      <w:pPr>
        <w:autoSpaceDE w:val="0"/>
        <w:autoSpaceDN w:val="0"/>
        <w:adjustRightInd w:val="0"/>
        <w:spacing w:after="0" w:line="240" w:lineRule="auto"/>
        <w:rPr>
          <w:rFonts w:eastAsia="Times New Roman" w:cs="Arial"/>
          <w:b/>
          <w:bCs/>
        </w:rPr>
      </w:pPr>
    </w:p>
    <w:p w14:paraId="0D0C56BF" w14:textId="6BAD83F3" w:rsidR="005F6358" w:rsidRPr="00F30AE3" w:rsidRDefault="005F6358" w:rsidP="005F6358">
      <w:pPr>
        <w:autoSpaceDE w:val="0"/>
        <w:autoSpaceDN w:val="0"/>
        <w:adjustRightInd w:val="0"/>
        <w:spacing w:after="0" w:line="240" w:lineRule="auto"/>
        <w:rPr>
          <w:rFonts w:eastAsia="Times New Roman" w:cs="Arial"/>
          <w:b/>
          <w:bCs/>
        </w:rPr>
      </w:pPr>
      <w:r w:rsidRPr="00F30AE3">
        <w:rPr>
          <w:rFonts w:eastAsia="Times New Roman" w:cs="Arial"/>
          <w:b/>
          <w:bCs/>
        </w:rPr>
        <w:t xml:space="preserve">Date: </w:t>
      </w:r>
      <w:permStart w:id="19013603" w:edGrp="everyone"/>
      <w:permEnd w:id="19013603"/>
      <w:r w:rsidRPr="00F30AE3">
        <w:rPr>
          <w:rFonts w:eastAsia="Times New Roman" w:cs="Arial"/>
          <w:b/>
          <w:bCs/>
        </w:rPr>
        <w:t xml:space="preserve">____________ </w:t>
      </w:r>
    </w:p>
    <w:p w14:paraId="2D688D7E" w14:textId="77777777" w:rsidR="005F6358" w:rsidRPr="00F30AE3" w:rsidRDefault="005F6358" w:rsidP="005F6358">
      <w:pPr>
        <w:autoSpaceDE w:val="0"/>
        <w:autoSpaceDN w:val="0"/>
        <w:adjustRightInd w:val="0"/>
        <w:spacing w:after="0" w:line="240" w:lineRule="auto"/>
        <w:rPr>
          <w:rFonts w:eastAsia="Times New Roman" w:cs="Arial"/>
          <w:b/>
          <w:bCs/>
        </w:rPr>
      </w:pPr>
    </w:p>
    <w:p w14:paraId="1F08E5C7" w14:textId="77777777" w:rsidR="005F6358" w:rsidRPr="00F30AE3" w:rsidRDefault="005F6358" w:rsidP="005F6358">
      <w:pPr>
        <w:autoSpaceDE w:val="0"/>
        <w:autoSpaceDN w:val="0"/>
        <w:adjustRightInd w:val="0"/>
        <w:spacing w:after="0" w:line="240" w:lineRule="auto"/>
        <w:rPr>
          <w:rFonts w:eastAsia="Times New Roman" w:cs="Arial"/>
          <w:b/>
          <w:bCs/>
        </w:rPr>
      </w:pPr>
    </w:p>
    <w:p w14:paraId="3363D651" w14:textId="77777777" w:rsidR="005F6358" w:rsidRPr="00F30AE3"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F30AE3">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ermStart w:id="1018899510" w:edGrp="everyone"/>
      <w:permEnd w:id="1018899510"/>
    </w:p>
    <w:sectPr w:rsidR="00877E1D" w:rsidRPr="00F13240" w:rsidSect="007C7494">
      <w:headerReference w:type="default" r:id="rId92"/>
      <w:footerReference w:type="first" r:id="rId93"/>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2864" w14:textId="77777777" w:rsidR="006039A8" w:rsidRDefault="006039A8" w:rsidP="0087662D">
      <w:pPr>
        <w:spacing w:after="0" w:line="240" w:lineRule="auto"/>
      </w:pPr>
      <w:r>
        <w:separator/>
      </w:r>
    </w:p>
  </w:endnote>
  <w:endnote w:type="continuationSeparator" w:id="0">
    <w:p w14:paraId="530591C1" w14:textId="77777777" w:rsidR="006039A8" w:rsidRDefault="006039A8" w:rsidP="0087662D">
      <w:pPr>
        <w:spacing w:after="0" w:line="240" w:lineRule="auto"/>
      </w:pPr>
      <w:r>
        <w:continuationSeparator/>
      </w:r>
    </w:p>
  </w:endnote>
  <w:endnote w:type="continuationNotice" w:id="1">
    <w:p w14:paraId="298BAF58" w14:textId="77777777" w:rsidR="006039A8" w:rsidRDefault="00603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280B07D6" w:rsidR="005851A0" w:rsidRPr="00EF4D31" w:rsidRDefault="005851A0"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73919"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3244FB">
          <w:rPr>
            <w:noProof/>
            <w:color w:val="768692"/>
            <w:sz w:val="25"/>
            <w:szCs w:val="25"/>
          </w:rPr>
          <w:t>Version 1.1</w:t>
        </w:r>
        <w:r w:rsidRPr="00EF4D31">
          <w:rPr>
            <w:noProof/>
            <w:color w:val="768692"/>
            <w:sz w:val="25"/>
            <w:szCs w:val="25"/>
          </w:rPr>
          <w:fldChar w:fldCharType="end"/>
        </w:r>
      </w:p>
      <w:p w14:paraId="4994ED65" w14:textId="1269D3F0" w:rsidR="005851A0" w:rsidRDefault="003244FB" w:rsidP="00637261">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0609D3A" w14:paraId="45AE0B85" w14:textId="77777777" w:rsidTr="30609D3A">
      <w:trPr>
        <w:trHeight w:val="300"/>
      </w:trPr>
      <w:tc>
        <w:tcPr>
          <w:tcW w:w="3020" w:type="dxa"/>
        </w:tcPr>
        <w:p w14:paraId="3FFBDF47" w14:textId="5C89904D" w:rsidR="30609D3A" w:rsidRDefault="30609D3A" w:rsidP="30609D3A">
          <w:pPr>
            <w:pStyle w:val="Header"/>
            <w:ind w:left="-115"/>
          </w:pPr>
        </w:p>
      </w:tc>
      <w:tc>
        <w:tcPr>
          <w:tcW w:w="3020" w:type="dxa"/>
        </w:tcPr>
        <w:p w14:paraId="3542FC7E" w14:textId="67937208" w:rsidR="30609D3A" w:rsidRDefault="30609D3A" w:rsidP="30609D3A">
          <w:pPr>
            <w:pStyle w:val="Header"/>
            <w:jc w:val="center"/>
          </w:pPr>
        </w:p>
      </w:tc>
      <w:tc>
        <w:tcPr>
          <w:tcW w:w="3020" w:type="dxa"/>
        </w:tcPr>
        <w:p w14:paraId="078C525C" w14:textId="14B5C6BE" w:rsidR="30609D3A" w:rsidRDefault="30609D3A" w:rsidP="30609D3A">
          <w:pPr>
            <w:pStyle w:val="Header"/>
            <w:ind w:right="-115"/>
            <w:jc w:val="right"/>
          </w:pPr>
        </w:p>
      </w:tc>
    </w:tr>
  </w:tbl>
  <w:p w14:paraId="02B1EAE2" w14:textId="2F8E9297" w:rsidR="30609D3A" w:rsidRDefault="30609D3A" w:rsidP="30609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0609D3A" w14:paraId="560F2B4F" w14:textId="77777777" w:rsidTr="30609D3A">
      <w:trPr>
        <w:trHeight w:val="300"/>
      </w:trPr>
      <w:tc>
        <w:tcPr>
          <w:tcW w:w="3020" w:type="dxa"/>
        </w:tcPr>
        <w:p w14:paraId="3C28CD67" w14:textId="39F759A8" w:rsidR="30609D3A" w:rsidRDefault="30609D3A" w:rsidP="30609D3A">
          <w:pPr>
            <w:pStyle w:val="Header"/>
            <w:ind w:left="-115"/>
          </w:pPr>
        </w:p>
      </w:tc>
      <w:tc>
        <w:tcPr>
          <w:tcW w:w="3020" w:type="dxa"/>
        </w:tcPr>
        <w:p w14:paraId="704088E7" w14:textId="0C7D768D" w:rsidR="30609D3A" w:rsidRDefault="30609D3A" w:rsidP="30609D3A">
          <w:pPr>
            <w:pStyle w:val="Header"/>
            <w:jc w:val="center"/>
          </w:pPr>
        </w:p>
      </w:tc>
      <w:tc>
        <w:tcPr>
          <w:tcW w:w="3020" w:type="dxa"/>
        </w:tcPr>
        <w:p w14:paraId="638D14D8" w14:textId="3DBD11BB" w:rsidR="30609D3A" w:rsidRDefault="30609D3A" w:rsidP="30609D3A">
          <w:pPr>
            <w:pStyle w:val="Header"/>
            <w:ind w:right="-115"/>
            <w:jc w:val="right"/>
          </w:pPr>
        </w:p>
      </w:tc>
    </w:tr>
  </w:tbl>
  <w:p w14:paraId="484096FE" w14:textId="57078F28" w:rsidR="30609D3A" w:rsidRDefault="30609D3A" w:rsidP="30609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9926" w14:textId="77777777" w:rsidR="006039A8" w:rsidRDefault="006039A8" w:rsidP="0087662D">
      <w:pPr>
        <w:spacing w:after="0" w:line="240" w:lineRule="auto"/>
      </w:pPr>
      <w:r>
        <w:separator/>
      </w:r>
    </w:p>
  </w:footnote>
  <w:footnote w:type="continuationSeparator" w:id="0">
    <w:p w14:paraId="05B81D13" w14:textId="77777777" w:rsidR="006039A8" w:rsidRDefault="006039A8" w:rsidP="0087662D">
      <w:pPr>
        <w:spacing w:after="0" w:line="240" w:lineRule="auto"/>
      </w:pPr>
      <w:r>
        <w:continuationSeparator/>
      </w:r>
    </w:p>
  </w:footnote>
  <w:footnote w:type="continuationNotice" w:id="1">
    <w:p w14:paraId="4F527B73" w14:textId="77777777" w:rsidR="006039A8" w:rsidRDefault="00603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0609D3A" w14:paraId="7CE33D64" w14:textId="77777777" w:rsidTr="30609D3A">
      <w:trPr>
        <w:trHeight w:val="300"/>
      </w:trPr>
      <w:tc>
        <w:tcPr>
          <w:tcW w:w="3020" w:type="dxa"/>
        </w:tcPr>
        <w:p w14:paraId="172F0AEA" w14:textId="27646C9A" w:rsidR="30609D3A" w:rsidRDefault="30609D3A" w:rsidP="30609D3A">
          <w:pPr>
            <w:pStyle w:val="Header"/>
            <w:ind w:left="-115"/>
          </w:pPr>
        </w:p>
      </w:tc>
      <w:tc>
        <w:tcPr>
          <w:tcW w:w="3020" w:type="dxa"/>
        </w:tcPr>
        <w:p w14:paraId="218EC265" w14:textId="0C11B634" w:rsidR="30609D3A" w:rsidRDefault="30609D3A" w:rsidP="30609D3A">
          <w:pPr>
            <w:pStyle w:val="Header"/>
            <w:jc w:val="center"/>
          </w:pPr>
        </w:p>
      </w:tc>
      <w:tc>
        <w:tcPr>
          <w:tcW w:w="3020" w:type="dxa"/>
        </w:tcPr>
        <w:p w14:paraId="4028A8E5" w14:textId="6E4D0F66" w:rsidR="30609D3A" w:rsidRDefault="30609D3A" w:rsidP="30609D3A">
          <w:pPr>
            <w:pStyle w:val="Header"/>
            <w:ind w:right="-115"/>
            <w:jc w:val="right"/>
          </w:pPr>
        </w:p>
      </w:tc>
    </w:tr>
  </w:tbl>
  <w:p w14:paraId="52BE290B" w14:textId="5EEE696B" w:rsidR="30609D3A" w:rsidRDefault="30609D3A" w:rsidP="000E4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851A0"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5851A0" w:rsidRDefault="005851A0" w:rsidP="00C3089D">
              <w:pPr>
                <w:pStyle w:val="Classification"/>
              </w:pPr>
              <w:r>
                <w:t>Classification: Official</w:t>
              </w:r>
            </w:p>
          </w:tc>
        </w:sdtContent>
      </w:sdt>
    </w:tr>
    <w:tr w:rsidR="005851A0" w14:paraId="059FB345" w14:textId="77777777" w:rsidTr="00C3089D">
      <w:tc>
        <w:tcPr>
          <w:tcW w:w="6727" w:type="dxa"/>
        </w:tcPr>
        <w:p w14:paraId="540958C7" w14:textId="7461FD38" w:rsidR="005851A0" w:rsidRDefault="005851A0" w:rsidP="00C3089D">
          <w:pPr>
            <w:pStyle w:val="Classification"/>
          </w:pPr>
          <w:r>
            <w:t>Publication approval reference: PAR1621</w:t>
          </w:r>
          <w:r w:rsidR="00F30AE3">
            <w:t>_xiv</w:t>
          </w:r>
        </w:p>
      </w:tc>
    </w:tr>
  </w:tbl>
  <w:p w14:paraId="6C9D6A08" w14:textId="60D8ACA6" w:rsidR="005851A0" w:rsidRDefault="00F30AE3">
    <w:pPr>
      <w:pStyle w:val="Header"/>
    </w:pPr>
    <w:r>
      <w:rPr>
        <w:noProof/>
      </w:rPr>
      <w:drawing>
        <wp:anchor distT="0" distB="0" distL="114300" distR="114300" simplePos="0" relativeHeight="251658242" behindDoc="1" locked="0" layoutInCell="1" allowOverlap="1" wp14:anchorId="1C96F664" wp14:editId="64C7F428">
          <wp:simplePos x="0" y="0"/>
          <wp:positionH relativeFrom="page">
            <wp:posOffset>5951289</wp:posOffset>
          </wp:positionH>
          <wp:positionV relativeFrom="page">
            <wp:posOffset>586740</wp:posOffset>
          </wp:positionV>
          <wp:extent cx="1098000" cy="828000"/>
          <wp:effectExtent l="0" t="0" r="6985" b="0"/>
          <wp:wrapNone/>
          <wp:docPr id="592326451" name="Picture 59232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1A0">
      <w:rPr>
        <w:noProof/>
      </w:rPr>
      <w:drawing>
        <wp:anchor distT="0" distB="0" distL="114300" distR="114300" simplePos="0" relativeHeight="251658240" behindDoc="1" locked="0" layoutInCell="1" allowOverlap="1" wp14:anchorId="1B143649" wp14:editId="5AC5BFAC">
          <wp:simplePos x="0" y="0"/>
          <wp:positionH relativeFrom="column">
            <wp:posOffset>-381445</wp:posOffset>
          </wp:positionH>
          <wp:positionV relativeFrom="page">
            <wp:posOffset>583565</wp:posOffset>
          </wp:positionV>
          <wp:extent cx="1760400" cy="583200"/>
          <wp:effectExtent l="0" t="0" r="0" b="7620"/>
          <wp:wrapNone/>
          <wp:docPr id="1757861098" name="Picture 175786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0609D3A" w14:paraId="6C8E21D5" w14:textId="77777777" w:rsidTr="30609D3A">
      <w:trPr>
        <w:trHeight w:val="300"/>
      </w:trPr>
      <w:tc>
        <w:tcPr>
          <w:tcW w:w="3020" w:type="dxa"/>
        </w:tcPr>
        <w:p w14:paraId="66E11B47" w14:textId="5FC51BAB" w:rsidR="30609D3A" w:rsidRDefault="30609D3A" w:rsidP="30609D3A">
          <w:pPr>
            <w:pStyle w:val="Header"/>
            <w:ind w:left="-115"/>
          </w:pPr>
        </w:p>
      </w:tc>
      <w:tc>
        <w:tcPr>
          <w:tcW w:w="3020" w:type="dxa"/>
        </w:tcPr>
        <w:p w14:paraId="5E327021" w14:textId="40740720" w:rsidR="30609D3A" w:rsidRDefault="30609D3A" w:rsidP="30609D3A">
          <w:pPr>
            <w:pStyle w:val="Header"/>
            <w:jc w:val="center"/>
          </w:pPr>
        </w:p>
      </w:tc>
      <w:tc>
        <w:tcPr>
          <w:tcW w:w="3020" w:type="dxa"/>
        </w:tcPr>
        <w:p w14:paraId="37EFDF71" w14:textId="5AFD8645" w:rsidR="30609D3A" w:rsidRDefault="30609D3A" w:rsidP="30609D3A">
          <w:pPr>
            <w:pStyle w:val="Header"/>
            <w:ind w:right="-115"/>
            <w:jc w:val="right"/>
          </w:pPr>
        </w:p>
      </w:tc>
    </w:tr>
  </w:tbl>
  <w:p w14:paraId="5B391A94" w14:textId="28050C72" w:rsidR="30609D3A" w:rsidRDefault="30609D3A" w:rsidP="30609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E9C"/>
    <w:multiLevelType w:val="hybridMultilevel"/>
    <w:tmpl w:val="2B8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2404"/>
    <w:multiLevelType w:val="multilevel"/>
    <w:tmpl w:val="F04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023D6"/>
    <w:multiLevelType w:val="hybridMultilevel"/>
    <w:tmpl w:val="E594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92AE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5047E"/>
    <w:multiLevelType w:val="hybridMultilevel"/>
    <w:tmpl w:val="E626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BB6F34"/>
    <w:multiLevelType w:val="hybridMultilevel"/>
    <w:tmpl w:val="7218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15DD3"/>
    <w:multiLevelType w:val="hybridMultilevel"/>
    <w:tmpl w:val="487E8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706F3F"/>
    <w:multiLevelType w:val="hybridMultilevel"/>
    <w:tmpl w:val="60E4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73088E"/>
    <w:multiLevelType w:val="multilevel"/>
    <w:tmpl w:val="A40E4D5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54C7205A"/>
    <w:multiLevelType w:val="hybridMultilevel"/>
    <w:tmpl w:val="C0A4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24260"/>
    <w:multiLevelType w:val="hybridMultilevel"/>
    <w:tmpl w:val="1A56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D5229"/>
    <w:multiLevelType w:val="hybridMultilevel"/>
    <w:tmpl w:val="89E0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495E65"/>
    <w:multiLevelType w:val="hybridMultilevel"/>
    <w:tmpl w:val="2CCE4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0445B"/>
    <w:multiLevelType w:val="hybridMultilevel"/>
    <w:tmpl w:val="23E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93DAB"/>
    <w:multiLevelType w:val="hybridMultilevel"/>
    <w:tmpl w:val="FF5E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02142"/>
    <w:multiLevelType w:val="hybridMultilevel"/>
    <w:tmpl w:val="C4F47B94"/>
    <w:lvl w:ilvl="0" w:tplc="455A041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157D9"/>
    <w:multiLevelType w:val="hybridMultilevel"/>
    <w:tmpl w:val="EC04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D6EBB"/>
    <w:multiLevelType w:val="hybridMultilevel"/>
    <w:tmpl w:val="B9FE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B2B1F"/>
    <w:multiLevelType w:val="hybridMultilevel"/>
    <w:tmpl w:val="FAC4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629324">
    <w:abstractNumId w:val="18"/>
  </w:num>
  <w:num w:numId="2" w16cid:durableId="849567431">
    <w:abstractNumId w:val="11"/>
  </w:num>
  <w:num w:numId="3" w16cid:durableId="18549763">
    <w:abstractNumId w:val="12"/>
  </w:num>
  <w:num w:numId="4" w16cid:durableId="797378248">
    <w:abstractNumId w:val="17"/>
  </w:num>
  <w:num w:numId="5" w16cid:durableId="1092361831">
    <w:abstractNumId w:val="3"/>
  </w:num>
  <w:num w:numId="6" w16cid:durableId="647629067">
    <w:abstractNumId w:val="4"/>
  </w:num>
  <w:num w:numId="7" w16cid:durableId="1444419309">
    <w:abstractNumId w:val="7"/>
  </w:num>
  <w:num w:numId="8" w16cid:durableId="1454130388">
    <w:abstractNumId w:val="22"/>
  </w:num>
  <w:num w:numId="9" w16cid:durableId="645546726">
    <w:abstractNumId w:val="5"/>
  </w:num>
  <w:num w:numId="10" w16cid:durableId="589896627">
    <w:abstractNumId w:val="26"/>
  </w:num>
  <w:num w:numId="11" w16cid:durableId="592082939">
    <w:abstractNumId w:val="20"/>
  </w:num>
  <w:num w:numId="12" w16cid:durableId="30426618">
    <w:abstractNumId w:val="13"/>
  </w:num>
  <w:num w:numId="13" w16cid:durableId="260575173">
    <w:abstractNumId w:val="1"/>
  </w:num>
  <w:num w:numId="14" w16cid:durableId="154614529">
    <w:abstractNumId w:val="14"/>
  </w:num>
  <w:num w:numId="15" w16cid:durableId="379671163">
    <w:abstractNumId w:val="16"/>
  </w:num>
  <w:num w:numId="16" w16cid:durableId="1372918144">
    <w:abstractNumId w:val="2"/>
  </w:num>
  <w:num w:numId="17" w16cid:durableId="2086684282">
    <w:abstractNumId w:val="23"/>
  </w:num>
  <w:num w:numId="18" w16cid:durableId="1746612198">
    <w:abstractNumId w:val="19"/>
  </w:num>
  <w:num w:numId="19" w16cid:durableId="1339577183">
    <w:abstractNumId w:val="21"/>
  </w:num>
  <w:num w:numId="20" w16cid:durableId="1520050022">
    <w:abstractNumId w:val="25"/>
  </w:num>
  <w:num w:numId="21" w16cid:durableId="1077828312">
    <w:abstractNumId w:val="8"/>
  </w:num>
  <w:num w:numId="22" w16cid:durableId="1583951934">
    <w:abstractNumId w:val="0"/>
  </w:num>
  <w:num w:numId="23" w16cid:durableId="20084440">
    <w:abstractNumId w:val="15"/>
  </w:num>
  <w:num w:numId="24" w16cid:durableId="759563222">
    <w:abstractNumId w:val="9"/>
  </w:num>
  <w:num w:numId="25" w16cid:durableId="1601914152">
    <w:abstractNumId w:val="10"/>
  </w:num>
  <w:num w:numId="26" w16cid:durableId="1499886111">
    <w:abstractNumId w:val="24"/>
  </w:num>
  <w:num w:numId="27" w16cid:durableId="57679071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WnJ5dsnWpV4rk7w2FKXaAik0OWVFPuZXDreVk3uJGpPuwxAHY7mn52a5URLQbiv+n9s/+pEoGirqoYKAA8b/6Q==" w:salt="G/hYnLGDFHKD2DU2RVl09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5E01"/>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67F2A"/>
    <w:rsid w:val="00070CFF"/>
    <w:rsid w:val="00080C62"/>
    <w:rsid w:val="00084DC3"/>
    <w:rsid w:val="00091F97"/>
    <w:rsid w:val="00092621"/>
    <w:rsid w:val="0009626A"/>
    <w:rsid w:val="00096431"/>
    <w:rsid w:val="00096DF0"/>
    <w:rsid w:val="000979BA"/>
    <w:rsid w:val="000A07F4"/>
    <w:rsid w:val="000A1C3F"/>
    <w:rsid w:val="000A6D12"/>
    <w:rsid w:val="000B5C73"/>
    <w:rsid w:val="000C44F0"/>
    <w:rsid w:val="000C7037"/>
    <w:rsid w:val="000D1E44"/>
    <w:rsid w:val="000D2F6F"/>
    <w:rsid w:val="000D5F9E"/>
    <w:rsid w:val="000E1BF6"/>
    <w:rsid w:val="000E4BF9"/>
    <w:rsid w:val="000E5CFD"/>
    <w:rsid w:val="000E63B8"/>
    <w:rsid w:val="000E743E"/>
    <w:rsid w:val="000F6CED"/>
    <w:rsid w:val="00101ECA"/>
    <w:rsid w:val="001020A0"/>
    <w:rsid w:val="001031D5"/>
    <w:rsid w:val="001039DF"/>
    <w:rsid w:val="00104888"/>
    <w:rsid w:val="001130B8"/>
    <w:rsid w:val="001150CD"/>
    <w:rsid w:val="00116685"/>
    <w:rsid w:val="001213C9"/>
    <w:rsid w:val="00127457"/>
    <w:rsid w:val="00127FD8"/>
    <w:rsid w:val="00132FF4"/>
    <w:rsid w:val="00133CD2"/>
    <w:rsid w:val="0014209C"/>
    <w:rsid w:val="0014434C"/>
    <w:rsid w:val="001468BD"/>
    <w:rsid w:val="00150BBB"/>
    <w:rsid w:val="001518FB"/>
    <w:rsid w:val="0015685E"/>
    <w:rsid w:val="00161A67"/>
    <w:rsid w:val="0016298D"/>
    <w:rsid w:val="001636D7"/>
    <w:rsid w:val="00163D1F"/>
    <w:rsid w:val="00164F00"/>
    <w:rsid w:val="00166280"/>
    <w:rsid w:val="00173C0C"/>
    <w:rsid w:val="001753C2"/>
    <w:rsid w:val="00181489"/>
    <w:rsid w:val="00181953"/>
    <w:rsid w:val="00182AA9"/>
    <w:rsid w:val="00186EA2"/>
    <w:rsid w:val="00191F99"/>
    <w:rsid w:val="00193C19"/>
    <w:rsid w:val="00195599"/>
    <w:rsid w:val="001972DA"/>
    <w:rsid w:val="001A1DB6"/>
    <w:rsid w:val="001A3A33"/>
    <w:rsid w:val="001A7C5C"/>
    <w:rsid w:val="001B096D"/>
    <w:rsid w:val="001B7860"/>
    <w:rsid w:val="001C2FA2"/>
    <w:rsid w:val="001C3E4B"/>
    <w:rsid w:val="001C57F1"/>
    <w:rsid w:val="001C7A02"/>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0A6C"/>
    <w:rsid w:val="00221A17"/>
    <w:rsid w:val="00224121"/>
    <w:rsid w:val="0022471E"/>
    <w:rsid w:val="00230445"/>
    <w:rsid w:val="00230F2C"/>
    <w:rsid w:val="00232C40"/>
    <w:rsid w:val="00234C3F"/>
    <w:rsid w:val="00236640"/>
    <w:rsid w:val="00237CAB"/>
    <w:rsid w:val="00243CF1"/>
    <w:rsid w:val="0024571E"/>
    <w:rsid w:val="00246CC5"/>
    <w:rsid w:val="00252052"/>
    <w:rsid w:val="00254A99"/>
    <w:rsid w:val="00256BBF"/>
    <w:rsid w:val="00256E4D"/>
    <w:rsid w:val="002608A4"/>
    <w:rsid w:val="00264924"/>
    <w:rsid w:val="00267AE2"/>
    <w:rsid w:val="00271DA1"/>
    <w:rsid w:val="00271F18"/>
    <w:rsid w:val="00281F31"/>
    <w:rsid w:val="0028289C"/>
    <w:rsid w:val="002829B6"/>
    <w:rsid w:val="0028743E"/>
    <w:rsid w:val="0029228C"/>
    <w:rsid w:val="00295135"/>
    <w:rsid w:val="002964C4"/>
    <w:rsid w:val="002973EF"/>
    <w:rsid w:val="002A1214"/>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16773"/>
    <w:rsid w:val="00316A2C"/>
    <w:rsid w:val="0031762F"/>
    <w:rsid w:val="00320028"/>
    <w:rsid w:val="00321536"/>
    <w:rsid w:val="003244FB"/>
    <w:rsid w:val="0032558C"/>
    <w:rsid w:val="00327EC5"/>
    <w:rsid w:val="00334710"/>
    <w:rsid w:val="00334A74"/>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A619F"/>
    <w:rsid w:val="003B03B0"/>
    <w:rsid w:val="003B5326"/>
    <w:rsid w:val="003B572D"/>
    <w:rsid w:val="003C1546"/>
    <w:rsid w:val="003C291F"/>
    <w:rsid w:val="003D0261"/>
    <w:rsid w:val="003D163E"/>
    <w:rsid w:val="003D3182"/>
    <w:rsid w:val="003D4B49"/>
    <w:rsid w:val="003E25EA"/>
    <w:rsid w:val="003E32D1"/>
    <w:rsid w:val="003E6BAD"/>
    <w:rsid w:val="003E7515"/>
    <w:rsid w:val="003E7F57"/>
    <w:rsid w:val="003F10A6"/>
    <w:rsid w:val="003F3997"/>
    <w:rsid w:val="003F53C9"/>
    <w:rsid w:val="00411634"/>
    <w:rsid w:val="00411881"/>
    <w:rsid w:val="00411B8E"/>
    <w:rsid w:val="00412A51"/>
    <w:rsid w:val="004206F9"/>
    <w:rsid w:val="004243EF"/>
    <w:rsid w:val="00425C08"/>
    <w:rsid w:val="00426DE1"/>
    <w:rsid w:val="004301BF"/>
    <w:rsid w:val="00431CDC"/>
    <w:rsid w:val="00441B7B"/>
    <w:rsid w:val="00441F07"/>
    <w:rsid w:val="00443EF2"/>
    <w:rsid w:val="004470C5"/>
    <w:rsid w:val="004475E1"/>
    <w:rsid w:val="00447C55"/>
    <w:rsid w:val="00450FE2"/>
    <w:rsid w:val="00454EBC"/>
    <w:rsid w:val="00470083"/>
    <w:rsid w:val="004715CE"/>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221"/>
    <w:rsid w:val="004B3351"/>
    <w:rsid w:val="004B4FE2"/>
    <w:rsid w:val="004B59C6"/>
    <w:rsid w:val="004C0E0B"/>
    <w:rsid w:val="004C3859"/>
    <w:rsid w:val="004C6A15"/>
    <w:rsid w:val="004D3E91"/>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851A0"/>
    <w:rsid w:val="0059083D"/>
    <w:rsid w:val="00595041"/>
    <w:rsid w:val="005A01FF"/>
    <w:rsid w:val="005A175B"/>
    <w:rsid w:val="005A541E"/>
    <w:rsid w:val="005A5C7B"/>
    <w:rsid w:val="005B431B"/>
    <w:rsid w:val="005C1E75"/>
    <w:rsid w:val="005C2437"/>
    <w:rsid w:val="005C3015"/>
    <w:rsid w:val="005C48AE"/>
    <w:rsid w:val="005C61AE"/>
    <w:rsid w:val="005C78E5"/>
    <w:rsid w:val="005D08B4"/>
    <w:rsid w:val="005D2143"/>
    <w:rsid w:val="005E281F"/>
    <w:rsid w:val="005E541C"/>
    <w:rsid w:val="005E6488"/>
    <w:rsid w:val="005E6B42"/>
    <w:rsid w:val="005F463D"/>
    <w:rsid w:val="005F4E05"/>
    <w:rsid w:val="005F6358"/>
    <w:rsid w:val="006025E4"/>
    <w:rsid w:val="006039A8"/>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439BC"/>
    <w:rsid w:val="006505B0"/>
    <w:rsid w:val="006513D3"/>
    <w:rsid w:val="00651BD9"/>
    <w:rsid w:val="006521B8"/>
    <w:rsid w:val="00657F95"/>
    <w:rsid w:val="00666714"/>
    <w:rsid w:val="00672B9B"/>
    <w:rsid w:val="00673387"/>
    <w:rsid w:val="00673B7A"/>
    <w:rsid w:val="00675B5F"/>
    <w:rsid w:val="00680B39"/>
    <w:rsid w:val="00681E3A"/>
    <w:rsid w:val="00684EB3"/>
    <w:rsid w:val="00697C30"/>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2960"/>
    <w:rsid w:val="006F3BBA"/>
    <w:rsid w:val="00701E51"/>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4254"/>
    <w:rsid w:val="007450A7"/>
    <w:rsid w:val="00747618"/>
    <w:rsid w:val="00751D0A"/>
    <w:rsid w:val="007555AA"/>
    <w:rsid w:val="00757E5D"/>
    <w:rsid w:val="00757F9E"/>
    <w:rsid w:val="007623B6"/>
    <w:rsid w:val="007634F4"/>
    <w:rsid w:val="0076450B"/>
    <w:rsid w:val="00765204"/>
    <w:rsid w:val="00774F7C"/>
    <w:rsid w:val="00785E57"/>
    <w:rsid w:val="00790845"/>
    <w:rsid w:val="00794292"/>
    <w:rsid w:val="00797F3F"/>
    <w:rsid w:val="007A2AF0"/>
    <w:rsid w:val="007A3CC6"/>
    <w:rsid w:val="007A4A79"/>
    <w:rsid w:val="007B54C4"/>
    <w:rsid w:val="007B739A"/>
    <w:rsid w:val="007B74CC"/>
    <w:rsid w:val="007B76B0"/>
    <w:rsid w:val="007C2F00"/>
    <w:rsid w:val="007C3557"/>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26C28"/>
    <w:rsid w:val="008359A8"/>
    <w:rsid w:val="00841BE2"/>
    <w:rsid w:val="008426BA"/>
    <w:rsid w:val="008466C6"/>
    <w:rsid w:val="00846A4A"/>
    <w:rsid w:val="00847CE5"/>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25A4F"/>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4203"/>
    <w:rsid w:val="00985C56"/>
    <w:rsid w:val="00986D3D"/>
    <w:rsid w:val="0099265D"/>
    <w:rsid w:val="00995EAE"/>
    <w:rsid w:val="009A16D5"/>
    <w:rsid w:val="009A2F28"/>
    <w:rsid w:val="009A5568"/>
    <w:rsid w:val="009A5BCE"/>
    <w:rsid w:val="009A5F87"/>
    <w:rsid w:val="009B36E7"/>
    <w:rsid w:val="009B44E1"/>
    <w:rsid w:val="009C1B55"/>
    <w:rsid w:val="009C4C14"/>
    <w:rsid w:val="009C57DE"/>
    <w:rsid w:val="009C704D"/>
    <w:rsid w:val="009D0F6A"/>
    <w:rsid w:val="009D1C3D"/>
    <w:rsid w:val="009D47A8"/>
    <w:rsid w:val="009E24CA"/>
    <w:rsid w:val="009E32B5"/>
    <w:rsid w:val="009E3461"/>
    <w:rsid w:val="009E3803"/>
    <w:rsid w:val="009E3840"/>
    <w:rsid w:val="009F3E18"/>
    <w:rsid w:val="009F4678"/>
    <w:rsid w:val="009F67FE"/>
    <w:rsid w:val="00A00BD0"/>
    <w:rsid w:val="00A0302F"/>
    <w:rsid w:val="00A063A1"/>
    <w:rsid w:val="00A06A2C"/>
    <w:rsid w:val="00A12522"/>
    <w:rsid w:val="00A125D3"/>
    <w:rsid w:val="00A16193"/>
    <w:rsid w:val="00A20A57"/>
    <w:rsid w:val="00A211B8"/>
    <w:rsid w:val="00A22608"/>
    <w:rsid w:val="00A257B8"/>
    <w:rsid w:val="00A32B8B"/>
    <w:rsid w:val="00A33A3B"/>
    <w:rsid w:val="00A33B0A"/>
    <w:rsid w:val="00A371DB"/>
    <w:rsid w:val="00A4762E"/>
    <w:rsid w:val="00A50B40"/>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33E3"/>
    <w:rsid w:val="00A947F5"/>
    <w:rsid w:val="00A96801"/>
    <w:rsid w:val="00AA3E21"/>
    <w:rsid w:val="00AA41D4"/>
    <w:rsid w:val="00AA4BBC"/>
    <w:rsid w:val="00AA5C93"/>
    <w:rsid w:val="00AB2869"/>
    <w:rsid w:val="00AB3517"/>
    <w:rsid w:val="00AB5BA1"/>
    <w:rsid w:val="00AC1D52"/>
    <w:rsid w:val="00AC2A35"/>
    <w:rsid w:val="00AC36B9"/>
    <w:rsid w:val="00AD44FD"/>
    <w:rsid w:val="00AE1969"/>
    <w:rsid w:val="00AE425C"/>
    <w:rsid w:val="00AE42DB"/>
    <w:rsid w:val="00AE53FD"/>
    <w:rsid w:val="00AE656C"/>
    <w:rsid w:val="00AE6586"/>
    <w:rsid w:val="00AF0ED4"/>
    <w:rsid w:val="00AF3F50"/>
    <w:rsid w:val="00AF6D10"/>
    <w:rsid w:val="00B03457"/>
    <w:rsid w:val="00B04271"/>
    <w:rsid w:val="00B04282"/>
    <w:rsid w:val="00B04D9D"/>
    <w:rsid w:val="00B064C9"/>
    <w:rsid w:val="00B11FD9"/>
    <w:rsid w:val="00B12334"/>
    <w:rsid w:val="00B14CA5"/>
    <w:rsid w:val="00B21815"/>
    <w:rsid w:val="00B234E7"/>
    <w:rsid w:val="00B27C36"/>
    <w:rsid w:val="00B30EDA"/>
    <w:rsid w:val="00B32EFF"/>
    <w:rsid w:val="00B33A9E"/>
    <w:rsid w:val="00B4106E"/>
    <w:rsid w:val="00B41B88"/>
    <w:rsid w:val="00B42BB7"/>
    <w:rsid w:val="00B4379B"/>
    <w:rsid w:val="00B44A56"/>
    <w:rsid w:val="00B44E04"/>
    <w:rsid w:val="00B45191"/>
    <w:rsid w:val="00B47638"/>
    <w:rsid w:val="00B47F83"/>
    <w:rsid w:val="00B54B34"/>
    <w:rsid w:val="00B5529F"/>
    <w:rsid w:val="00B57455"/>
    <w:rsid w:val="00B61CA4"/>
    <w:rsid w:val="00B6289D"/>
    <w:rsid w:val="00B648CF"/>
    <w:rsid w:val="00B66313"/>
    <w:rsid w:val="00B67DAB"/>
    <w:rsid w:val="00B708F7"/>
    <w:rsid w:val="00B712E5"/>
    <w:rsid w:val="00B71EE0"/>
    <w:rsid w:val="00B82416"/>
    <w:rsid w:val="00B82519"/>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BF6B20"/>
    <w:rsid w:val="00C00D54"/>
    <w:rsid w:val="00C01923"/>
    <w:rsid w:val="00C13AA2"/>
    <w:rsid w:val="00C15D4C"/>
    <w:rsid w:val="00C238DB"/>
    <w:rsid w:val="00C23955"/>
    <w:rsid w:val="00C24F4B"/>
    <w:rsid w:val="00C26D94"/>
    <w:rsid w:val="00C275E9"/>
    <w:rsid w:val="00C27AA2"/>
    <w:rsid w:val="00C3089D"/>
    <w:rsid w:val="00C32D59"/>
    <w:rsid w:val="00C32F9E"/>
    <w:rsid w:val="00C3345A"/>
    <w:rsid w:val="00C369E9"/>
    <w:rsid w:val="00C46976"/>
    <w:rsid w:val="00C50CB6"/>
    <w:rsid w:val="00C5228B"/>
    <w:rsid w:val="00C527A1"/>
    <w:rsid w:val="00C55FF0"/>
    <w:rsid w:val="00C62383"/>
    <w:rsid w:val="00C73CAA"/>
    <w:rsid w:val="00C77005"/>
    <w:rsid w:val="00C823A4"/>
    <w:rsid w:val="00C83A02"/>
    <w:rsid w:val="00C85511"/>
    <w:rsid w:val="00C87950"/>
    <w:rsid w:val="00C9099E"/>
    <w:rsid w:val="00C92AFF"/>
    <w:rsid w:val="00C95E86"/>
    <w:rsid w:val="00CA1398"/>
    <w:rsid w:val="00CA2577"/>
    <w:rsid w:val="00CA3320"/>
    <w:rsid w:val="00CC069F"/>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2BDF"/>
    <w:rsid w:val="00D83615"/>
    <w:rsid w:val="00D87B9D"/>
    <w:rsid w:val="00D9456C"/>
    <w:rsid w:val="00D95E41"/>
    <w:rsid w:val="00DA30D9"/>
    <w:rsid w:val="00DA4CF2"/>
    <w:rsid w:val="00DA4F5F"/>
    <w:rsid w:val="00DA666E"/>
    <w:rsid w:val="00DB3315"/>
    <w:rsid w:val="00DB59C8"/>
    <w:rsid w:val="00DB5BD7"/>
    <w:rsid w:val="00DC50D1"/>
    <w:rsid w:val="00DC681C"/>
    <w:rsid w:val="00DD0D1C"/>
    <w:rsid w:val="00DD64A4"/>
    <w:rsid w:val="00DD6BA5"/>
    <w:rsid w:val="00DD6EC1"/>
    <w:rsid w:val="00DE0A69"/>
    <w:rsid w:val="00DE19AD"/>
    <w:rsid w:val="00DE29CB"/>
    <w:rsid w:val="00DE5F89"/>
    <w:rsid w:val="00DE63FD"/>
    <w:rsid w:val="00DF18B5"/>
    <w:rsid w:val="00DF1B3F"/>
    <w:rsid w:val="00DF5BC9"/>
    <w:rsid w:val="00DF69E3"/>
    <w:rsid w:val="00DF7950"/>
    <w:rsid w:val="00E014D0"/>
    <w:rsid w:val="00E0219C"/>
    <w:rsid w:val="00E048B4"/>
    <w:rsid w:val="00E06273"/>
    <w:rsid w:val="00E20D4E"/>
    <w:rsid w:val="00E21B0C"/>
    <w:rsid w:val="00E236CE"/>
    <w:rsid w:val="00E30436"/>
    <w:rsid w:val="00E3221B"/>
    <w:rsid w:val="00E32C4B"/>
    <w:rsid w:val="00E41C5F"/>
    <w:rsid w:val="00E50AEB"/>
    <w:rsid w:val="00E5276F"/>
    <w:rsid w:val="00E54E90"/>
    <w:rsid w:val="00E553BD"/>
    <w:rsid w:val="00E739FE"/>
    <w:rsid w:val="00E7559E"/>
    <w:rsid w:val="00E85523"/>
    <w:rsid w:val="00E935DD"/>
    <w:rsid w:val="00E95AF3"/>
    <w:rsid w:val="00EA0F68"/>
    <w:rsid w:val="00EA5419"/>
    <w:rsid w:val="00EA7FCA"/>
    <w:rsid w:val="00EB3E98"/>
    <w:rsid w:val="00EB55B3"/>
    <w:rsid w:val="00EB7CBC"/>
    <w:rsid w:val="00EC08B9"/>
    <w:rsid w:val="00EC2AD8"/>
    <w:rsid w:val="00EC7C3B"/>
    <w:rsid w:val="00ED013F"/>
    <w:rsid w:val="00ED0A4B"/>
    <w:rsid w:val="00ED1287"/>
    <w:rsid w:val="00ED1C37"/>
    <w:rsid w:val="00ED5C88"/>
    <w:rsid w:val="00ED684C"/>
    <w:rsid w:val="00ED6BD6"/>
    <w:rsid w:val="00EE03F6"/>
    <w:rsid w:val="00EE212B"/>
    <w:rsid w:val="00EE5ADA"/>
    <w:rsid w:val="00EF11B8"/>
    <w:rsid w:val="00EF1D4C"/>
    <w:rsid w:val="00EF4D31"/>
    <w:rsid w:val="00F02163"/>
    <w:rsid w:val="00F0435A"/>
    <w:rsid w:val="00F048FF"/>
    <w:rsid w:val="00F12485"/>
    <w:rsid w:val="00F13240"/>
    <w:rsid w:val="00F17CC2"/>
    <w:rsid w:val="00F17F2B"/>
    <w:rsid w:val="00F24B0B"/>
    <w:rsid w:val="00F25E95"/>
    <w:rsid w:val="00F26CB4"/>
    <w:rsid w:val="00F30AE3"/>
    <w:rsid w:val="00F30F74"/>
    <w:rsid w:val="00F47C3E"/>
    <w:rsid w:val="00F53290"/>
    <w:rsid w:val="00F55E49"/>
    <w:rsid w:val="00F56535"/>
    <w:rsid w:val="00F60DBE"/>
    <w:rsid w:val="00F6143B"/>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D5062"/>
    <w:rsid w:val="00FD5547"/>
    <w:rsid w:val="00FE17E4"/>
    <w:rsid w:val="00FE48D5"/>
    <w:rsid w:val="00FE50CE"/>
    <w:rsid w:val="00FE74BE"/>
    <w:rsid w:val="00FF0110"/>
    <w:rsid w:val="00FF6003"/>
    <w:rsid w:val="0290989A"/>
    <w:rsid w:val="1100C761"/>
    <w:rsid w:val="2DE937E3"/>
    <w:rsid w:val="30609D3A"/>
    <w:rsid w:val="3363C74F"/>
    <w:rsid w:val="396AAE02"/>
    <w:rsid w:val="501A391B"/>
    <w:rsid w:val="5DBB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8"/>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character" w:customStyle="1" w:styleId="normaltextrun">
    <w:name w:val="normaltextrun"/>
    <w:basedOn w:val="DefaultParagraphFont"/>
    <w:rsid w:val="001C7A02"/>
  </w:style>
  <w:style w:type="paragraph" w:customStyle="1" w:styleId="paragraph">
    <w:name w:val="paragraph"/>
    <w:basedOn w:val="Normal"/>
    <w:rsid w:val="001C7A0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1C7A02"/>
  </w:style>
  <w:style w:type="character" w:customStyle="1" w:styleId="contentcontrolboundarysink">
    <w:name w:val="contentcontrolboundarysink"/>
    <w:basedOn w:val="DefaultParagraphFont"/>
    <w:rsid w:val="0058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1151">
      <w:bodyDiv w:val="1"/>
      <w:marLeft w:val="0"/>
      <w:marRight w:val="0"/>
      <w:marTop w:val="0"/>
      <w:marBottom w:val="0"/>
      <w:divBdr>
        <w:top w:val="none" w:sz="0" w:space="0" w:color="auto"/>
        <w:left w:val="none" w:sz="0" w:space="0" w:color="auto"/>
        <w:bottom w:val="none" w:sz="0" w:space="0" w:color="auto"/>
        <w:right w:val="none" w:sz="0" w:space="0" w:color="auto"/>
      </w:divBdr>
      <w:divsChild>
        <w:div w:id="1998872957">
          <w:marLeft w:val="0"/>
          <w:marRight w:val="0"/>
          <w:marTop w:val="0"/>
          <w:marBottom w:val="0"/>
          <w:divBdr>
            <w:top w:val="none" w:sz="0" w:space="0" w:color="auto"/>
            <w:left w:val="none" w:sz="0" w:space="0" w:color="auto"/>
            <w:bottom w:val="none" w:sz="0" w:space="0" w:color="auto"/>
            <w:right w:val="none" w:sz="0" w:space="0" w:color="auto"/>
          </w:divBdr>
          <w:divsChild>
            <w:div w:id="215241060">
              <w:marLeft w:val="0"/>
              <w:marRight w:val="0"/>
              <w:marTop w:val="0"/>
              <w:marBottom w:val="0"/>
              <w:divBdr>
                <w:top w:val="none" w:sz="0" w:space="0" w:color="auto"/>
                <w:left w:val="none" w:sz="0" w:space="0" w:color="auto"/>
                <w:bottom w:val="none" w:sz="0" w:space="0" w:color="auto"/>
                <w:right w:val="none" w:sz="0" w:space="0" w:color="auto"/>
              </w:divBdr>
              <w:divsChild>
                <w:div w:id="5715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3258">
      <w:bodyDiv w:val="1"/>
      <w:marLeft w:val="0"/>
      <w:marRight w:val="0"/>
      <w:marTop w:val="0"/>
      <w:marBottom w:val="0"/>
      <w:divBdr>
        <w:top w:val="none" w:sz="0" w:space="0" w:color="auto"/>
        <w:left w:val="none" w:sz="0" w:space="0" w:color="auto"/>
        <w:bottom w:val="none" w:sz="0" w:space="0" w:color="auto"/>
        <w:right w:val="none" w:sz="0" w:space="0" w:color="auto"/>
      </w:divBdr>
      <w:divsChild>
        <w:div w:id="1970934149">
          <w:marLeft w:val="0"/>
          <w:marRight w:val="0"/>
          <w:marTop w:val="0"/>
          <w:marBottom w:val="0"/>
          <w:divBdr>
            <w:top w:val="none" w:sz="0" w:space="0" w:color="auto"/>
            <w:left w:val="none" w:sz="0" w:space="0" w:color="auto"/>
            <w:bottom w:val="none" w:sz="0" w:space="0" w:color="auto"/>
            <w:right w:val="none" w:sz="0" w:space="0" w:color="auto"/>
          </w:divBdr>
          <w:divsChild>
            <w:div w:id="2047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400522804">
      <w:bodyDiv w:val="1"/>
      <w:marLeft w:val="0"/>
      <w:marRight w:val="0"/>
      <w:marTop w:val="0"/>
      <w:marBottom w:val="0"/>
      <w:divBdr>
        <w:top w:val="none" w:sz="0" w:space="0" w:color="auto"/>
        <w:left w:val="none" w:sz="0" w:space="0" w:color="auto"/>
        <w:bottom w:val="none" w:sz="0" w:space="0" w:color="auto"/>
        <w:right w:val="none" w:sz="0" w:space="0" w:color="auto"/>
      </w:divBdr>
    </w:div>
    <w:div w:id="147556136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Two_indications" TargetMode="External"/><Relationship Id="rId21" Type="http://schemas.openxmlformats.org/officeDocument/2006/relationships/hyperlink" Target="https://www.nice.org.uk/" TargetMode="External"/><Relationship Id="rId42" Type="http://schemas.openxmlformats.org/officeDocument/2006/relationships/hyperlink" Target="https://bnf.nice.org.uk/drugs/" TargetMode="External"/><Relationship Id="rId47" Type="http://schemas.openxmlformats.org/officeDocument/2006/relationships/hyperlink" Target="https://www.gov.uk/drug-safety-update/mycophenolate-mofetil-cellcept-and-mycophenolic-acid-risk-of-hypogammaglobulinaemia-and-risk-of-bronchiectasis" TargetMode="External"/><Relationship Id="rId63" Type="http://schemas.openxmlformats.org/officeDocument/2006/relationships/hyperlink" Target="https://www.versusarthritis.org/about-arthritis/treatments/drugs/mycophenolate/" TargetMode="External"/><Relationship Id="rId68" Type="http://schemas.openxmlformats.org/officeDocument/2006/relationships/hyperlink" Target="https://www.gov.uk/drug-safety-update/medicines-with-teratogenic-potential-what-is-effective-contraception-and-how-often-is-pregnancy-testing-needed" TargetMode="External"/><Relationship Id="rId84" Type="http://schemas.openxmlformats.org/officeDocument/2006/relationships/hyperlink" Target="https://www.gov.uk/drug-safety-update/mycophenolate-mofetil-mycophenolic-acid-new-pregnancy-prevention-advice-for-women-and-men" TargetMode="External"/><Relationship Id="rId89" Type="http://schemas.openxmlformats.org/officeDocument/2006/relationships/hyperlink" Target="https://www.england.nhs.uk/publication/responsibility-for-prescribing-between-primary-and-secondary-tertiary-care/" TargetMode="External"/><Relationship Id="rId16" Type="http://schemas.openxmlformats.org/officeDocument/2006/relationships/header" Target="header2.xml"/><Relationship Id="rId11" Type="http://schemas.openxmlformats.org/officeDocument/2006/relationships/hyperlink" Target="bookmark://Nine_primary_care_monitoring" TargetMode="External"/><Relationship Id="rId32" Type="http://schemas.openxmlformats.org/officeDocument/2006/relationships/hyperlink" Target="bookmark://Thirteen_specialist_contact" TargetMode="External"/><Relationship Id="rId37" Type="http://schemas.openxmlformats.org/officeDocument/2006/relationships/hyperlink" Target="bookmark://Nine_primary_care_monitoring" TargetMode="External"/><Relationship Id="rId53" Type="http://schemas.openxmlformats.org/officeDocument/2006/relationships/hyperlink" Target="https://www.gov.uk/government/publications/contraindications-and-special-considerations-the-green-book-chapter-6" TargetMode="External"/><Relationship Id="rId58" Type="http://schemas.openxmlformats.org/officeDocument/2006/relationships/hyperlink" Target="https://www.gov.uk/government/publications/varicella-the-green-book-chapter-34" TargetMode="External"/><Relationship Id="rId74" Type="http://schemas.openxmlformats.org/officeDocument/2006/relationships/hyperlink" Target="http://www.medicinescomplete.com" TargetMode="External"/><Relationship Id="rId79" Type="http://schemas.openxmlformats.org/officeDocument/2006/relationships/hyperlink" Target="https://www.medicines.org.uk/emc/product/9294" TargetMode="External"/><Relationship Id="rId5" Type="http://schemas.openxmlformats.org/officeDocument/2006/relationships/numbering" Target="numbering.xml"/><Relationship Id="rId90" Type="http://schemas.openxmlformats.org/officeDocument/2006/relationships/hyperlink" Target="https://www.gmc-uk.org/ethical-guidance/ethical-guidance-for-doctors/good-practice-in-prescribing-and-managing-medicines-and-devices/shared-care" TargetMode="External"/><Relationship Id="rId95" Type="http://schemas.openxmlformats.org/officeDocument/2006/relationships/glossaryDocument" Target="glossary/document.xml"/><Relationship Id="rId22" Type="http://schemas.openxmlformats.org/officeDocument/2006/relationships/hyperlink" Target="https://www.medicines.org.uk/emc/" TargetMode="External"/><Relationship Id="rId27" Type="http://schemas.openxmlformats.org/officeDocument/2006/relationships/hyperlink" Target="bookmark://Eleven_advice_to_patients" TargetMode="External"/><Relationship Id="rId43" Type="http://schemas.openxmlformats.org/officeDocument/2006/relationships/hyperlink" Target="https://www.medicines.org.uk/emc/" TargetMode="External"/><Relationship Id="rId48" Type="http://schemas.openxmlformats.org/officeDocument/2006/relationships/hyperlink" Target="https://bnf.nice.org.uk/drugs/" TargetMode="External"/><Relationship Id="rId64" Type="http://schemas.openxmlformats.org/officeDocument/2006/relationships/hyperlink" Target="https://www.bad.org.uk/for-the-public/patient-information-leaflets/mycophenolate-mofetil" TargetMode="External"/><Relationship Id="rId69" Type="http://schemas.openxmlformats.org/officeDocument/2006/relationships/hyperlink" Target="https://www.fsrh.org/standards-and-guidance/documents/fsrh-ceu-statement-contraception-for-women-using-known/" TargetMode="External"/><Relationship Id="rId8" Type="http://schemas.openxmlformats.org/officeDocument/2006/relationships/webSettings" Target="webSettings.xml"/><Relationship Id="rId51" Type="http://schemas.openxmlformats.org/officeDocument/2006/relationships/hyperlink" Target="https://www.gov.uk/drug-safety-update/mycophenolate-mofetil-mycophenolic-acid-new-pregnancy-prevention-advice-for-women-and-men" TargetMode="External"/><Relationship Id="rId72" Type="http://schemas.openxmlformats.org/officeDocument/2006/relationships/hyperlink" Target="https://www.sps.nhs.uk/medicines/mycophenolate-mofetil/" TargetMode="External"/><Relationship Id="rId80" Type="http://schemas.openxmlformats.org/officeDocument/2006/relationships/hyperlink" Target="https://academic.oup.com/rheumatology/article/56/6/865/3053478" TargetMode="External"/><Relationship Id="rId85" Type="http://schemas.openxmlformats.org/officeDocument/2006/relationships/hyperlink" Target="https://www.gov.uk/drug-safety-update/mycophenolate-mofetil-mycophenolic-acid-updated-contraception-advice-for-male-patients"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bookmark://Nine_primary_care_monitoring" TargetMode="External"/><Relationship Id="rId17" Type="http://schemas.openxmlformats.org/officeDocument/2006/relationships/footer" Target="footer2.xml"/><Relationship Id="rId25" Type="http://schemas.openxmlformats.org/officeDocument/2006/relationships/hyperlink" Target="https://www.nice.org.uk/" TargetMode="External"/><Relationship Id="rId33" Type="http://schemas.openxmlformats.org/officeDocument/2006/relationships/hyperlink" Target="bookmark://Eight_specialist_monitoring" TargetMode="External"/><Relationship Id="rId38" Type="http://schemas.openxmlformats.org/officeDocument/2006/relationships/hyperlink" Target="bookmark://Seven_interactions" TargetMode="External"/><Relationship Id="rId46" Type="http://schemas.openxmlformats.org/officeDocument/2006/relationships/hyperlink" Target="https://www.gov.uk/drug-safety-update/mycophenolate-mofetil-pure-red-cell-aplasia" TargetMode="External"/><Relationship Id="rId59" Type="http://schemas.openxmlformats.org/officeDocument/2006/relationships/hyperlink" Target="https://www.gov.uk/government/publications/varicella-zoster-immunoglobulin" TargetMode="External"/><Relationship Id="rId67" Type="http://schemas.openxmlformats.org/officeDocument/2006/relationships/hyperlink" Target="https://assets.publishing.service.gov.uk/media/566aefec40f0b6036600002d/Cellcept_II-121_DHPC_UK__1__LETTER_PROOF__3_.pdf"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bookmark://Eleven_advice_to_patients" TargetMode="External"/><Relationship Id="rId54" Type="http://schemas.openxmlformats.org/officeDocument/2006/relationships/hyperlink" Target="https://www.gov.uk/government/publications/shingles-herpes-zoster-the-green-book-chapter-28a" TargetMode="External"/><Relationship Id="rId62" Type="http://schemas.openxmlformats.org/officeDocument/2006/relationships/hyperlink" Target="https://patient.info/medicine/mycophenolate-mofetil-cellcept-myfenax" TargetMode="External"/><Relationship Id="rId70" Type="http://schemas.openxmlformats.org/officeDocument/2006/relationships/hyperlink" Target="https://www.medicinesinpregnancy.org/bumps/monographs/USE-OF-MYCOPHENOLATE-MOFETIL-IN-PREGNANCY/" TargetMode="External"/><Relationship Id="rId75" Type="http://schemas.openxmlformats.org/officeDocument/2006/relationships/hyperlink" Target="https://www.medicines.org.uk/emc/product/1102" TargetMode="External"/><Relationship Id="rId83" Type="http://schemas.openxmlformats.org/officeDocument/2006/relationships/hyperlink" Target="https://www.gov.uk/government/collections/immunisation-against-infectious-disease-the-green-book" TargetMode="External"/><Relationship Id="rId88" Type="http://schemas.openxmlformats.org/officeDocument/2006/relationships/hyperlink" Target="https://www.sps.nhs.uk/articles/rmoc-shared-care-guidance/" TargetMode="External"/><Relationship Id="rId91" Type="http://schemas.openxmlformats.org/officeDocument/2006/relationships/hyperlink" Target="https://www.nice.org.uk/guidance/ng197/"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bnf.nice.org.uk/?" TargetMode="External"/><Relationship Id="rId28" Type="http://schemas.openxmlformats.org/officeDocument/2006/relationships/hyperlink" Target="bookmark://Four_cx_and_cautions" TargetMode="External"/><Relationship Id="rId36" Type="http://schemas.openxmlformats.org/officeDocument/2006/relationships/hyperlink" Target="bookmark://Seven_interactions" TargetMode="External"/><Relationship Id="rId49" Type="http://schemas.openxmlformats.org/officeDocument/2006/relationships/hyperlink" Target="https://www.medicines.org.uk/emc/" TargetMode="External"/><Relationship Id="rId57" Type="http://schemas.openxmlformats.org/officeDocument/2006/relationships/hyperlink" Target="http://www.mhra.gov.uk/yellowcard" TargetMode="External"/><Relationship Id="rId10" Type="http://schemas.openxmlformats.org/officeDocument/2006/relationships/endnotes" Target="endnotes.xml"/><Relationship Id="rId31" Type="http://schemas.openxmlformats.org/officeDocument/2006/relationships/hyperlink" Target="bookmark://Five_dosing" TargetMode="External"/><Relationship Id="rId44" Type="http://schemas.openxmlformats.org/officeDocument/2006/relationships/hyperlink" Target="https://www.gov.uk/government/publications/contraindications-and-special-considerations-the-green-book-chapter-6" TargetMode="External"/><Relationship Id="rId52" Type="http://schemas.openxmlformats.org/officeDocument/2006/relationships/hyperlink" Target="bookmark://Nine_primary_care_monitoring" TargetMode="External"/><Relationship Id="rId60" Type="http://schemas.openxmlformats.org/officeDocument/2006/relationships/hyperlink" Target="https://www.gov.uk/government/publications/varicella-the-green-book-chapter-34" TargetMode="External"/><Relationship Id="rId65" Type="http://schemas.openxmlformats.org/officeDocument/2006/relationships/hyperlink" Target="https://www.medicines.org.uk/emc/search?q=mycophenolate" TargetMode="External"/><Relationship Id="rId73" Type="http://schemas.openxmlformats.org/officeDocument/2006/relationships/hyperlink" Target="https://www.gov.uk/drug-safety-update/mycophenolate-mofetil-mycophenolic-acid-updated-contraception-advice-for-male-patients" TargetMode="External"/><Relationship Id="rId78" Type="http://schemas.openxmlformats.org/officeDocument/2006/relationships/hyperlink" Target="https://www.medicines.org.uk/emc/product/9293" TargetMode="External"/><Relationship Id="rId81" Type="http://schemas.openxmlformats.org/officeDocument/2006/relationships/hyperlink" Target="https://academic.oup.com/rheumatology/article/55/9/1693/1744535" TargetMode="External"/><Relationship Id="rId86" Type="http://schemas.openxmlformats.org/officeDocument/2006/relationships/hyperlink" Target="https://www.gov.uk/drug-safety-update/mycophenolate-mofetil-pure-red-cell-aplasia"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medicines.org.uk/emc/" TargetMode="External"/><Relationship Id="rId39" Type="http://schemas.openxmlformats.org/officeDocument/2006/relationships/hyperlink" Target="bookmark://Ten_ADRs_and_Management" TargetMode="External"/><Relationship Id="rId34" Type="http://schemas.openxmlformats.org/officeDocument/2006/relationships/hyperlink" Target="bookmark://Nine_primary_care_monitoring" TargetMode="External"/><Relationship Id="rId50" Type="http://schemas.openxmlformats.org/officeDocument/2006/relationships/hyperlink" Target="https://www.gov.uk/government/collections/immunisation-against-infectious-disease-the-green-book" TargetMode="External"/><Relationship Id="rId55" Type="http://schemas.openxmlformats.org/officeDocument/2006/relationships/hyperlink" Target="https://www.gov.uk/government/publications/influenza-the-green-book-chapter-19" TargetMode="External"/><Relationship Id="rId76" Type="http://schemas.openxmlformats.org/officeDocument/2006/relationships/hyperlink" Target="https://www.medicines.org.uk/emc/product/1103" TargetMode="External"/><Relationship Id="rId7" Type="http://schemas.openxmlformats.org/officeDocument/2006/relationships/settings" Target="settings.xml"/><Relationship Id="rId71" Type="http://schemas.openxmlformats.org/officeDocument/2006/relationships/hyperlink" Target="https://www.medicinesinpregnancy.org/Medicine--pregnancy/Mycophenolate/"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bookmark://Seven_interactions" TargetMode="External"/><Relationship Id="rId24" Type="http://schemas.openxmlformats.org/officeDocument/2006/relationships/hyperlink" Target="https://www.gov.uk/government/organisations/medicines-and-healthcare-products-regulatory-agency" TargetMode="External"/><Relationship Id="rId40" Type="http://schemas.openxmlformats.org/officeDocument/2006/relationships/hyperlink" Target="bookmark://Ten_ADRs_and_Management" TargetMode="External"/><Relationship Id="rId45" Type="http://schemas.openxmlformats.org/officeDocument/2006/relationships/hyperlink" Target="bookmark://Fifteen_references" TargetMode="External"/><Relationship Id="rId66" Type="http://schemas.openxmlformats.org/officeDocument/2006/relationships/hyperlink" Target="https://www.gov.uk/drug-safety-update/mycophenolate-mofetil-mycophenolic-acid-new-pregnancy-prevention-advice-for-women-and-men" TargetMode="External"/><Relationship Id="rId87" Type="http://schemas.openxmlformats.org/officeDocument/2006/relationships/hyperlink" Target="https://www.gov.uk/drug-safety-update/mycophenolate-mofetil-cellcept-and-mycophenolic-acid-risk-of-hypogammaglobulinaemia-and-risk-of-bronchiectasis" TargetMode="External"/><Relationship Id="rId61" Type="http://schemas.openxmlformats.org/officeDocument/2006/relationships/hyperlink" Target="https://assets.publishing.service.gov.uk/government/uploads/system/uploads/attachment_data/file/1073013/UKHSA_guidelines_on_VZ_post_exposure_prophylaxis.pdf" TargetMode="External"/><Relationship Id="rId82" Type="http://schemas.openxmlformats.org/officeDocument/2006/relationships/hyperlink" Target="https://renaldrugdatabase.com/" TargetMode="External"/><Relationship Id="rId19" Type="http://schemas.openxmlformats.org/officeDocument/2006/relationships/hyperlink" Target="https://bnf.nice.org.uk/?" TargetMode="External"/><Relationship Id="rId14" Type="http://schemas.openxmlformats.org/officeDocument/2006/relationships/header" Target="header1.xml"/><Relationship Id="rId30" Type="http://schemas.openxmlformats.org/officeDocument/2006/relationships/hyperlink" Target="bookmark://Eight_specialist_monitoring" TargetMode="External"/><Relationship Id="rId35" Type="http://schemas.openxmlformats.org/officeDocument/2006/relationships/hyperlink" Target="bookmark://Five_dosing" TargetMode="External"/><Relationship Id="rId56" Type="http://schemas.openxmlformats.org/officeDocument/2006/relationships/hyperlink" Target="https://www.gov.uk/government/publications/covid-19-the-green-book-chapter-14a" TargetMode="External"/><Relationship Id="rId77" Type="http://schemas.openxmlformats.org/officeDocument/2006/relationships/hyperlink" Target="https://www.medicines.org.uk/emc/product/156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90694"/>
    <w:rsid w:val="000D2F6F"/>
    <w:rsid w:val="00137B08"/>
    <w:rsid w:val="001819C5"/>
    <w:rsid w:val="002608A4"/>
    <w:rsid w:val="00316773"/>
    <w:rsid w:val="00443EF2"/>
    <w:rsid w:val="006439BC"/>
    <w:rsid w:val="00650E3F"/>
    <w:rsid w:val="006A364A"/>
    <w:rsid w:val="006C27B6"/>
    <w:rsid w:val="006E1119"/>
    <w:rsid w:val="007F3D82"/>
    <w:rsid w:val="00826C28"/>
    <w:rsid w:val="008E65F8"/>
    <w:rsid w:val="00B31CD6"/>
    <w:rsid w:val="00C26D94"/>
    <w:rsid w:val="00C50CB6"/>
    <w:rsid w:val="00CE510C"/>
    <w:rsid w:val="00D92433"/>
    <w:rsid w:val="00F12485"/>
    <w:rsid w:val="00F3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4512f041-31c9-4873-9aa3-f06e57144f25"/>
    <ds:schemaRef ds:uri="http://purl.org/dc/dcmitype/"/>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a9828ea0-a2d3-4f70-8da5-04d4217a29a9"/>
    <ds:schemaRef ds:uri="http://schemas.microsoft.com/office/2006/metadata/properties"/>
  </ds:schemaRefs>
</ds:datastoreItem>
</file>

<file path=customXml/itemProps4.xml><?xml version="1.0" encoding="utf-8"?>
<ds:datastoreItem xmlns:ds="http://schemas.openxmlformats.org/officeDocument/2006/customXml" ds:itemID="{D2CF49F6-42A6-406A-9712-550CFB61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6946</Words>
  <Characters>39594</Characters>
  <Application>Microsoft Office Word</Application>
  <DocSecurity>8</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2022-07-04T15:09:00Z</cp:lastPrinted>
  <dcterms:created xsi:type="dcterms:W3CDTF">2025-06-18T08:24:00Z</dcterms:created>
  <dcterms:modified xsi:type="dcterms:W3CDTF">2025-06-18T08:24:00Z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