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A1AF" w14:textId="61C0ADC8" w:rsidR="00C3089D" w:rsidRPr="00730685" w:rsidRDefault="00C3089D" w:rsidP="00C3089D">
      <w:pPr>
        <w:spacing w:line="240" w:lineRule="auto"/>
        <w:ind w:left="-709" w:right="-711"/>
        <w:rPr>
          <w:rFonts w:cs="Arial"/>
          <w:sz w:val="32"/>
          <w:szCs w:val="32"/>
        </w:rPr>
      </w:pPr>
      <w:r w:rsidRPr="00730685">
        <w:rPr>
          <w:rFonts w:cs="Arial"/>
          <w:sz w:val="32"/>
          <w:szCs w:val="32"/>
        </w:rPr>
        <w:t>National shared care protocol:</w:t>
      </w:r>
    </w:p>
    <w:p w14:paraId="5EFACDA4" w14:textId="46353CAE" w:rsidR="00730685" w:rsidRDefault="00ED0997" w:rsidP="00730685">
      <w:pPr>
        <w:pStyle w:val="Subtitle"/>
        <w:spacing w:before="240" w:after="120"/>
        <w:ind w:left="-709"/>
        <w:rPr>
          <w:b/>
          <w:bCs/>
          <w:sz w:val="32"/>
          <w:szCs w:val="32"/>
        </w:rPr>
      </w:pPr>
      <w:r w:rsidRPr="00730685">
        <w:rPr>
          <w:b/>
          <w:bCs/>
          <w:sz w:val="32"/>
          <w:szCs w:val="32"/>
        </w:rPr>
        <w:t>Azathioprine and mercaptopurine for patients within adult</w:t>
      </w:r>
      <w:r w:rsidRPr="007E3539">
        <w:rPr>
          <w:b/>
          <w:bCs/>
          <w:sz w:val="36"/>
          <w:szCs w:val="36"/>
        </w:rPr>
        <w:t xml:space="preserve"> </w:t>
      </w:r>
      <w:r w:rsidRPr="00730685">
        <w:rPr>
          <w:b/>
          <w:bCs/>
          <w:sz w:val="32"/>
          <w:szCs w:val="32"/>
        </w:rPr>
        <w:t>services</w:t>
      </w:r>
      <w:r w:rsidRPr="007E3539">
        <w:rPr>
          <w:b/>
          <w:bCs/>
          <w:sz w:val="36"/>
          <w:szCs w:val="36"/>
        </w:rPr>
        <w:t xml:space="preserve"> </w:t>
      </w:r>
      <w:r w:rsidRPr="00730685">
        <w:rPr>
          <w:b/>
          <w:bCs/>
          <w:sz w:val="32"/>
          <w:szCs w:val="32"/>
        </w:rPr>
        <w:t>(non-transplant indications)</w:t>
      </w:r>
    </w:p>
    <w:p w14:paraId="4E5895C0" w14:textId="77777777" w:rsidR="00730685" w:rsidRPr="00242696" w:rsidRDefault="00730685" w:rsidP="00730685">
      <w:pPr>
        <w:pStyle w:val="Subtitle"/>
        <w:spacing w:before="240" w:after="120"/>
        <w:ind w:left="-709"/>
        <w:rPr>
          <w:sz w:val="24"/>
        </w:rPr>
      </w:pPr>
    </w:p>
    <w:p w14:paraId="57D1F494" w14:textId="41F75F77" w:rsidR="00730685" w:rsidRPr="00730685" w:rsidRDefault="004D5869" w:rsidP="00730685">
      <w:pPr>
        <w:pStyle w:val="Subtitle"/>
        <w:spacing w:before="240" w:after="120"/>
        <w:ind w:left="-709"/>
        <w:rPr>
          <w:sz w:val="24"/>
        </w:rPr>
      </w:pPr>
      <w:r w:rsidRPr="00730685">
        <w:rPr>
          <w:noProof/>
          <w:sz w:val="24"/>
        </w:rPr>
        <w:drawing>
          <wp:anchor distT="0" distB="0" distL="114300" distR="114300" simplePos="0" relativeHeight="251658242" behindDoc="1" locked="0" layoutInCell="1" allowOverlap="1" wp14:anchorId="7C814D8E" wp14:editId="60F5134E">
            <wp:simplePos x="0" y="0"/>
            <wp:positionH relativeFrom="margin">
              <wp:posOffset>4678045</wp:posOffset>
            </wp:positionH>
            <wp:positionV relativeFrom="paragraph">
              <wp:posOffset>384175</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730685">
        <w:rPr>
          <w:noProof/>
          <w:sz w:val="32"/>
          <w:szCs w:val="32"/>
        </w:rPr>
        <mc:AlternateContent>
          <mc:Choice Requires="wps">
            <w:drawing>
              <wp:anchor distT="45720" distB="45720" distL="114300" distR="114300" simplePos="0" relativeHeight="251658241" behindDoc="1" locked="0" layoutInCell="1" allowOverlap="1" wp14:anchorId="66985033" wp14:editId="176F1760">
                <wp:simplePos x="0" y="0"/>
                <wp:positionH relativeFrom="margin">
                  <wp:posOffset>-424180</wp:posOffset>
                </wp:positionH>
                <wp:positionV relativeFrom="paragraph">
                  <wp:posOffset>300990</wp:posOffset>
                </wp:positionV>
                <wp:extent cx="6667500" cy="6654800"/>
                <wp:effectExtent l="19050" t="19050" r="19050" b="12700"/>
                <wp:wrapTight wrapText="bothSides">
                  <wp:wrapPolygon edited="0">
                    <wp:start x="-62" y="-62"/>
                    <wp:lineTo x="-62" y="21579"/>
                    <wp:lineTo x="21600" y="21579"/>
                    <wp:lineTo x="21600" y="-62"/>
                    <wp:lineTo x="-62" y="-6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654800"/>
                        </a:xfrm>
                        <a:prstGeom prst="rect">
                          <a:avLst/>
                        </a:prstGeom>
                        <a:noFill/>
                        <a:ln w="38100">
                          <a:solidFill>
                            <a:srgbClr val="00B050"/>
                          </a:solidFill>
                          <a:miter lim="800000"/>
                          <a:headEnd/>
                          <a:tailEnd/>
                        </a:ln>
                      </wps:spPr>
                      <wps:txbx>
                        <w:txbxContent>
                          <w:p w14:paraId="7AAD2580" w14:textId="6A8E2048" w:rsidR="00E82FF8" w:rsidRPr="002F77E3" w:rsidRDefault="00992106" w:rsidP="002F77E3">
                            <w:pPr>
                              <w:spacing w:line="20" w:lineRule="atLeast"/>
                              <w:rPr>
                                <w:rFonts w:cstheme="minorHAnsi"/>
                                <w:b/>
                                <w:bCs/>
                                <w:color w:val="005EB8"/>
                                <w:sz w:val="28"/>
                              </w:rPr>
                            </w:pPr>
                            <w:r w:rsidRPr="00576E09">
                              <w:rPr>
                                <w:rFonts w:cstheme="minorHAnsi"/>
                                <w:b/>
                                <w:bCs/>
                                <w:color w:val="005EB8"/>
                                <w:sz w:val="28"/>
                              </w:rPr>
                              <w:t>SWL</w:t>
                            </w:r>
                            <w:r w:rsidR="00110AD5" w:rsidRPr="00576E09">
                              <w:rPr>
                                <w:rFonts w:cstheme="minorHAnsi"/>
                                <w:b/>
                                <w:bCs/>
                                <w:color w:val="005EB8"/>
                                <w:sz w:val="28"/>
                              </w:rPr>
                              <w:t xml:space="preserve"> </w:t>
                            </w:r>
                            <w:r w:rsidR="00E82FF8" w:rsidRPr="00576E09">
                              <w:rPr>
                                <w:rFonts w:cstheme="minorHAnsi"/>
                                <w:b/>
                                <w:bCs/>
                                <w:color w:val="005EB8"/>
                                <w:sz w:val="28"/>
                              </w:rPr>
                              <w:t>L</w:t>
                            </w:r>
                            <w:r w:rsidR="007052F5">
                              <w:rPr>
                                <w:rFonts w:cstheme="minorHAnsi"/>
                                <w:b/>
                                <w:bCs/>
                                <w:color w:val="005EB8"/>
                                <w:sz w:val="28"/>
                              </w:rPr>
                              <w:t>ocal</w:t>
                            </w:r>
                            <w:r w:rsidR="00E82FF8" w:rsidRPr="00576E09">
                              <w:rPr>
                                <w:rFonts w:cstheme="minorHAnsi"/>
                                <w:b/>
                                <w:bCs/>
                                <w:color w:val="005EB8"/>
                                <w:sz w:val="28"/>
                              </w:rPr>
                              <w:t xml:space="preserve"> A</w:t>
                            </w:r>
                            <w:r w:rsidR="007052F5">
                              <w:rPr>
                                <w:rFonts w:cstheme="minorHAnsi"/>
                                <w:b/>
                                <w:bCs/>
                                <w:color w:val="005EB8"/>
                                <w:sz w:val="28"/>
                              </w:rPr>
                              <w:t>daptation</w:t>
                            </w:r>
                            <w:r w:rsidR="002F77E3">
                              <w:rPr>
                                <w:rFonts w:cstheme="minorHAnsi"/>
                                <w:b/>
                                <w:bCs/>
                                <w:color w:val="005EB8"/>
                                <w:sz w:val="28"/>
                              </w:rPr>
                              <w:br/>
                            </w:r>
                            <w:r>
                              <w:rPr>
                                <w:rFonts w:cs="Arial"/>
                                <w:b/>
                                <w:bCs/>
                                <w:sz w:val="22"/>
                              </w:rPr>
                              <w:t>November</w:t>
                            </w:r>
                            <w:r w:rsidR="00E82FF8">
                              <w:rPr>
                                <w:rFonts w:cs="Arial"/>
                                <w:b/>
                                <w:bCs/>
                                <w:sz w:val="22"/>
                              </w:rPr>
                              <w:t xml:space="preserve"> 202</w:t>
                            </w:r>
                            <w:r>
                              <w:rPr>
                                <w:rFonts w:cs="Arial"/>
                                <w:b/>
                                <w:bCs/>
                                <w:sz w:val="22"/>
                              </w:rPr>
                              <w:t>2</w:t>
                            </w:r>
                          </w:p>
                          <w:p w14:paraId="5F849F8D" w14:textId="3C872EEF" w:rsidR="00E82FF8" w:rsidRDefault="00E82FF8" w:rsidP="00E82FF8">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110AD5">
                                <w:rPr>
                                  <w:rStyle w:val="Hyperlink"/>
                                  <w:rFonts w:cs="Arial"/>
                                  <w:sz w:val="22"/>
                                  <w:lang w:eastAsia="en-GB"/>
                                </w:rPr>
                                <w:t>Locally agreed off-label use</w:t>
                              </w:r>
                            </w:hyperlink>
                          </w:p>
                          <w:p w14:paraId="2E26502B" w14:textId="5087E9DA" w:rsidR="0042420D" w:rsidRPr="00110AD5" w:rsidRDefault="00110AD5" w:rsidP="00110AD5">
                            <w:pPr>
                              <w:pStyle w:val="ListParagraph"/>
                              <w:numPr>
                                <w:ilvl w:val="0"/>
                                <w:numId w:val="28"/>
                              </w:numPr>
                              <w:spacing w:before="60"/>
                              <w:rPr>
                                <w:rFonts w:eastAsia="Arial" w:cs="Arial"/>
                                <w:sz w:val="22"/>
                              </w:rPr>
                            </w:pPr>
                            <w:r>
                              <w:rPr>
                                <w:rFonts w:eastAsia="Arial" w:cs="Arial"/>
                                <w:color w:val="000000"/>
                                <w:sz w:val="22"/>
                              </w:rPr>
                              <w:t xml:space="preserve">The word ‘normally’ under </w:t>
                            </w:r>
                            <w:hyperlink w:anchor="_Specialist_responsibilities" w:history="1">
                              <w:r w:rsidRPr="00110AD5">
                                <w:rPr>
                                  <w:rStyle w:val="Hyperlink"/>
                                  <w:rFonts w:eastAsia="Arial" w:cs="Arial"/>
                                  <w:sz w:val="22"/>
                                </w:rPr>
                                <w:t>specialist responsibilities</w:t>
                              </w:r>
                            </w:hyperlink>
                            <w:r>
                              <w:rPr>
                                <w:rFonts w:eastAsia="Arial" w:cs="Arial"/>
                                <w:color w:val="000000"/>
                                <w:sz w:val="22"/>
                              </w:rPr>
                              <w:t xml:space="preserve"> section bullet point 6 and </w:t>
                            </w:r>
                            <w:hyperlink w:anchor="_Initiation_and_ongoing" w:history="1">
                              <w:r w:rsidRPr="00110AD5">
                                <w:rPr>
                                  <w:rStyle w:val="Hyperlink"/>
                                  <w:rFonts w:eastAsia="Arial" w:cs="Arial"/>
                                  <w:sz w:val="22"/>
                                </w:rPr>
                                <w:t>section 5</w:t>
                              </w:r>
                            </w:hyperlink>
                            <w:r>
                              <w:rPr>
                                <w:rFonts w:eastAsia="Arial" w:cs="Arial"/>
                                <w:color w:val="000000"/>
                                <w:sz w:val="22"/>
                              </w:rPr>
                              <w:t>, first bullet point has been deleted</w:t>
                            </w:r>
                            <w:r w:rsidR="000B07CE">
                              <w:rPr>
                                <w:rFonts w:eastAsia="Arial" w:cs="Arial"/>
                                <w:color w:val="000000"/>
                                <w:sz w:val="22"/>
                              </w:rPr>
                              <w:t>:</w:t>
                            </w:r>
                            <w:r w:rsidR="00744A1A">
                              <w:rPr>
                                <w:rFonts w:eastAsia="Arial" w:cs="Arial"/>
                                <w:color w:val="000000"/>
                                <w:sz w:val="22"/>
                              </w:rPr>
                              <w:t xml:space="preserve"> </w:t>
                            </w:r>
                            <w:r w:rsidR="000B07CE">
                              <w:rPr>
                                <w:rFonts w:eastAsia="Arial" w:cs="Arial"/>
                                <w:color w:val="000000"/>
                                <w:sz w:val="22"/>
                              </w:rPr>
                              <w:t>‘</w:t>
                            </w:r>
                            <w:r w:rsidR="00744A1A" w:rsidRPr="00744A1A">
                              <w:rPr>
                                <w:rFonts w:eastAsia="Arial" w:cs="Arial"/>
                                <w:color w:val="000000"/>
                                <w:sz w:val="22"/>
                              </w:rPr>
                              <w:t xml:space="preserve">Transfer to primary care is </w:t>
                            </w:r>
                            <w:r w:rsidR="00744A1A" w:rsidRPr="00744A1A">
                              <w:rPr>
                                <w:rFonts w:eastAsia="Arial" w:cs="Arial"/>
                                <w:strike/>
                                <w:color w:val="000000"/>
                                <w:sz w:val="22"/>
                              </w:rPr>
                              <w:t>normally</w:t>
                            </w:r>
                            <w:r w:rsidR="00744A1A" w:rsidRPr="00744A1A">
                              <w:rPr>
                                <w:rFonts w:eastAsia="Arial" w:cs="Arial"/>
                                <w:color w:val="000000"/>
                                <w:sz w:val="22"/>
                              </w:rPr>
                              <w:t xml:space="preserve"> after the patient has been treated for 3 months and with satisfactory investigation results for at least 4 weeks.</w:t>
                            </w:r>
                            <w:r w:rsidR="000B07CE">
                              <w:rPr>
                                <w:rFonts w:eastAsia="Arial" w:cs="Arial"/>
                                <w:color w:val="000000"/>
                                <w:sz w:val="22"/>
                              </w:rPr>
                              <w:t>’</w:t>
                            </w:r>
                            <w:r w:rsidR="00744A1A" w:rsidRPr="00004070">
                              <w:rPr>
                                <w:rFonts w:eastAsia="Arial" w:cs="Arial"/>
                                <w:color w:val="000000"/>
                                <w:szCs w:val="24"/>
                              </w:rPr>
                              <w:t xml:space="preserve"> </w:t>
                            </w:r>
                            <w:r>
                              <w:rPr>
                                <w:rFonts w:eastAsia="Arial" w:cs="Arial"/>
                                <w:color w:val="000000"/>
                                <w:sz w:val="22"/>
                              </w:rPr>
                              <w:t xml:space="preserve"> This is to highlight that t</w:t>
                            </w:r>
                            <w:r w:rsidR="0042420D" w:rsidRPr="0042420D">
                              <w:rPr>
                                <w:rFonts w:eastAsia="Arial" w:cs="Arial"/>
                                <w:color w:val="000000"/>
                                <w:sz w:val="22"/>
                              </w:rPr>
                              <w:t>ransfer to primary care is after the patient has been treated for</w:t>
                            </w:r>
                            <w:r w:rsidR="0042420D">
                              <w:rPr>
                                <w:rFonts w:eastAsia="Arial" w:cs="Arial"/>
                                <w:color w:val="000000"/>
                                <w:sz w:val="22"/>
                              </w:rPr>
                              <w:t xml:space="preserve"> a minimum of</w:t>
                            </w:r>
                            <w:r w:rsidR="0042420D" w:rsidRPr="0042420D">
                              <w:rPr>
                                <w:rFonts w:eastAsia="Arial" w:cs="Arial"/>
                                <w:color w:val="000000"/>
                                <w:sz w:val="22"/>
                              </w:rPr>
                              <w:t xml:space="preserve"> 3 months and with satisfactory investigation results for at least 4 weeks</w:t>
                            </w:r>
                            <w:r w:rsidR="0042420D">
                              <w:rPr>
                                <w:rFonts w:eastAsia="Arial" w:cs="Arial"/>
                                <w:color w:val="000000"/>
                                <w:sz w:val="22"/>
                              </w:rPr>
                              <w:t>.</w:t>
                            </w:r>
                            <w:r>
                              <w:rPr>
                                <w:rFonts w:eastAsia="Arial" w:cs="Arial"/>
                                <w:color w:val="000000"/>
                                <w:sz w:val="22"/>
                              </w:rPr>
                              <w:t xml:space="preserve"> </w:t>
                            </w:r>
                            <w:r w:rsidR="0042420D" w:rsidRPr="00110AD5">
                              <w:rPr>
                                <w:rFonts w:eastAsia="Arial" w:cs="Arial"/>
                                <w:b/>
                                <w:bCs/>
                                <w:color w:val="000000" w:themeColor="text1"/>
                                <w:sz w:val="22"/>
                              </w:rPr>
                              <w:t>The initial stabilisation period</w:t>
                            </w:r>
                            <w:r w:rsidR="0042420D" w:rsidRPr="00110AD5">
                              <w:rPr>
                                <w:rFonts w:eastAsia="Arial" w:cs="Arial"/>
                                <w:color w:val="000000" w:themeColor="text1"/>
                                <w:sz w:val="22"/>
                              </w:rPr>
                              <w:t xml:space="preserve"> </w:t>
                            </w:r>
                            <w:r w:rsidR="0042420D" w:rsidRPr="00110AD5">
                              <w:rPr>
                                <w:rFonts w:eastAsia="Arial" w:cs="Arial"/>
                                <w:b/>
                                <w:bCs/>
                                <w:sz w:val="22"/>
                              </w:rPr>
                              <w:t xml:space="preserve">must be prescribed by the initiating specialist. </w:t>
                            </w:r>
                          </w:p>
                          <w:p w14:paraId="1014A6D0" w14:textId="3617BE06" w:rsidR="00E82FF8" w:rsidRDefault="0042420D" w:rsidP="00E82FF8">
                            <w:pPr>
                              <w:pStyle w:val="ListParagraph"/>
                              <w:numPr>
                                <w:ilvl w:val="0"/>
                                <w:numId w:val="28"/>
                              </w:numPr>
                              <w:rPr>
                                <w:sz w:val="22"/>
                              </w:rPr>
                            </w:pPr>
                            <w:r>
                              <w:rPr>
                                <w:sz w:val="22"/>
                              </w:rPr>
                              <w:t xml:space="preserve">Amendment to </w:t>
                            </w:r>
                            <w:hyperlink w:anchor="_Ongoing_monitoring_requirements" w:history="1">
                              <w:r w:rsidRPr="00110AD5">
                                <w:rPr>
                                  <w:rStyle w:val="Hyperlink"/>
                                  <w:sz w:val="22"/>
                                </w:rPr>
                                <w:t>section 9</w:t>
                              </w:r>
                            </w:hyperlink>
                            <w:r>
                              <w:rPr>
                                <w:sz w:val="22"/>
                              </w:rPr>
                              <w:t>:</w:t>
                            </w:r>
                          </w:p>
                          <w:p w14:paraId="78C4FEDC" w14:textId="77777777" w:rsidR="00110AD5" w:rsidRDefault="00110AD5" w:rsidP="0042420D">
                            <w:pPr>
                              <w:pStyle w:val="ListParagraph"/>
                              <w:rPr>
                                <w:rFonts w:eastAsia="Arial" w:cs="Arial"/>
                                <w:color w:val="000000" w:themeColor="text1"/>
                                <w:sz w:val="22"/>
                              </w:rPr>
                            </w:pPr>
                            <w:r>
                              <w:rPr>
                                <w:rFonts w:eastAsia="Arial" w:cs="Arial"/>
                                <w:color w:val="000000" w:themeColor="text1"/>
                                <w:sz w:val="22"/>
                              </w:rPr>
                              <w:t>We have deleted ‘unless already’ and added ‘which should be’ to read as the following:</w:t>
                            </w:r>
                          </w:p>
                          <w:p w14:paraId="5E15A691" w14:textId="77777777" w:rsidR="00DA7C1B" w:rsidRDefault="00110AD5" w:rsidP="00DA7C1B">
                            <w:pPr>
                              <w:pStyle w:val="ListParagraph"/>
                              <w:rPr>
                                <w:rFonts w:eastAsia="Arial" w:cs="Arial"/>
                                <w:color w:val="000000" w:themeColor="text1"/>
                                <w:sz w:val="22"/>
                              </w:rPr>
                            </w:pPr>
                            <w:r>
                              <w:rPr>
                                <w:rFonts w:eastAsia="Arial" w:cs="Arial"/>
                                <w:color w:val="000000" w:themeColor="text1"/>
                                <w:sz w:val="22"/>
                              </w:rPr>
                              <w:t>‘</w:t>
                            </w:r>
                            <w:r w:rsidR="0042420D" w:rsidRPr="0042420D">
                              <w:rPr>
                                <w:rFonts w:eastAsia="Arial" w:cs="Arial"/>
                                <w:color w:val="000000" w:themeColor="text1"/>
                                <w:sz w:val="22"/>
                              </w:rPr>
                              <w:t xml:space="preserve">Monthly for three months, </w:t>
                            </w:r>
                            <w:r w:rsidR="0042420D" w:rsidRPr="0042420D">
                              <w:rPr>
                                <w:rFonts w:eastAsia="Arial" w:cs="Arial"/>
                                <w:strike/>
                                <w:color w:val="000000" w:themeColor="text1"/>
                                <w:sz w:val="22"/>
                              </w:rPr>
                              <w:t>unless</w:t>
                            </w:r>
                            <w:r w:rsidR="0042420D" w:rsidRPr="0042420D">
                              <w:rPr>
                                <w:rFonts w:eastAsia="Arial" w:cs="Arial"/>
                                <w:color w:val="000000" w:themeColor="text1"/>
                                <w:sz w:val="22"/>
                              </w:rPr>
                              <w:t xml:space="preserve"> </w:t>
                            </w:r>
                            <w:r w:rsidR="0042420D" w:rsidRPr="0042420D">
                              <w:rPr>
                                <w:rFonts w:eastAsia="Arial" w:cs="Arial"/>
                                <w:strike/>
                                <w:color w:val="000000" w:themeColor="text1"/>
                                <w:sz w:val="22"/>
                              </w:rPr>
                              <w:t>already</w:t>
                            </w:r>
                            <w:r w:rsidR="0042420D" w:rsidRPr="0042420D">
                              <w:rPr>
                                <w:rFonts w:eastAsia="Arial" w:cs="Arial"/>
                                <w:color w:val="000000" w:themeColor="text1"/>
                                <w:sz w:val="22"/>
                              </w:rPr>
                              <w:t xml:space="preserve"> </w:t>
                            </w:r>
                            <w:r w:rsidR="0042420D" w:rsidRPr="00952C71">
                              <w:rPr>
                                <w:rFonts w:eastAsia="Arial" w:cs="Arial"/>
                                <w:color w:val="000000" w:themeColor="text1"/>
                                <w:sz w:val="22"/>
                              </w:rPr>
                              <w:t xml:space="preserve">which should be </w:t>
                            </w:r>
                            <w:r w:rsidR="0042420D" w:rsidRPr="0042420D">
                              <w:rPr>
                                <w:rFonts w:eastAsia="Arial" w:cs="Arial"/>
                                <w:color w:val="000000" w:themeColor="text1"/>
                                <w:sz w:val="22"/>
                              </w:rPr>
                              <w:t>completed in secondary care.</w:t>
                            </w:r>
                            <w:r>
                              <w:rPr>
                                <w:rFonts w:eastAsia="Arial" w:cs="Arial"/>
                                <w:color w:val="000000" w:themeColor="text1"/>
                                <w:sz w:val="22"/>
                              </w:rPr>
                              <w:t>’</w:t>
                            </w:r>
                            <w:r w:rsidR="0042420D" w:rsidRPr="0042420D">
                              <w:rPr>
                                <w:rFonts w:eastAsia="Arial" w:cs="Arial"/>
                                <w:color w:val="000000" w:themeColor="text1"/>
                                <w:sz w:val="22"/>
                              </w:rPr>
                              <w:t xml:space="preserve"> Amendment to highlight </w:t>
                            </w:r>
                            <w:r w:rsidR="0042420D">
                              <w:rPr>
                                <w:rFonts w:eastAsia="Arial" w:cs="Arial"/>
                                <w:color w:val="000000" w:themeColor="text1"/>
                                <w:sz w:val="22"/>
                              </w:rPr>
                              <w:t xml:space="preserve">that </w:t>
                            </w:r>
                            <w:r w:rsidR="0042420D" w:rsidRPr="0042420D">
                              <w:rPr>
                                <w:rFonts w:eastAsia="Arial" w:cs="Arial"/>
                                <w:color w:val="000000" w:themeColor="text1"/>
                                <w:sz w:val="22"/>
                              </w:rPr>
                              <w:t xml:space="preserve">all initial monitoring for first 3 months should be undertaken by the specialist in secondary care. </w:t>
                            </w:r>
                          </w:p>
                          <w:p w14:paraId="22E8197A" w14:textId="7B6076A9" w:rsidR="00DA7C1B" w:rsidRPr="007E3539" w:rsidRDefault="00C467D5" w:rsidP="00DA7C1B">
                            <w:pPr>
                              <w:pStyle w:val="ListParagraph"/>
                              <w:numPr>
                                <w:ilvl w:val="0"/>
                                <w:numId w:val="28"/>
                              </w:numPr>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50582A">
                                <w:rPr>
                                  <w:rStyle w:val="Hyperlink"/>
                                  <w:rFonts w:eastAsia="Times New Roman" w:cs="Arial"/>
                                  <w:sz w:val="22"/>
                                  <w:lang w:eastAsia="en-GB"/>
                                </w:rPr>
                                <w:t>section 8</w:t>
                              </w:r>
                            </w:hyperlink>
                            <w:r w:rsidRPr="0050582A">
                              <w:rPr>
                                <w:rFonts w:eastAsia="Times New Roman" w:cs="Arial"/>
                                <w:sz w:val="22"/>
                                <w:lang w:eastAsia="en-GB"/>
                              </w:rPr>
                              <w:t>: ‘</w:t>
                            </w:r>
                            <w:r w:rsidR="00DA7C1B" w:rsidRPr="0050582A">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FF146A" w:rsidRPr="0050582A">
                              <w:rPr>
                                <w:rFonts w:eastAsia="Arial" w:cs="Arial"/>
                                <w:sz w:val="22"/>
                              </w:rPr>
                              <w:t xml:space="preserve"> After each review, advise primary care whether treatment should be continued, confirm the ongoing dose, and whether the ongoing monitoring outlined in </w:t>
                            </w:r>
                            <w:hyperlink r:id="rId12">
                              <w:r w:rsidR="00FF146A" w:rsidRPr="0050582A">
                                <w:rPr>
                                  <w:rStyle w:val="Hyperlink"/>
                                  <w:rFonts w:eastAsia="Arial" w:cs="Arial"/>
                                  <w:sz w:val="22"/>
                                </w:rPr>
                                <w:t>section 9</w:t>
                              </w:r>
                            </w:hyperlink>
                            <w:r w:rsidR="00FF146A" w:rsidRPr="0050582A">
                              <w:rPr>
                                <w:rFonts w:eastAsia="Arial" w:cs="Arial"/>
                                <w:sz w:val="22"/>
                              </w:rPr>
                              <w:t xml:space="preserve"> remains appropriate.</w:t>
                            </w:r>
                            <w:r w:rsidRPr="0050582A">
                              <w:rPr>
                                <w:rFonts w:eastAsia="Arial" w:cs="Arial"/>
                                <w:sz w:val="22"/>
                              </w:rPr>
                              <w:t>’</w:t>
                            </w:r>
                          </w:p>
                          <w:p w14:paraId="6F0579BB" w14:textId="77777777" w:rsidR="007E3539" w:rsidRPr="004D5869" w:rsidRDefault="007E3539" w:rsidP="007E3539">
                            <w:pPr>
                              <w:pStyle w:val="ListParagraph"/>
                              <w:rPr>
                                <w:rFonts w:eastAsia="Arial" w:cs="Arial"/>
                                <w:color w:val="000000" w:themeColor="text1"/>
                                <w:sz w:val="20"/>
                                <w:szCs w:val="20"/>
                              </w:rPr>
                            </w:pPr>
                          </w:p>
                          <w:p w14:paraId="36CE3FFB" w14:textId="77777777" w:rsidR="00730685" w:rsidRPr="00730685" w:rsidRDefault="00730685" w:rsidP="00730685">
                            <w:pPr>
                              <w:spacing w:after="0" w:line="240" w:lineRule="auto"/>
                              <w:ind w:left="360"/>
                              <w:rPr>
                                <w:b/>
                                <w:bCs/>
                                <w:sz w:val="22"/>
                              </w:rPr>
                            </w:pPr>
                            <w:r w:rsidRPr="00730685">
                              <w:rPr>
                                <w:b/>
                                <w:bCs/>
                                <w:sz w:val="22"/>
                              </w:rPr>
                              <w:t>Version Control History</w:t>
                            </w:r>
                          </w:p>
                          <w:p w14:paraId="2179450B" w14:textId="77777777" w:rsidR="00730685" w:rsidRPr="00730685" w:rsidRDefault="00730685" w:rsidP="00730685">
                            <w:pPr>
                              <w:spacing w:after="0" w:line="240" w:lineRule="auto"/>
                              <w:ind w:left="360"/>
                              <w:rPr>
                                <w:sz w:val="20"/>
                                <w:szCs w:val="20"/>
                              </w:rPr>
                            </w:pPr>
                            <w:r w:rsidRPr="00730685">
                              <w:rPr>
                                <w:sz w:val="20"/>
                                <w:szCs w:val="20"/>
                              </w:rPr>
                              <w:t>Date: 15</w:t>
                            </w:r>
                            <w:r w:rsidRPr="00730685">
                              <w:rPr>
                                <w:sz w:val="20"/>
                                <w:szCs w:val="20"/>
                                <w:vertAlign w:val="superscript"/>
                              </w:rPr>
                              <w:t>th</w:t>
                            </w:r>
                            <w:r w:rsidRPr="00730685">
                              <w:rPr>
                                <w:sz w:val="20"/>
                                <w:szCs w:val="20"/>
                              </w:rPr>
                              <w:t xml:space="preserve"> February 2023, updated January 2025</w:t>
                            </w:r>
                          </w:p>
                          <w:p w14:paraId="445A8E10" w14:textId="77777777" w:rsidR="00730685" w:rsidRPr="00730685" w:rsidRDefault="00730685" w:rsidP="00730685">
                            <w:pPr>
                              <w:spacing w:after="0" w:line="240" w:lineRule="auto"/>
                              <w:ind w:left="360"/>
                              <w:rPr>
                                <w:sz w:val="20"/>
                                <w:szCs w:val="20"/>
                              </w:rPr>
                            </w:pPr>
                            <w:r w:rsidRPr="00730685">
                              <w:rPr>
                                <w:sz w:val="20"/>
                                <w:szCs w:val="20"/>
                              </w:rPr>
                              <w:t>Version: 1.1</w:t>
                            </w:r>
                          </w:p>
                          <w:p w14:paraId="6108D833" w14:textId="77777777" w:rsidR="00730685" w:rsidRPr="00730685" w:rsidRDefault="00730685" w:rsidP="00730685">
                            <w:pPr>
                              <w:spacing w:after="0" w:line="240" w:lineRule="auto"/>
                              <w:ind w:left="360"/>
                              <w:rPr>
                                <w:sz w:val="20"/>
                                <w:szCs w:val="20"/>
                              </w:rPr>
                            </w:pPr>
                            <w:r w:rsidRPr="00730685">
                              <w:rPr>
                                <w:sz w:val="20"/>
                                <w:szCs w:val="20"/>
                              </w:rPr>
                              <w:t>Type of change: Minor</w:t>
                            </w:r>
                          </w:p>
                          <w:p w14:paraId="2B5AF4F2" w14:textId="77777777" w:rsidR="00730685" w:rsidRPr="00730685" w:rsidRDefault="00730685" w:rsidP="00730685">
                            <w:pPr>
                              <w:spacing w:after="0" w:line="240" w:lineRule="auto"/>
                              <w:ind w:left="360"/>
                              <w:rPr>
                                <w:sz w:val="20"/>
                                <w:szCs w:val="20"/>
                              </w:rPr>
                            </w:pPr>
                            <w:r w:rsidRPr="00730685">
                              <w:rPr>
                                <w:sz w:val="20"/>
                                <w:szCs w:val="20"/>
                              </w:rPr>
                              <w:t>Summary of change: Review date extended to February 2026</w:t>
                            </w:r>
                          </w:p>
                          <w:p w14:paraId="5B73A847" w14:textId="77777777" w:rsidR="00730685" w:rsidRPr="00730685" w:rsidRDefault="00730685" w:rsidP="00730685">
                            <w:pPr>
                              <w:spacing w:after="0" w:line="240" w:lineRule="auto"/>
                              <w:ind w:left="360"/>
                              <w:rPr>
                                <w:sz w:val="20"/>
                                <w:szCs w:val="20"/>
                              </w:rPr>
                            </w:pPr>
                          </w:p>
                          <w:p w14:paraId="7F0B86C1" w14:textId="77777777" w:rsidR="00730685" w:rsidRPr="00730685" w:rsidRDefault="00730685" w:rsidP="00730685">
                            <w:pPr>
                              <w:spacing w:after="0" w:line="240" w:lineRule="auto"/>
                              <w:ind w:left="360"/>
                              <w:rPr>
                                <w:sz w:val="20"/>
                                <w:szCs w:val="20"/>
                              </w:rPr>
                            </w:pPr>
                            <w:r w:rsidRPr="00730685">
                              <w:rPr>
                                <w:sz w:val="20"/>
                                <w:szCs w:val="20"/>
                              </w:rPr>
                              <w:t>Date: 15</w:t>
                            </w:r>
                            <w:r w:rsidRPr="00730685">
                              <w:rPr>
                                <w:sz w:val="20"/>
                                <w:szCs w:val="20"/>
                                <w:vertAlign w:val="superscript"/>
                              </w:rPr>
                              <w:t>th</w:t>
                            </w:r>
                            <w:r w:rsidRPr="00730685">
                              <w:rPr>
                                <w:sz w:val="20"/>
                                <w:szCs w:val="20"/>
                              </w:rPr>
                              <w:t xml:space="preserve"> February 2023, updated December 2025</w:t>
                            </w:r>
                          </w:p>
                          <w:p w14:paraId="783D8795" w14:textId="77777777" w:rsidR="00730685" w:rsidRPr="00730685" w:rsidRDefault="00730685" w:rsidP="00730685">
                            <w:pPr>
                              <w:spacing w:after="0" w:line="240" w:lineRule="auto"/>
                              <w:ind w:left="360"/>
                              <w:rPr>
                                <w:sz w:val="20"/>
                                <w:szCs w:val="20"/>
                              </w:rPr>
                            </w:pPr>
                            <w:r w:rsidRPr="00730685">
                              <w:rPr>
                                <w:sz w:val="20"/>
                                <w:szCs w:val="20"/>
                              </w:rPr>
                              <w:t>Version: 1.2</w:t>
                            </w:r>
                          </w:p>
                          <w:p w14:paraId="6B874780" w14:textId="77777777" w:rsidR="00730685" w:rsidRPr="00730685" w:rsidRDefault="00730685" w:rsidP="00730685">
                            <w:pPr>
                              <w:spacing w:after="0" w:line="240" w:lineRule="auto"/>
                              <w:ind w:left="360"/>
                              <w:rPr>
                                <w:sz w:val="20"/>
                                <w:szCs w:val="20"/>
                              </w:rPr>
                            </w:pPr>
                            <w:r w:rsidRPr="00730685">
                              <w:rPr>
                                <w:sz w:val="20"/>
                                <w:szCs w:val="20"/>
                              </w:rPr>
                              <w:t>Type of change: Minor</w:t>
                            </w:r>
                          </w:p>
                          <w:p w14:paraId="3FCEFAC0" w14:textId="77777777" w:rsidR="00730685" w:rsidRPr="00730685" w:rsidRDefault="00730685" w:rsidP="00730685">
                            <w:pPr>
                              <w:spacing w:after="0" w:line="240" w:lineRule="auto"/>
                              <w:ind w:left="360"/>
                              <w:rPr>
                                <w:sz w:val="20"/>
                                <w:szCs w:val="20"/>
                              </w:rPr>
                            </w:pPr>
                            <w:r w:rsidRPr="00730685">
                              <w:rPr>
                                <w:sz w:val="20"/>
                                <w:szCs w:val="20"/>
                              </w:rPr>
                              <w:t>Summary of change: Review date extended to February 2028</w:t>
                            </w:r>
                          </w:p>
                          <w:p w14:paraId="44AC27B3" w14:textId="79E3E4D2" w:rsidR="00730685" w:rsidRPr="00730685" w:rsidRDefault="00730685" w:rsidP="00730685">
                            <w:pPr>
                              <w:pStyle w:val="ListParagraph"/>
                              <w:numPr>
                                <w:ilvl w:val="0"/>
                                <w:numId w:val="28"/>
                              </w:numPr>
                              <w:rPr>
                                <w:szCs w:val="24"/>
                              </w:rPr>
                            </w:pPr>
                            <w:r w:rsidRPr="00730685">
                              <w:rPr>
                                <w:szCs w:val="24"/>
                              </w:rPr>
                              <w:t>, updated December 2025</w:t>
                            </w:r>
                          </w:p>
                          <w:p w14:paraId="1B7BD65F" w14:textId="77777777" w:rsidR="00730685" w:rsidRPr="00730685" w:rsidRDefault="00730685" w:rsidP="00730685">
                            <w:pPr>
                              <w:pStyle w:val="ListParagraph"/>
                              <w:numPr>
                                <w:ilvl w:val="0"/>
                                <w:numId w:val="28"/>
                              </w:numPr>
                              <w:rPr>
                                <w:szCs w:val="24"/>
                              </w:rPr>
                            </w:pPr>
                            <w:r w:rsidRPr="00730685">
                              <w:rPr>
                                <w:szCs w:val="24"/>
                              </w:rPr>
                              <w:t>Version: 1.2</w:t>
                            </w:r>
                          </w:p>
                          <w:p w14:paraId="78DBB3E7" w14:textId="77777777" w:rsidR="00730685" w:rsidRPr="00730685" w:rsidRDefault="00730685" w:rsidP="00730685">
                            <w:pPr>
                              <w:pStyle w:val="ListParagraph"/>
                              <w:numPr>
                                <w:ilvl w:val="0"/>
                                <w:numId w:val="28"/>
                              </w:numPr>
                              <w:rPr>
                                <w:szCs w:val="24"/>
                              </w:rPr>
                            </w:pPr>
                            <w:r w:rsidRPr="00730685">
                              <w:rPr>
                                <w:szCs w:val="24"/>
                              </w:rPr>
                              <w:t>Type of change: Minor</w:t>
                            </w:r>
                          </w:p>
                          <w:p w14:paraId="1F91AA5E" w14:textId="77777777" w:rsidR="00730685" w:rsidRPr="00730685" w:rsidRDefault="00730685" w:rsidP="00730685">
                            <w:pPr>
                              <w:pStyle w:val="ListParagraph"/>
                              <w:numPr>
                                <w:ilvl w:val="0"/>
                                <w:numId w:val="28"/>
                              </w:numPr>
                              <w:rPr>
                                <w:szCs w:val="24"/>
                              </w:rPr>
                            </w:pPr>
                            <w:r w:rsidRPr="00730685">
                              <w:rPr>
                                <w:szCs w:val="24"/>
                              </w:rPr>
                              <w:t>Summary of change: Review date extended to February 2028</w:t>
                            </w:r>
                          </w:p>
                          <w:p w14:paraId="4A28E605" w14:textId="77777777" w:rsidR="00730685" w:rsidRPr="00730685" w:rsidRDefault="00730685" w:rsidP="00730685">
                            <w:pPr>
                              <w:pStyle w:val="ListParagraph"/>
                              <w:numPr>
                                <w:ilvl w:val="0"/>
                                <w:numId w:val="28"/>
                              </w:numPr>
                              <w:rPr>
                                <w:szCs w:val="24"/>
                              </w:rPr>
                            </w:pPr>
                          </w:p>
                          <w:p w14:paraId="1E0D1A8C" w14:textId="77777777" w:rsidR="00730685" w:rsidRPr="00730685" w:rsidRDefault="00730685" w:rsidP="00730685">
                            <w:pPr>
                              <w:pStyle w:val="ListParagraph"/>
                              <w:numPr>
                                <w:ilvl w:val="0"/>
                                <w:numId w:val="28"/>
                              </w:numPr>
                              <w:rPr>
                                <w:szCs w:val="24"/>
                              </w:rPr>
                            </w:pPr>
                            <w:r w:rsidRPr="00730685">
                              <w:rPr>
                                <w:szCs w:val="24"/>
                              </w:rPr>
                              <w:t>Date: 15th February 2023, updated December 2025</w:t>
                            </w:r>
                          </w:p>
                          <w:p w14:paraId="77C02055" w14:textId="77777777" w:rsidR="00730685" w:rsidRPr="00730685" w:rsidRDefault="00730685" w:rsidP="00730685">
                            <w:pPr>
                              <w:pStyle w:val="ListParagraph"/>
                              <w:numPr>
                                <w:ilvl w:val="0"/>
                                <w:numId w:val="28"/>
                              </w:numPr>
                              <w:rPr>
                                <w:szCs w:val="24"/>
                              </w:rPr>
                            </w:pPr>
                            <w:r w:rsidRPr="00730685">
                              <w:rPr>
                                <w:szCs w:val="24"/>
                              </w:rPr>
                              <w:t>Version: 1.2</w:t>
                            </w:r>
                          </w:p>
                          <w:p w14:paraId="20A554EB" w14:textId="77777777" w:rsidR="00730685" w:rsidRPr="00730685" w:rsidRDefault="00730685" w:rsidP="00730685">
                            <w:pPr>
                              <w:pStyle w:val="ListParagraph"/>
                              <w:numPr>
                                <w:ilvl w:val="0"/>
                                <w:numId w:val="28"/>
                              </w:numPr>
                              <w:rPr>
                                <w:szCs w:val="24"/>
                              </w:rPr>
                            </w:pPr>
                            <w:r w:rsidRPr="00730685">
                              <w:rPr>
                                <w:szCs w:val="24"/>
                              </w:rPr>
                              <w:t>Type of change: Minor</w:t>
                            </w:r>
                          </w:p>
                          <w:p w14:paraId="01B76E8D" w14:textId="77777777" w:rsidR="00730685" w:rsidRPr="00730685" w:rsidRDefault="00730685" w:rsidP="00730685">
                            <w:pPr>
                              <w:pStyle w:val="ListParagraph"/>
                              <w:numPr>
                                <w:ilvl w:val="0"/>
                                <w:numId w:val="28"/>
                              </w:numPr>
                              <w:rPr>
                                <w:szCs w:val="24"/>
                              </w:rPr>
                            </w:pPr>
                            <w:r w:rsidRPr="00730685">
                              <w:rPr>
                                <w:szCs w:val="24"/>
                              </w:rPr>
                              <w:t>Summary of change: Review date extended to February 2028</w:t>
                            </w:r>
                          </w:p>
                          <w:p w14:paraId="7E6046AD" w14:textId="77777777" w:rsidR="007E3539" w:rsidRPr="0050582A" w:rsidRDefault="007E3539" w:rsidP="007E3539">
                            <w:pPr>
                              <w:pStyle w:val="ListParagraph"/>
                              <w:numPr>
                                <w:ilvl w:val="0"/>
                                <w:numId w:val="28"/>
                              </w:numPr>
                              <w:ind w:left="709"/>
                              <w:rPr>
                                <w:rFonts w:eastAsia="Arial" w:cs="Arial"/>
                                <w:color w:val="000000" w:themeColor="text1"/>
                                <w:sz w:val="22"/>
                              </w:rPr>
                            </w:pPr>
                          </w:p>
                          <w:p w14:paraId="6DD6C952" w14:textId="77777777" w:rsidR="00DA7C1B" w:rsidRPr="0042420D" w:rsidRDefault="00DA7C1B" w:rsidP="0042420D">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85033" id="_x0000_t202" coordsize="21600,21600" o:spt="202" path="m,l,21600r21600,l21600,xe">
                <v:stroke joinstyle="miter"/>
                <v:path gradientshapeok="t" o:connecttype="rect"/>
              </v:shapetype>
              <v:shape id="Text Box 2" o:spid="_x0000_s1026" type="#_x0000_t202" style="position:absolute;left:0;text-align:left;margin-left:-33.4pt;margin-top:23.7pt;width:525pt;height:524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" filled="f" strokecolor="#00b050" strokeweight="3pt">
                <v:textbox>
                  <w:txbxContent>
                    <w:p w14:paraId="7AAD2580" w14:textId="6A8E2048" w:rsidR="00E82FF8" w:rsidRPr="002F77E3" w:rsidRDefault="00992106" w:rsidP="002F77E3">
                      <w:pPr>
                        <w:spacing w:line="20" w:lineRule="atLeast"/>
                        <w:rPr>
                          <w:rFonts w:cstheme="minorHAnsi"/>
                          <w:b/>
                          <w:bCs/>
                          <w:color w:val="005EB8"/>
                          <w:sz w:val="28"/>
                        </w:rPr>
                      </w:pPr>
                      <w:r w:rsidRPr="00576E09">
                        <w:rPr>
                          <w:rFonts w:cstheme="minorHAnsi"/>
                          <w:b/>
                          <w:bCs/>
                          <w:color w:val="005EB8"/>
                          <w:sz w:val="28"/>
                        </w:rPr>
                        <w:t>SWL</w:t>
                      </w:r>
                      <w:r w:rsidR="00110AD5" w:rsidRPr="00576E09">
                        <w:rPr>
                          <w:rFonts w:cstheme="minorHAnsi"/>
                          <w:b/>
                          <w:bCs/>
                          <w:color w:val="005EB8"/>
                          <w:sz w:val="28"/>
                        </w:rPr>
                        <w:t xml:space="preserve"> </w:t>
                      </w:r>
                      <w:r w:rsidR="00E82FF8" w:rsidRPr="00576E09">
                        <w:rPr>
                          <w:rFonts w:cstheme="minorHAnsi"/>
                          <w:b/>
                          <w:bCs/>
                          <w:color w:val="005EB8"/>
                          <w:sz w:val="28"/>
                        </w:rPr>
                        <w:t>L</w:t>
                      </w:r>
                      <w:r w:rsidR="007052F5">
                        <w:rPr>
                          <w:rFonts w:cstheme="minorHAnsi"/>
                          <w:b/>
                          <w:bCs/>
                          <w:color w:val="005EB8"/>
                          <w:sz w:val="28"/>
                        </w:rPr>
                        <w:t>ocal</w:t>
                      </w:r>
                      <w:r w:rsidR="00E82FF8" w:rsidRPr="00576E09">
                        <w:rPr>
                          <w:rFonts w:cstheme="minorHAnsi"/>
                          <w:b/>
                          <w:bCs/>
                          <w:color w:val="005EB8"/>
                          <w:sz w:val="28"/>
                        </w:rPr>
                        <w:t xml:space="preserve"> A</w:t>
                      </w:r>
                      <w:r w:rsidR="007052F5">
                        <w:rPr>
                          <w:rFonts w:cstheme="minorHAnsi"/>
                          <w:b/>
                          <w:bCs/>
                          <w:color w:val="005EB8"/>
                          <w:sz w:val="28"/>
                        </w:rPr>
                        <w:t>daptation</w:t>
                      </w:r>
                      <w:r w:rsidR="002F77E3">
                        <w:rPr>
                          <w:rFonts w:cstheme="minorHAnsi"/>
                          <w:b/>
                          <w:bCs/>
                          <w:color w:val="005EB8"/>
                          <w:sz w:val="28"/>
                        </w:rPr>
                        <w:br/>
                      </w:r>
                      <w:r>
                        <w:rPr>
                          <w:rFonts w:cs="Arial"/>
                          <w:b/>
                          <w:bCs/>
                          <w:sz w:val="22"/>
                        </w:rPr>
                        <w:t>November</w:t>
                      </w:r>
                      <w:r w:rsidR="00E82FF8">
                        <w:rPr>
                          <w:rFonts w:cs="Arial"/>
                          <w:b/>
                          <w:bCs/>
                          <w:sz w:val="22"/>
                        </w:rPr>
                        <w:t xml:space="preserve"> 202</w:t>
                      </w:r>
                      <w:r>
                        <w:rPr>
                          <w:rFonts w:cs="Arial"/>
                          <w:b/>
                          <w:bCs/>
                          <w:sz w:val="22"/>
                        </w:rPr>
                        <w:t>2</w:t>
                      </w:r>
                    </w:p>
                    <w:p w14:paraId="5F849F8D" w14:textId="3C872EEF" w:rsidR="00E82FF8" w:rsidRDefault="00E82FF8" w:rsidP="00E82FF8">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110AD5">
                          <w:rPr>
                            <w:rStyle w:val="Hyperlink"/>
                            <w:rFonts w:cs="Arial"/>
                            <w:sz w:val="22"/>
                            <w:lang w:eastAsia="en-GB"/>
                          </w:rPr>
                          <w:t>Locally agreed off-label use</w:t>
                        </w:r>
                      </w:hyperlink>
                    </w:p>
                    <w:p w14:paraId="2E26502B" w14:textId="5087E9DA" w:rsidR="0042420D" w:rsidRPr="00110AD5" w:rsidRDefault="00110AD5" w:rsidP="00110AD5">
                      <w:pPr>
                        <w:pStyle w:val="ListParagraph"/>
                        <w:numPr>
                          <w:ilvl w:val="0"/>
                          <w:numId w:val="28"/>
                        </w:numPr>
                        <w:spacing w:before="60"/>
                        <w:rPr>
                          <w:rFonts w:eastAsia="Arial" w:cs="Arial"/>
                          <w:sz w:val="22"/>
                        </w:rPr>
                      </w:pPr>
                      <w:r>
                        <w:rPr>
                          <w:rFonts w:eastAsia="Arial" w:cs="Arial"/>
                          <w:color w:val="000000"/>
                          <w:sz w:val="22"/>
                        </w:rPr>
                        <w:t xml:space="preserve">The word ‘normally’ under </w:t>
                      </w:r>
                      <w:hyperlink w:anchor="_Specialist_responsibilities" w:history="1">
                        <w:r w:rsidRPr="00110AD5">
                          <w:rPr>
                            <w:rStyle w:val="Hyperlink"/>
                            <w:rFonts w:eastAsia="Arial" w:cs="Arial"/>
                            <w:sz w:val="22"/>
                          </w:rPr>
                          <w:t>specialist responsibilities</w:t>
                        </w:r>
                      </w:hyperlink>
                      <w:r>
                        <w:rPr>
                          <w:rFonts w:eastAsia="Arial" w:cs="Arial"/>
                          <w:color w:val="000000"/>
                          <w:sz w:val="22"/>
                        </w:rPr>
                        <w:t xml:space="preserve"> section bullet point 6 and </w:t>
                      </w:r>
                      <w:hyperlink w:anchor="_Initiation_and_ongoing" w:history="1">
                        <w:r w:rsidRPr="00110AD5">
                          <w:rPr>
                            <w:rStyle w:val="Hyperlink"/>
                            <w:rFonts w:eastAsia="Arial" w:cs="Arial"/>
                            <w:sz w:val="22"/>
                          </w:rPr>
                          <w:t>section 5</w:t>
                        </w:r>
                      </w:hyperlink>
                      <w:r>
                        <w:rPr>
                          <w:rFonts w:eastAsia="Arial" w:cs="Arial"/>
                          <w:color w:val="000000"/>
                          <w:sz w:val="22"/>
                        </w:rPr>
                        <w:t>, first bullet point has been deleted</w:t>
                      </w:r>
                      <w:r w:rsidR="000B07CE">
                        <w:rPr>
                          <w:rFonts w:eastAsia="Arial" w:cs="Arial"/>
                          <w:color w:val="000000"/>
                          <w:sz w:val="22"/>
                        </w:rPr>
                        <w:t>:</w:t>
                      </w:r>
                      <w:r w:rsidR="00744A1A">
                        <w:rPr>
                          <w:rFonts w:eastAsia="Arial" w:cs="Arial"/>
                          <w:color w:val="000000"/>
                          <w:sz w:val="22"/>
                        </w:rPr>
                        <w:t xml:space="preserve"> </w:t>
                      </w:r>
                      <w:r w:rsidR="000B07CE">
                        <w:rPr>
                          <w:rFonts w:eastAsia="Arial" w:cs="Arial"/>
                          <w:color w:val="000000"/>
                          <w:sz w:val="22"/>
                        </w:rPr>
                        <w:t>‘</w:t>
                      </w:r>
                      <w:r w:rsidR="00744A1A" w:rsidRPr="00744A1A">
                        <w:rPr>
                          <w:rFonts w:eastAsia="Arial" w:cs="Arial"/>
                          <w:color w:val="000000"/>
                          <w:sz w:val="22"/>
                        </w:rPr>
                        <w:t xml:space="preserve">Transfer to primary care is </w:t>
                      </w:r>
                      <w:r w:rsidR="00744A1A" w:rsidRPr="00744A1A">
                        <w:rPr>
                          <w:rFonts w:eastAsia="Arial" w:cs="Arial"/>
                          <w:strike/>
                          <w:color w:val="000000"/>
                          <w:sz w:val="22"/>
                        </w:rPr>
                        <w:t>normally</w:t>
                      </w:r>
                      <w:r w:rsidR="00744A1A" w:rsidRPr="00744A1A">
                        <w:rPr>
                          <w:rFonts w:eastAsia="Arial" w:cs="Arial"/>
                          <w:color w:val="000000"/>
                          <w:sz w:val="22"/>
                        </w:rPr>
                        <w:t xml:space="preserve"> after the patient has been treated for 3 months and with satisfactory investigation results for at least 4 weeks.</w:t>
                      </w:r>
                      <w:r w:rsidR="000B07CE">
                        <w:rPr>
                          <w:rFonts w:eastAsia="Arial" w:cs="Arial"/>
                          <w:color w:val="000000"/>
                          <w:sz w:val="22"/>
                        </w:rPr>
                        <w:t>’</w:t>
                      </w:r>
                      <w:r w:rsidR="00744A1A" w:rsidRPr="00004070">
                        <w:rPr>
                          <w:rFonts w:eastAsia="Arial" w:cs="Arial"/>
                          <w:color w:val="000000"/>
                          <w:szCs w:val="24"/>
                        </w:rPr>
                        <w:t xml:space="preserve"> </w:t>
                      </w:r>
                      <w:r>
                        <w:rPr>
                          <w:rFonts w:eastAsia="Arial" w:cs="Arial"/>
                          <w:color w:val="000000"/>
                          <w:sz w:val="22"/>
                        </w:rPr>
                        <w:t xml:space="preserve"> This is to highlight that t</w:t>
                      </w:r>
                      <w:r w:rsidR="0042420D" w:rsidRPr="0042420D">
                        <w:rPr>
                          <w:rFonts w:eastAsia="Arial" w:cs="Arial"/>
                          <w:color w:val="000000"/>
                          <w:sz w:val="22"/>
                        </w:rPr>
                        <w:t>ransfer to primary care is after the patient has been treated for</w:t>
                      </w:r>
                      <w:r w:rsidR="0042420D">
                        <w:rPr>
                          <w:rFonts w:eastAsia="Arial" w:cs="Arial"/>
                          <w:color w:val="000000"/>
                          <w:sz w:val="22"/>
                        </w:rPr>
                        <w:t xml:space="preserve"> a minimum of</w:t>
                      </w:r>
                      <w:r w:rsidR="0042420D" w:rsidRPr="0042420D">
                        <w:rPr>
                          <w:rFonts w:eastAsia="Arial" w:cs="Arial"/>
                          <w:color w:val="000000"/>
                          <w:sz w:val="22"/>
                        </w:rPr>
                        <w:t xml:space="preserve"> 3 months and with satisfactory investigation results for at least 4 weeks</w:t>
                      </w:r>
                      <w:r w:rsidR="0042420D">
                        <w:rPr>
                          <w:rFonts w:eastAsia="Arial" w:cs="Arial"/>
                          <w:color w:val="000000"/>
                          <w:sz w:val="22"/>
                        </w:rPr>
                        <w:t>.</w:t>
                      </w:r>
                      <w:r>
                        <w:rPr>
                          <w:rFonts w:eastAsia="Arial" w:cs="Arial"/>
                          <w:color w:val="000000"/>
                          <w:sz w:val="22"/>
                        </w:rPr>
                        <w:t xml:space="preserve"> </w:t>
                      </w:r>
                      <w:r w:rsidR="0042420D" w:rsidRPr="00110AD5">
                        <w:rPr>
                          <w:rFonts w:eastAsia="Arial" w:cs="Arial"/>
                          <w:b/>
                          <w:bCs/>
                          <w:color w:val="000000" w:themeColor="text1"/>
                          <w:sz w:val="22"/>
                        </w:rPr>
                        <w:t>The initial stabilisation period</w:t>
                      </w:r>
                      <w:r w:rsidR="0042420D" w:rsidRPr="00110AD5">
                        <w:rPr>
                          <w:rFonts w:eastAsia="Arial" w:cs="Arial"/>
                          <w:color w:val="000000" w:themeColor="text1"/>
                          <w:sz w:val="22"/>
                        </w:rPr>
                        <w:t xml:space="preserve"> </w:t>
                      </w:r>
                      <w:r w:rsidR="0042420D" w:rsidRPr="00110AD5">
                        <w:rPr>
                          <w:rFonts w:eastAsia="Arial" w:cs="Arial"/>
                          <w:b/>
                          <w:bCs/>
                          <w:sz w:val="22"/>
                        </w:rPr>
                        <w:t xml:space="preserve">must be prescribed by the initiating specialist. </w:t>
                      </w:r>
                    </w:p>
                    <w:p w14:paraId="1014A6D0" w14:textId="3617BE06" w:rsidR="00E82FF8" w:rsidRDefault="0042420D" w:rsidP="00E82FF8">
                      <w:pPr>
                        <w:pStyle w:val="ListParagraph"/>
                        <w:numPr>
                          <w:ilvl w:val="0"/>
                          <w:numId w:val="28"/>
                        </w:numPr>
                        <w:rPr>
                          <w:sz w:val="22"/>
                        </w:rPr>
                      </w:pPr>
                      <w:r>
                        <w:rPr>
                          <w:sz w:val="22"/>
                        </w:rPr>
                        <w:t xml:space="preserve">Amendment to </w:t>
                      </w:r>
                      <w:hyperlink w:anchor="_Ongoing_monitoring_requirements" w:history="1">
                        <w:r w:rsidRPr="00110AD5">
                          <w:rPr>
                            <w:rStyle w:val="Hyperlink"/>
                            <w:sz w:val="22"/>
                          </w:rPr>
                          <w:t>section 9</w:t>
                        </w:r>
                      </w:hyperlink>
                      <w:r>
                        <w:rPr>
                          <w:sz w:val="22"/>
                        </w:rPr>
                        <w:t>:</w:t>
                      </w:r>
                    </w:p>
                    <w:p w14:paraId="78C4FEDC" w14:textId="77777777" w:rsidR="00110AD5" w:rsidRDefault="00110AD5" w:rsidP="0042420D">
                      <w:pPr>
                        <w:pStyle w:val="ListParagraph"/>
                        <w:rPr>
                          <w:rFonts w:eastAsia="Arial" w:cs="Arial"/>
                          <w:color w:val="000000" w:themeColor="text1"/>
                          <w:sz w:val="22"/>
                        </w:rPr>
                      </w:pPr>
                      <w:r>
                        <w:rPr>
                          <w:rFonts w:eastAsia="Arial" w:cs="Arial"/>
                          <w:color w:val="000000" w:themeColor="text1"/>
                          <w:sz w:val="22"/>
                        </w:rPr>
                        <w:t>We have deleted ‘unless already’ and added ‘which should be’ to read as the following:</w:t>
                      </w:r>
                    </w:p>
                    <w:p w14:paraId="5E15A691" w14:textId="77777777" w:rsidR="00DA7C1B" w:rsidRDefault="00110AD5" w:rsidP="00DA7C1B">
                      <w:pPr>
                        <w:pStyle w:val="ListParagraph"/>
                        <w:rPr>
                          <w:rFonts w:eastAsia="Arial" w:cs="Arial"/>
                          <w:color w:val="000000" w:themeColor="text1"/>
                          <w:sz w:val="22"/>
                        </w:rPr>
                      </w:pPr>
                      <w:r>
                        <w:rPr>
                          <w:rFonts w:eastAsia="Arial" w:cs="Arial"/>
                          <w:color w:val="000000" w:themeColor="text1"/>
                          <w:sz w:val="22"/>
                        </w:rPr>
                        <w:t>‘</w:t>
                      </w:r>
                      <w:r w:rsidR="0042420D" w:rsidRPr="0042420D">
                        <w:rPr>
                          <w:rFonts w:eastAsia="Arial" w:cs="Arial"/>
                          <w:color w:val="000000" w:themeColor="text1"/>
                          <w:sz w:val="22"/>
                        </w:rPr>
                        <w:t xml:space="preserve">Monthly for three months, </w:t>
                      </w:r>
                      <w:r w:rsidR="0042420D" w:rsidRPr="0042420D">
                        <w:rPr>
                          <w:rFonts w:eastAsia="Arial" w:cs="Arial"/>
                          <w:strike/>
                          <w:color w:val="000000" w:themeColor="text1"/>
                          <w:sz w:val="22"/>
                        </w:rPr>
                        <w:t>unless</w:t>
                      </w:r>
                      <w:r w:rsidR="0042420D" w:rsidRPr="0042420D">
                        <w:rPr>
                          <w:rFonts w:eastAsia="Arial" w:cs="Arial"/>
                          <w:color w:val="000000" w:themeColor="text1"/>
                          <w:sz w:val="22"/>
                        </w:rPr>
                        <w:t xml:space="preserve"> </w:t>
                      </w:r>
                      <w:r w:rsidR="0042420D" w:rsidRPr="0042420D">
                        <w:rPr>
                          <w:rFonts w:eastAsia="Arial" w:cs="Arial"/>
                          <w:strike/>
                          <w:color w:val="000000" w:themeColor="text1"/>
                          <w:sz w:val="22"/>
                        </w:rPr>
                        <w:t>already</w:t>
                      </w:r>
                      <w:r w:rsidR="0042420D" w:rsidRPr="0042420D">
                        <w:rPr>
                          <w:rFonts w:eastAsia="Arial" w:cs="Arial"/>
                          <w:color w:val="000000" w:themeColor="text1"/>
                          <w:sz w:val="22"/>
                        </w:rPr>
                        <w:t xml:space="preserve"> </w:t>
                      </w:r>
                      <w:r w:rsidR="0042420D" w:rsidRPr="00952C71">
                        <w:rPr>
                          <w:rFonts w:eastAsia="Arial" w:cs="Arial"/>
                          <w:color w:val="000000" w:themeColor="text1"/>
                          <w:sz w:val="22"/>
                        </w:rPr>
                        <w:t xml:space="preserve">which should be </w:t>
                      </w:r>
                      <w:r w:rsidR="0042420D" w:rsidRPr="0042420D">
                        <w:rPr>
                          <w:rFonts w:eastAsia="Arial" w:cs="Arial"/>
                          <w:color w:val="000000" w:themeColor="text1"/>
                          <w:sz w:val="22"/>
                        </w:rPr>
                        <w:t>completed in secondary care.</w:t>
                      </w:r>
                      <w:r>
                        <w:rPr>
                          <w:rFonts w:eastAsia="Arial" w:cs="Arial"/>
                          <w:color w:val="000000" w:themeColor="text1"/>
                          <w:sz w:val="22"/>
                        </w:rPr>
                        <w:t>’</w:t>
                      </w:r>
                      <w:r w:rsidR="0042420D" w:rsidRPr="0042420D">
                        <w:rPr>
                          <w:rFonts w:eastAsia="Arial" w:cs="Arial"/>
                          <w:color w:val="000000" w:themeColor="text1"/>
                          <w:sz w:val="22"/>
                        </w:rPr>
                        <w:t xml:space="preserve"> Amendment to highlight </w:t>
                      </w:r>
                      <w:r w:rsidR="0042420D">
                        <w:rPr>
                          <w:rFonts w:eastAsia="Arial" w:cs="Arial"/>
                          <w:color w:val="000000" w:themeColor="text1"/>
                          <w:sz w:val="22"/>
                        </w:rPr>
                        <w:t xml:space="preserve">that </w:t>
                      </w:r>
                      <w:r w:rsidR="0042420D" w:rsidRPr="0042420D">
                        <w:rPr>
                          <w:rFonts w:eastAsia="Arial" w:cs="Arial"/>
                          <w:color w:val="000000" w:themeColor="text1"/>
                          <w:sz w:val="22"/>
                        </w:rPr>
                        <w:t xml:space="preserve">all initial monitoring for first 3 months should be undertaken by the specialist in secondary care. </w:t>
                      </w:r>
                    </w:p>
                    <w:p w14:paraId="22E8197A" w14:textId="7B6076A9" w:rsidR="00DA7C1B" w:rsidRPr="007E3539" w:rsidRDefault="00C467D5" w:rsidP="00DA7C1B">
                      <w:pPr>
                        <w:pStyle w:val="ListParagraph"/>
                        <w:numPr>
                          <w:ilvl w:val="0"/>
                          <w:numId w:val="28"/>
                        </w:numPr>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50582A">
                          <w:rPr>
                            <w:rStyle w:val="Hyperlink"/>
                            <w:rFonts w:eastAsia="Times New Roman" w:cs="Arial"/>
                            <w:sz w:val="22"/>
                            <w:lang w:eastAsia="en-GB"/>
                          </w:rPr>
                          <w:t>section 8</w:t>
                        </w:r>
                      </w:hyperlink>
                      <w:r w:rsidRPr="0050582A">
                        <w:rPr>
                          <w:rFonts w:eastAsia="Times New Roman" w:cs="Arial"/>
                          <w:sz w:val="22"/>
                          <w:lang w:eastAsia="en-GB"/>
                        </w:rPr>
                        <w:t>: ‘</w:t>
                      </w:r>
                      <w:r w:rsidR="00DA7C1B" w:rsidRPr="0050582A">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FF146A" w:rsidRPr="0050582A">
                        <w:rPr>
                          <w:rFonts w:eastAsia="Arial" w:cs="Arial"/>
                          <w:sz w:val="22"/>
                        </w:rPr>
                        <w:t xml:space="preserve"> After each review, advise primary care whether treatment should be continued, confirm the ongoing dose, and whether the ongoing monitoring outlined in </w:t>
                      </w:r>
                      <w:hyperlink r:id="rId13">
                        <w:r w:rsidR="00FF146A" w:rsidRPr="0050582A">
                          <w:rPr>
                            <w:rStyle w:val="Hyperlink"/>
                            <w:rFonts w:eastAsia="Arial" w:cs="Arial"/>
                            <w:sz w:val="22"/>
                          </w:rPr>
                          <w:t>section 9</w:t>
                        </w:r>
                      </w:hyperlink>
                      <w:r w:rsidR="00FF146A" w:rsidRPr="0050582A">
                        <w:rPr>
                          <w:rFonts w:eastAsia="Arial" w:cs="Arial"/>
                          <w:sz w:val="22"/>
                        </w:rPr>
                        <w:t xml:space="preserve"> remains appropriate.</w:t>
                      </w:r>
                      <w:r w:rsidRPr="0050582A">
                        <w:rPr>
                          <w:rFonts w:eastAsia="Arial" w:cs="Arial"/>
                          <w:sz w:val="22"/>
                        </w:rPr>
                        <w:t>’</w:t>
                      </w:r>
                    </w:p>
                    <w:p w14:paraId="6F0579BB" w14:textId="77777777" w:rsidR="007E3539" w:rsidRPr="004D5869" w:rsidRDefault="007E3539" w:rsidP="007E3539">
                      <w:pPr>
                        <w:pStyle w:val="ListParagraph"/>
                        <w:rPr>
                          <w:rFonts w:eastAsia="Arial" w:cs="Arial"/>
                          <w:color w:val="000000" w:themeColor="text1"/>
                          <w:sz w:val="20"/>
                          <w:szCs w:val="20"/>
                        </w:rPr>
                      </w:pPr>
                    </w:p>
                    <w:p w14:paraId="36CE3FFB" w14:textId="77777777" w:rsidR="00730685" w:rsidRPr="00730685" w:rsidRDefault="00730685" w:rsidP="00730685">
                      <w:pPr>
                        <w:spacing w:after="0" w:line="240" w:lineRule="auto"/>
                        <w:ind w:left="360"/>
                        <w:rPr>
                          <w:b/>
                          <w:bCs/>
                          <w:sz w:val="22"/>
                        </w:rPr>
                      </w:pPr>
                      <w:r w:rsidRPr="00730685">
                        <w:rPr>
                          <w:b/>
                          <w:bCs/>
                          <w:sz w:val="22"/>
                        </w:rPr>
                        <w:t>Version Control History</w:t>
                      </w:r>
                    </w:p>
                    <w:p w14:paraId="2179450B" w14:textId="77777777" w:rsidR="00730685" w:rsidRPr="00730685" w:rsidRDefault="00730685" w:rsidP="00730685">
                      <w:pPr>
                        <w:spacing w:after="0" w:line="240" w:lineRule="auto"/>
                        <w:ind w:left="360"/>
                        <w:rPr>
                          <w:sz w:val="20"/>
                          <w:szCs w:val="20"/>
                        </w:rPr>
                      </w:pPr>
                      <w:r w:rsidRPr="00730685">
                        <w:rPr>
                          <w:sz w:val="20"/>
                          <w:szCs w:val="20"/>
                        </w:rPr>
                        <w:t>Date: 15</w:t>
                      </w:r>
                      <w:r w:rsidRPr="00730685">
                        <w:rPr>
                          <w:sz w:val="20"/>
                          <w:szCs w:val="20"/>
                          <w:vertAlign w:val="superscript"/>
                        </w:rPr>
                        <w:t>th</w:t>
                      </w:r>
                      <w:r w:rsidRPr="00730685">
                        <w:rPr>
                          <w:sz w:val="20"/>
                          <w:szCs w:val="20"/>
                        </w:rPr>
                        <w:t xml:space="preserve"> February 2023, updated January 2025</w:t>
                      </w:r>
                    </w:p>
                    <w:p w14:paraId="445A8E10" w14:textId="77777777" w:rsidR="00730685" w:rsidRPr="00730685" w:rsidRDefault="00730685" w:rsidP="00730685">
                      <w:pPr>
                        <w:spacing w:after="0" w:line="240" w:lineRule="auto"/>
                        <w:ind w:left="360"/>
                        <w:rPr>
                          <w:sz w:val="20"/>
                          <w:szCs w:val="20"/>
                        </w:rPr>
                      </w:pPr>
                      <w:r w:rsidRPr="00730685">
                        <w:rPr>
                          <w:sz w:val="20"/>
                          <w:szCs w:val="20"/>
                        </w:rPr>
                        <w:t>Version: 1.1</w:t>
                      </w:r>
                    </w:p>
                    <w:p w14:paraId="6108D833" w14:textId="77777777" w:rsidR="00730685" w:rsidRPr="00730685" w:rsidRDefault="00730685" w:rsidP="00730685">
                      <w:pPr>
                        <w:spacing w:after="0" w:line="240" w:lineRule="auto"/>
                        <w:ind w:left="360"/>
                        <w:rPr>
                          <w:sz w:val="20"/>
                          <w:szCs w:val="20"/>
                        </w:rPr>
                      </w:pPr>
                      <w:r w:rsidRPr="00730685">
                        <w:rPr>
                          <w:sz w:val="20"/>
                          <w:szCs w:val="20"/>
                        </w:rPr>
                        <w:t>Type of change: Minor</w:t>
                      </w:r>
                    </w:p>
                    <w:p w14:paraId="2B5AF4F2" w14:textId="77777777" w:rsidR="00730685" w:rsidRPr="00730685" w:rsidRDefault="00730685" w:rsidP="00730685">
                      <w:pPr>
                        <w:spacing w:after="0" w:line="240" w:lineRule="auto"/>
                        <w:ind w:left="360"/>
                        <w:rPr>
                          <w:sz w:val="20"/>
                          <w:szCs w:val="20"/>
                        </w:rPr>
                      </w:pPr>
                      <w:r w:rsidRPr="00730685">
                        <w:rPr>
                          <w:sz w:val="20"/>
                          <w:szCs w:val="20"/>
                        </w:rPr>
                        <w:t>Summary of change: Review date extended to February 2026</w:t>
                      </w:r>
                    </w:p>
                    <w:p w14:paraId="5B73A847" w14:textId="77777777" w:rsidR="00730685" w:rsidRPr="00730685" w:rsidRDefault="00730685" w:rsidP="00730685">
                      <w:pPr>
                        <w:spacing w:after="0" w:line="240" w:lineRule="auto"/>
                        <w:ind w:left="360"/>
                        <w:rPr>
                          <w:sz w:val="20"/>
                          <w:szCs w:val="20"/>
                        </w:rPr>
                      </w:pPr>
                    </w:p>
                    <w:p w14:paraId="7F0B86C1" w14:textId="77777777" w:rsidR="00730685" w:rsidRPr="00730685" w:rsidRDefault="00730685" w:rsidP="00730685">
                      <w:pPr>
                        <w:spacing w:after="0" w:line="240" w:lineRule="auto"/>
                        <w:ind w:left="360"/>
                        <w:rPr>
                          <w:sz w:val="20"/>
                          <w:szCs w:val="20"/>
                        </w:rPr>
                      </w:pPr>
                      <w:r w:rsidRPr="00730685">
                        <w:rPr>
                          <w:sz w:val="20"/>
                          <w:szCs w:val="20"/>
                        </w:rPr>
                        <w:t>Date: 15</w:t>
                      </w:r>
                      <w:r w:rsidRPr="00730685">
                        <w:rPr>
                          <w:sz w:val="20"/>
                          <w:szCs w:val="20"/>
                          <w:vertAlign w:val="superscript"/>
                        </w:rPr>
                        <w:t>th</w:t>
                      </w:r>
                      <w:r w:rsidRPr="00730685">
                        <w:rPr>
                          <w:sz w:val="20"/>
                          <w:szCs w:val="20"/>
                        </w:rPr>
                        <w:t xml:space="preserve"> February 2023, updated December 2025</w:t>
                      </w:r>
                    </w:p>
                    <w:p w14:paraId="783D8795" w14:textId="77777777" w:rsidR="00730685" w:rsidRPr="00730685" w:rsidRDefault="00730685" w:rsidP="00730685">
                      <w:pPr>
                        <w:spacing w:after="0" w:line="240" w:lineRule="auto"/>
                        <w:ind w:left="360"/>
                        <w:rPr>
                          <w:sz w:val="20"/>
                          <w:szCs w:val="20"/>
                        </w:rPr>
                      </w:pPr>
                      <w:r w:rsidRPr="00730685">
                        <w:rPr>
                          <w:sz w:val="20"/>
                          <w:szCs w:val="20"/>
                        </w:rPr>
                        <w:t>Version: 1.2</w:t>
                      </w:r>
                    </w:p>
                    <w:p w14:paraId="6B874780" w14:textId="77777777" w:rsidR="00730685" w:rsidRPr="00730685" w:rsidRDefault="00730685" w:rsidP="00730685">
                      <w:pPr>
                        <w:spacing w:after="0" w:line="240" w:lineRule="auto"/>
                        <w:ind w:left="360"/>
                        <w:rPr>
                          <w:sz w:val="20"/>
                          <w:szCs w:val="20"/>
                        </w:rPr>
                      </w:pPr>
                      <w:r w:rsidRPr="00730685">
                        <w:rPr>
                          <w:sz w:val="20"/>
                          <w:szCs w:val="20"/>
                        </w:rPr>
                        <w:t>Type of change: Minor</w:t>
                      </w:r>
                    </w:p>
                    <w:p w14:paraId="3FCEFAC0" w14:textId="77777777" w:rsidR="00730685" w:rsidRPr="00730685" w:rsidRDefault="00730685" w:rsidP="00730685">
                      <w:pPr>
                        <w:spacing w:after="0" w:line="240" w:lineRule="auto"/>
                        <w:ind w:left="360"/>
                        <w:rPr>
                          <w:sz w:val="20"/>
                          <w:szCs w:val="20"/>
                        </w:rPr>
                      </w:pPr>
                      <w:r w:rsidRPr="00730685">
                        <w:rPr>
                          <w:sz w:val="20"/>
                          <w:szCs w:val="20"/>
                        </w:rPr>
                        <w:t>Summary of change: Review date extended to February 2028</w:t>
                      </w:r>
                    </w:p>
                    <w:p w14:paraId="44AC27B3" w14:textId="79E3E4D2" w:rsidR="00730685" w:rsidRPr="00730685" w:rsidRDefault="00730685" w:rsidP="00730685">
                      <w:pPr>
                        <w:pStyle w:val="ListParagraph"/>
                        <w:numPr>
                          <w:ilvl w:val="0"/>
                          <w:numId w:val="28"/>
                        </w:numPr>
                        <w:rPr>
                          <w:szCs w:val="24"/>
                        </w:rPr>
                      </w:pPr>
                      <w:r w:rsidRPr="00730685">
                        <w:rPr>
                          <w:szCs w:val="24"/>
                        </w:rPr>
                        <w:t>, updated December 2025</w:t>
                      </w:r>
                    </w:p>
                    <w:p w14:paraId="1B7BD65F" w14:textId="77777777" w:rsidR="00730685" w:rsidRPr="00730685" w:rsidRDefault="00730685" w:rsidP="00730685">
                      <w:pPr>
                        <w:pStyle w:val="ListParagraph"/>
                        <w:numPr>
                          <w:ilvl w:val="0"/>
                          <w:numId w:val="28"/>
                        </w:numPr>
                        <w:rPr>
                          <w:szCs w:val="24"/>
                        </w:rPr>
                      </w:pPr>
                      <w:r w:rsidRPr="00730685">
                        <w:rPr>
                          <w:szCs w:val="24"/>
                        </w:rPr>
                        <w:t>Version: 1.2</w:t>
                      </w:r>
                    </w:p>
                    <w:p w14:paraId="78DBB3E7" w14:textId="77777777" w:rsidR="00730685" w:rsidRPr="00730685" w:rsidRDefault="00730685" w:rsidP="00730685">
                      <w:pPr>
                        <w:pStyle w:val="ListParagraph"/>
                        <w:numPr>
                          <w:ilvl w:val="0"/>
                          <w:numId w:val="28"/>
                        </w:numPr>
                        <w:rPr>
                          <w:szCs w:val="24"/>
                        </w:rPr>
                      </w:pPr>
                      <w:r w:rsidRPr="00730685">
                        <w:rPr>
                          <w:szCs w:val="24"/>
                        </w:rPr>
                        <w:t>Type of change: Minor</w:t>
                      </w:r>
                    </w:p>
                    <w:p w14:paraId="1F91AA5E" w14:textId="77777777" w:rsidR="00730685" w:rsidRPr="00730685" w:rsidRDefault="00730685" w:rsidP="00730685">
                      <w:pPr>
                        <w:pStyle w:val="ListParagraph"/>
                        <w:numPr>
                          <w:ilvl w:val="0"/>
                          <w:numId w:val="28"/>
                        </w:numPr>
                        <w:rPr>
                          <w:szCs w:val="24"/>
                        </w:rPr>
                      </w:pPr>
                      <w:r w:rsidRPr="00730685">
                        <w:rPr>
                          <w:szCs w:val="24"/>
                        </w:rPr>
                        <w:t>Summary of change: Review date extended to February 2028</w:t>
                      </w:r>
                    </w:p>
                    <w:p w14:paraId="4A28E605" w14:textId="77777777" w:rsidR="00730685" w:rsidRPr="00730685" w:rsidRDefault="00730685" w:rsidP="00730685">
                      <w:pPr>
                        <w:pStyle w:val="ListParagraph"/>
                        <w:numPr>
                          <w:ilvl w:val="0"/>
                          <w:numId w:val="28"/>
                        </w:numPr>
                        <w:rPr>
                          <w:szCs w:val="24"/>
                        </w:rPr>
                      </w:pPr>
                    </w:p>
                    <w:p w14:paraId="1E0D1A8C" w14:textId="77777777" w:rsidR="00730685" w:rsidRPr="00730685" w:rsidRDefault="00730685" w:rsidP="00730685">
                      <w:pPr>
                        <w:pStyle w:val="ListParagraph"/>
                        <w:numPr>
                          <w:ilvl w:val="0"/>
                          <w:numId w:val="28"/>
                        </w:numPr>
                        <w:rPr>
                          <w:szCs w:val="24"/>
                        </w:rPr>
                      </w:pPr>
                      <w:r w:rsidRPr="00730685">
                        <w:rPr>
                          <w:szCs w:val="24"/>
                        </w:rPr>
                        <w:t>Date: 15th February 2023, updated December 2025</w:t>
                      </w:r>
                    </w:p>
                    <w:p w14:paraId="77C02055" w14:textId="77777777" w:rsidR="00730685" w:rsidRPr="00730685" w:rsidRDefault="00730685" w:rsidP="00730685">
                      <w:pPr>
                        <w:pStyle w:val="ListParagraph"/>
                        <w:numPr>
                          <w:ilvl w:val="0"/>
                          <w:numId w:val="28"/>
                        </w:numPr>
                        <w:rPr>
                          <w:szCs w:val="24"/>
                        </w:rPr>
                      </w:pPr>
                      <w:r w:rsidRPr="00730685">
                        <w:rPr>
                          <w:szCs w:val="24"/>
                        </w:rPr>
                        <w:t>Version: 1.2</w:t>
                      </w:r>
                    </w:p>
                    <w:p w14:paraId="20A554EB" w14:textId="77777777" w:rsidR="00730685" w:rsidRPr="00730685" w:rsidRDefault="00730685" w:rsidP="00730685">
                      <w:pPr>
                        <w:pStyle w:val="ListParagraph"/>
                        <w:numPr>
                          <w:ilvl w:val="0"/>
                          <w:numId w:val="28"/>
                        </w:numPr>
                        <w:rPr>
                          <w:szCs w:val="24"/>
                        </w:rPr>
                      </w:pPr>
                      <w:r w:rsidRPr="00730685">
                        <w:rPr>
                          <w:szCs w:val="24"/>
                        </w:rPr>
                        <w:t>Type of change: Minor</w:t>
                      </w:r>
                    </w:p>
                    <w:p w14:paraId="01B76E8D" w14:textId="77777777" w:rsidR="00730685" w:rsidRPr="00730685" w:rsidRDefault="00730685" w:rsidP="00730685">
                      <w:pPr>
                        <w:pStyle w:val="ListParagraph"/>
                        <w:numPr>
                          <w:ilvl w:val="0"/>
                          <w:numId w:val="28"/>
                        </w:numPr>
                        <w:rPr>
                          <w:szCs w:val="24"/>
                        </w:rPr>
                      </w:pPr>
                      <w:r w:rsidRPr="00730685">
                        <w:rPr>
                          <w:szCs w:val="24"/>
                        </w:rPr>
                        <w:t>Summary of change: Review date extended to February 2028</w:t>
                      </w:r>
                    </w:p>
                    <w:p w14:paraId="7E6046AD" w14:textId="77777777" w:rsidR="007E3539" w:rsidRPr="0050582A" w:rsidRDefault="007E3539" w:rsidP="007E3539">
                      <w:pPr>
                        <w:pStyle w:val="ListParagraph"/>
                        <w:numPr>
                          <w:ilvl w:val="0"/>
                          <w:numId w:val="28"/>
                        </w:numPr>
                        <w:ind w:left="709"/>
                        <w:rPr>
                          <w:rFonts w:eastAsia="Arial" w:cs="Arial"/>
                          <w:color w:val="000000" w:themeColor="text1"/>
                          <w:sz w:val="22"/>
                        </w:rPr>
                      </w:pPr>
                    </w:p>
                    <w:p w14:paraId="6DD6C952" w14:textId="77777777" w:rsidR="00DA7C1B" w:rsidRPr="0042420D" w:rsidRDefault="00DA7C1B" w:rsidP="0042420D">
                      <w:pPr>
                        <w:pStyle w:val="ListParagraph"/>
                        <w:rPr>
                          <w:sz w:val="20"/>
                          <w:szCs w:val="20"/>
                        </w:rPr>
                      </w:pPr>
                    </w:p>
                  </w:txbxContent>
                </v:textbox>
                <w10:wrap type="tight" anchorx="margin"/>
              </v:shape>
            </w:pict>
          </mc:Fallback>
        </mc:AlternateContent>
      </w:r>
      <w:r w:rsidR="00730685" w:rsidRPr="00730685">
        <w:rPr>
          <w:szCs w:val="28"/>
        </w:rPr>
        <w:t>Version 1.2</w:t>
      </w:r>
      <w:r w:rsidR="00730685">
        <w:br w:type="page"/>
      </w:r>
    </w:p>
    <w:p w14:paraId="5C17AA7D" w14:textId="77777777" w:rsidR="00730685" w:rsidRPr="00730685" w:rsidRDefault="00730685" w:rsidP="00730685">
      <w:pPr>
        <w:spacing w:after="0" w:line="240" w:lineRule="auto"/>
        <w:ind w:left="-709"/>
      </w:pPr>
      <w:r w:rsidRPr="00730685">
        <w:lastRenderedPageBreak/>
        <w:t>Approved by: Integrated medicines committee (IMOC)</w:t>
      </w:r>
    </w:p>
    <w:p w14:paraId="12F46FD4" w14:textId="77777777" w:rsidR="00730685" w:rsidRPr="00730685" w:rsidRDefault="00730685" w:rsidP="00730685">
      <w:pPr>
        <w:spacing w:after="0" w:line="240" w:lineRule="auto"/>
        <w:ind w:left="-709"/>
      </w:pPr>
      <w:r w:rsidRPr="00730685">
        <w:t>Approval date: 15</w:t>
      </w:r>
      <w:r w:rsidRPr="00730685">
        <w:rPr>
          <w:vertAlign w:val="superscript"/>
        </w:rPr>
        <w:t>th</w:t>
      </w:r>
      <w:r w:rsidRPr="00730685">
        <w:t xml:space="preserve"> February 2023</w:t>
      </w:r>
    </w:p>
    <w:p w14:paraId="3E9B6A33" w14:textId="61303801" w:rsidR="007E3539" w:rsidRPr="00730685" w:rsidRDefault="00730685" w:rsidP="00730685">
      <w:pPr>
        <w:spacing w:after="0" w:line="240" w:lineRule="auto"/>
        <w:ind w:left="-709"/>
      </w:pPr>
      <w:r w:rsidRPr="00730685">
        <w:t>Review Date: January 2025, as per NHS England. Extended to February 2028, agreed by Integrated Medicines Optimisation Committee December 2025</w:t>
      </w:r>
      <w:r w:rsidR="00225598" w:rsidRPr="00004070">
        <w:rPr>
          <w:rFonts w:cs="Arial"/>
          <w:noProof/>
          <w:sz w:val="36"/>
          <w:szCs w:val="36"/>
        </w:rPr>
        <mc:AlternateContent>
          <mc:Choice Requires="wps">
            <w:drawing>
              <wp:anchor distT="45720" distB="45720" distL="114300" distR="114300" simplePos="0" relativeHeight="251658240" behindDoc="1" locked="0" layoutInCell="1" allowOverlap="1" wp14:anchorId="1BFA6483" wp14:editId="5123DD54">
                <wp:simplePos x="0" y="0"/>
                <wp:positionH relativeFrom="margin">
                  <wp:align>center</wp:align>
                </wp:positionH>
                <wp:positionV relativeFrom="paragraph">
                  <wp:posOffset>636117</wp:posOffset>
                </wp:positionV>
                <wp:extent cx="6647815" cy="1064895"/>
                <wp:effectExtent l="0" t="0" r="19685" b="20955"/>
                <wp:wrapTight wrapText="bothSides">
                  <wp:wrapPolygon edited="0">
                    <wp:start x="0" y="0"/>
                    <wp:lineTo x="0" y="21639"/>
                    <wp:lineTo x="21602" y="21639"/>
                    <wp:lineTo x="2160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26511DE0" w14:textId="77777777" w:rsidR="00CA52C5" w:rsidRPr="00C55EA7" w:rsidRDefault="00CA52C5" w:rsidP="00CA52C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F6CBEF2" w14:textId="77777777" w:rsidR="00ED0997" w:rsidRDefault="00ED0997" w:rsidP="00ED0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6483" id="_x0000_s1027" type="#_x0000_t202" style="position:absolute;left:0;text-align:left;margin-left:0;margin-top:50.1pt;width:523.45pt;height:83.8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">
                <v:textbox>
                  <w:txbxContent>
                    <w:p w14:paraId="26511DE0" w14:textId="77777777" w:rsidR="00CA52C5" w:rsidRPr="00C55EA7" w:rsidRDefault="00CA52C5" w:rsidP="00CA52C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F6CBEF2" w14:textId="77777777" w:rsidR="00ED0997" w:rsidRDefault="00ED0997" w:rsidP="00ED0997"/>
                  </w:txbxContent>
                </v:textbox>
                <w10:wrap type="tight" anchorx="margin"/>
              </v:shape>
            </w:pict>
          </mc:Fallback>
        </mc:AlternateContent>
      </w:r>
    </w:p>
    <w:p w14:paraId="0DAE3F0D" w14:textId="77777777" w:rsidR="007E3539" w:rsidRDefault="007E3539" w:rsidP="00B46135">
      <w:pPr>
        <w:rPr>
          <w:rFonts w:eastAsia="Arial" w:cs="Arial"/>
          <w:color w:val="000000" w:themeColor="text1"/>
          <w:szCs w:val="24"/>
        </w:rPr>
      </w:pPr>
    </w:p>
    <w:p w14:paraId="69FD2FF5" w14:textId="0FD81D6F" w:rsidR="007E3539" w:rsidRPr="00B46135" w:rsidRDefault="007E3539" w:rsidP="00B46135">
      <w:pPr>
        <w:rPr>
          <w:rFonts w:eastAsia="Arial" w:cs="Arial"/>
          <w:szCs w:val="24"/>
        </w:rPr>
        <w:sectPr w:rsidR="007E3539" w:rsidRPr="00B46135" w:rsidSect="00730685">
          <w:headerReference w:type="default" r:id="rId22"/>
          <w:footerReference w:type="default" r:id="rId23"/>
          <w:headerReference w:type="first" r:id="rId24"/>
          <w:pgSz w:w="11906" w:h="16838"/>
          <w:pgMar w:top="3686" w:right="1418" w:bottom="426"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004070" w14:paraId="146E6787" w14:textId="77777777" w:rsidTr="1E7986F2">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004070" w:rsidRDefault="00055685" w:rsidP="007C7494">
            <w:pPr>
              <w:pStyle w:val="Heading2"/>
              <w:spacing w:before="0"/>
              <w:rPr>
                <w:rFonts w:cs="Arial"/>
                <w:lang w:eastAsia="en-GB"/>
              </w:rPr>
            </w:pPr>
            <w:bookmarkStart w:id="0" w:name="_Specialist_responsibilities"/>
            <w:bookmarkStart w:id="1" w:name="Responsibilities"/>
            <w:bookmarkEnd w:id="0"/>
            <w:r w:rsidRPr="00004070">
              <w:rPr>
                <w:rFonts w:cs="Arial"/>
                <w:lang w:eastAsia="en-GB"/>
              </w:rPr>
              <w:t>Specialist responsibilities</w:t>
            </w:r>
          </w:p>
          <w:bookmarkEnd w:id="1"/>
          <w:p w14:paraId="156BC280"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Assess the patient and provide diagnosis; ensure that this diagnosis is within scope of this shared care protocol (</w:t>
            </w:r>
            <w:hyperlink r:id="rId25">
              <w:r w:rsidRPr="00004070">
                <w:rPr>
                  <w:rFonts w:eastAsia="Arial" w:cs="Arial"/>
                  <w:color w:val="0563C1"/>
                  <w:szCs w:val="24"/>
                  <w:u w:val="single"/>
                </w:rPr>
                <w:t>section 2</w:t>
              </w:r>
            </w:hyperlink>
            <w:r w:rsidRPr="00004070">
              <w:rPr>
                <w:rFonts w:eastAsia="Arial" w:cs="Arial"/>
                <w:color w:val="0563C1"/>
                <w:szCs w:val="24"/>
                <w:u w:val="single"/>
              </w:rPr>
              <w:t>)</w:t>
            </w:r>
            <w:r w:rsidRPr="00004070">
              <w:rPr>
                <w:rFonts w:eastAsia="Arial" w:cs="Arial"/>
                <w:color w:val="000000"/>
                <w:szCs w:val="24"/>
              </w:rPr>
              <w:t xml:space="preserve"> and communicated to primary care.</w:t>
            </w:r>
          </w:p>
          <w:p w14:paraId="6211693C" w14:textId="63606AA6"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Use a shared decision making approach; discuss the benefits and risks of the treatment with the patient and provide the appropriate counselling (see </w:t>
            </w:r>
            <w:hyperlink r:id="rId26">
              <w:r w:rsidRPr="00004070">
                <w:rPr>
                  <w:rFonts w:eastAsia="Arial" w:cs="Arial"/>
                  <w:color w:val="0563C1"/>
                  <w:szCs w:val="24"/>
                  <w:u w:val="single"/>
                </w:rPr>
                <w:t>section 11</w:t>
              </w:r>
            </w:hyperlink>
            <w:r w:rsidRPr="00004070">
              <w:rPr>
                <w:rFonts w:eastAsia="Arial" w:cs="Arial"/>
                <w:color w:val="000000"/>
                <w:szCs w:val="24"/>
              </w:rPr>
              <w:t>) to enable the patient to reach an informed decision. Obtain and document patient consent. Provide an appropriate patient information leaflet.</w:t>
            </w:r>
          </w:p>
          <w:p w14:paraId="50FF209A" w14:textId="67C43C46"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Assess for contraindications and cautions (see </w:t>
            </w:r>
            <w:hyperlink r:id="rId27">
              <w:r w:rsidRPr="00004070">
                <w:rPr>
                  <w:rFonts w:eastAsia="Arial" w:cs="Arial"/>
                  <w:color w:val="0563C1"/>
                  <w:szCs w:val="24"/>
                  <w:u w:val="single"/>
                </w:rPr>
                <w:t>section 4</w:t>
              </w:r>
            </w:hyperlink>
            <w:r w:rsidRPr="00004070">
              <w:rPr>
                <w:rFonts w:eastAsia="Arial" w:cs="Arial"/>
                <w:color w:val="000000"/>
                <w:szCs w:val="24"/>
              </w:rPr>
              <w:t xml:space="preserve">) and interactions (see </w:t>
            </w:r>
            <w:hyperlink r:id="rId28">
              <w:r w:rsidRPr="00004070">
                <w:rPr>
                  <w:rFonts w:eastAsia="Arial" w:cs="Arial"/>
                  <w:color w:val="0563C1"/>
                  <w:szCs w:val="24"/>
                  <w:u w:val="single"/>
                </w:rPr>
                <w:t>section 7</w:t>
              </w:r>
            </w:hyperlink>
            <w:r w:rsidRPr="00004070">
              <w:rPr>
                <w:rFonts w:eastAsia="Arial" w:cs="Arial"/>
                <w:color w:val="000000"/>
                <w:szCs w:val="24"/>
              </w:rPr>
              <w:t>).</w:t>
            </w:r>
          </w:p>
          <w:p w14:paraId="66928CCF"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Conduct required baseline investigations and initial monitoring (see </w:t>
            </w:r>
            <w:hyperlink r:id="rId29">
              <w:r w:rsidRPr="00004070">
                <w:rPr>
                  <w:rFonts w:eastAsia="Arial" w:cs="Arial"/>
                  <w:color w:val="0563C1"/>
                  <w:szCs w:val="24"/>
                  <w:u w:val="single"/>
                </w:rPr>
                <w:t>section 8</w:t>
              </w:r>
            </w:hyperlink>
            <w:r w:rsidRPr="00004070">
              <w:rPr>
                <w:rFonts w:eastAsia="Arial" w:cs="Arial"/>
                <w:color w:val="000000"/>
                <w:szCs w:val="24"/>
              </w:rPr>
              <w:t>).</w:t>
            </w:r>
          </w:p>
          <w:p w14:paraId="1F30CB60" w14:textId="608E6253"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Initiate and optimise treatment as outlined in </w:t>
            </w:r>
            <w:hyperlink r:id="rId30">
              <w:r w:rsidRPr="00004070">
                <w:rPr>
                  <w:rFonts w:eastAsia="Arial" w:cs="Arial"/>
                  <w:color w:val="0563C1"/>
                  <w:szCs w:val="24"/>
                  <w:u w:val="single"/>
                </w:rPr>
                <w:t>section 5</w:t>
              </w:r>
            </w:hyperlink>
            <w:r w:rsidRPr="00004070">
              <w:rPr>
                <w:rFonts w:eastAsia="Arial" w:cs="Arial"/>
                <w:color w:val="000000"/>
                <w:szCs w:val="24"/>
              </w:rPr>
              <w:t xml:space="preserve">. </w:t>
            </w:r>
          </w:p>
          <w:p w14:paraId="2DF6E41D" w14:textId="0804DBDA"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Transfer to primary care is after the patient has been treated for 3 months and with satisfactory investigation results for at least 4 weeks. Prescribe sufficient medication to enable transfer to primary care, including where there are unforeseen delays to transfer of care.</w:t>
            </w:r>
          </w:p>
          <w:p w14:paraId="7399F5E3"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Once treatment is optimised, complete the shared care documentation and send to patient’s GP practice detailing the diagnosis, current and ongoing dose, baseline and most recent test results, confirm the monitoring schedule and when the next monitoring is required. Include contact information (</w:t>
            </w:r>
            <w:hyperlink r:id="rId31">
              <w:r w:rsidRPr="00004070">
                <w:rPr>
                  <w:rFonts w:eastAsia="Arial" w:cs="Arial"/>
                  <w:color w:val="0563C1"/>
                  <w:szCs w:val="24"/>
                  <w:u w:val="single"/>
                </w:rPr>
                <w:t>section 13</w:t>
              </w:r>
            </w:hyperlink>
            <w:r w:rsidRPr="00004070">
              <w:rPr>
                <w:rFonts w:eastAsia="Arial" w:cs="Arial"/>
                <w:color w:val="000000"/>
                <w:szCs w:val="24"/>
              </w:rPr>
              <w:t>).</w:t>
            </w:r>
          </w:p>
          <w:p w14:paraId="747AFEFF"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lastRenderedPageBreak/>
              <w:t xml:space="preserve">Conduct the required monitoring in </w:t>
            </w:r>
            <w:hyperlink r:id="rId32">
              <w:r w:rsidRPr="00004070">
                <w:rPr>
                  <w:rFonts w:eastAsia="Arial" w:cs="Arial"/>
                  <w:color w:val="0563C1"/>
                  <w:szCs w:val="24"/>
                  <w:u w:val="single"/>
                </w:rPr>
                <w:t>section 8</w:t>
              </w:r>
            </w:hyperlink>
            <w:r w:rsidRPr="00004070">
              <w:rPr>
                <w:rFonts w:eastAsia="Arial" w:cs="Arial"/>
                <w:color w:val="000000"/>
                <w:szCs w:val="24"/>
              </w:rPr>
              <w:t xml:space="preserve"> and communicate the results to primary care. After each review, advise primary care whether treatment should be continued, confirm the ongoing dose, and whether the ongoing monitoring outlined in </w:t>
            </w:r>
            <w:hyperlink r:id="rId33">
              <w:r w:rsidRPr="00004070">
                <w:rPr>
                  <w:rFonts w:eastAsia="Arial" w:cs="Arial"/>
                  <w:color w:val="0563C1"/>
                  <w:szCs w:val="24"/>
                  <w:u w:val="single"/>
                </w:rPr>
                <w:t>section 9</w:t>
              </w:r>
            </w:hyperlink>
            <w:r w:rsidRPr="00004070">
              <w:rPr>
                <w:rFonts w:eastAsia="Arial" w:cs="Arial"/>
                <w:color w:val="000000"/>
                <w:szCs w:val="24"/>
              </w:rPr>
              <w:t xml:space="preserve"> remains appropriate.</w:t>
            </w:r>
          </w:p>
          <w:p w14:paraId="2D956E74" w14:textId="3ABA4FB0"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Give advice to primary care on continuing treatment if a woman becomes or wishes to become pregnant or breastfeed.</w:t>
            </w:r>
          </w:p>
          <w:p w14:paraId="58BB2EAE"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Provide advice to primary care on the management of adverse effects if required.</w:t>
            </w:r>
          </w:p>
          <w:p w14:paraId="777ACBA6" w14:textId="77777777" w:rsidR="00055685" w:rsidRPr="00004070" w:rsidRDefault="00055685" w:rsidP="007C7494">
            <w:pPr>
              <w:pStyle w:val="Heading2"/>
              <w:rPr>
                <w:rFonts w:cs="Arial"/>
                <w:lang w:eastAsia="en-GB"/>
              </w:rPr>
            </w:pPr>
            <w:r w:rsidRPr="00004070">
              <w:rPr>
                <w:rFonts w:cs="Arial"/>
                <w:lang w:eastAsia="en-GB"/>
              </w:rPr>
              <w:t>Primary care responsibilities</w:t>
            </w:r>
          </w:p>
          <w:p w14:paraId="5CF5D848"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Respond to the request from the specialist for shared care in writing. It is asked that this be undertaken within 14 days of the request being made, where possible.</w:t>
            </w:r>
          </w:p>
          <w:p w14:paraId="5E772BBB"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 xml:space="preserve">If accepted, prescribe ongoing treatment as detailed in the specialists request and as per </w:t>
            </w:r>
            <w:hyperlink r:id="rId34">
              <w:r w:rsidRPr="00004070">
                <w:rPr>
                  <w:rFonts w:eastAsia="Arial" w:cs="Arial"/>
                  <w:color w:val="0563C1"/>
                  <w:szCs w:val="24"/>
                  <w:u w:val="single"/>
                </w:rPr>
                <w:t>section 5</w:t>
              </w:r>
            </w:hyperlink>
            <w:r w:rsidRPr="00004070">
              <w:rPr>
                <w:rFonts w:eastAsia="Arial" w:cs="Arial"/>
                <w:color w:val="000000"/>
                <w:szCs w:val="24"/>
              </w:rPr>
              <w:t xml:space="preserve"> taking into any account potential drug interactions in </w:t>
            </w:r>
            <w:hyperlink r:id="rId35">
              <w:r w:rsidRPr="00004070">
                <w:rPr>
                  <w:rFonts w:eastAsia="Arial" w:cs="Arial"/>
                  <w:color w:val="0563C1"/>
                  <w:szCs w:val="24"/>
                  <w:u w:val="single"/>
                </w:rPr>
                <w:t>section 7</w:t>
              </w:r>
            </w:hyperlink>
            <w:r w:rsidRPr="00004070">
              <w:rPr>
                <w:rFonts w:eastAsia="Arial" w:cs="Arial"/>
                <w:color w:val="000000"/>
                <w:szCs w:val="24"/>
              </w:rPr>
              <w:t>.</w:t>
            </w:r>
          </w:p>
          <w:p w14:paraId="1CD57C27"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Adjust the dose of azathioprine or mercaptopurine prescribed as advised by the specialist.</w:t>
            </w:r>
          </w:p>
          <w:p w14:paraId="4508A821"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 xml:space="preserve">Conduct the required monitoring as outlined in </w:t>
            </w:r>
            <w:hyperlink r:id="rId36">
              <w:r w:rsidRPr="00004070">
                <w:rPr>
                  <w:rFonts w:eastAsia="Arial" w:cs="Arial"/>
                  <w:color w:val="0563C1"/>
                  <w:szCs w:val="24"/>
                  <w:u w:val="single"/>
                </w:rPr>
                <w:t>section 9</w:t>
              </w:r>
            </w:hyperlink>
            <w:r w:rsidRPr="00004070">
              <w:rPr>
                <w:rFonts w:eastAsia="Arial" w:cs="Arial"/>
                <w:color w:val="000000"/>
                <w:szCs w:val="24"/>
              </w:rPr>
              <w:t>.</w:t>
            </w:r>
          </w:p>
          <w:p w14:paraId="7826CA29"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 xml:space="preserve">Assess for possible interactions with azathioprine or mercaptopurine when starting new medicines (see </w:t>
            </w:r>
            <w:hyperlink r:id="rId37">
              <w:r w:rsidRPr="00004070">
                <w:rPr>
                  <w:rFonts w:eastAsia="Arial" w:cs="Arial"/>
                  <w:color w:val="0563C1"/>
                  <w:szCs w:val="24"/>
                  <w:u w:val="single"/>
                </w:rPr>
                <w:t>section 7</w:t>
              </w:r>
            </w:hyperlink>
            <w:r w:rsidRPr="00004070">
              <w:rPr>
                <w:rFonts w:eastAsia="Arial" w:cs="Arial"/>
                <w:color w:val="000000"/>
                <w:szCs w:val="24"/>
              </w:rPr>
              <w:t>).</w:t>
            </w:r>
          </w:p>
          <w:p w14:paraId="03266E60"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 xml:space="preserve">Manage any adverse effects as detailed in </w:t>
            </w:r>
            <w:hyperlink r:id="rId38">
              <w:r w:rsidRPr="00004070">
                <w:rPr>
                  <w:rFonts w:eastAsia="Arial" w:cs="Arial"/>
                  <w:color w:val="0563C1"/>
                  <w:szCs w:val="24"/>
                  <w:u w:val="single"/>
                </w:rPr>
                <w:t>section 10</w:t>
              </w:r>
            </w:hyperlink>
            <w:r w:rsidRPr="00004070">
              <w:rPr>
                <w:rFonts w:eastAsia="Arial" w:cs="Arial"/>
                <w:color w:val="000000"/>
                <w:szCs w:val="24"/>
              </w:rPr>
              <w:t xml:space="preserve"> and discuss with specialist team when required.</w:t>
            </w:r>
          </w:p>
          <w:p w14:paraId="74650681"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Stop azathioprine or mercaptopurine and discuss urgently with the specialist if bone marrow suppression is suspected.</w:t>
            </w:r>
          </w:p>
          <w:p w14:paraId="62B77475"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 xml:space="preserve">Discuss other adverse effects with the specialist team as clinically appropriate (see </w:t>
            </w:r>
            <w:hyperlink r:id="rId39">
              <w:r w:rsidRPr="00004070">
                <w:rPr>
                  <w:rFonts w:eastAsia="Arial" w:cs="Arial"/>
                  <w:color w:val="0563C1"/>
                  <w:szCs w:val="24"/>
                  <w:u w:val="single"/>
                </w:rPr>
                <w:t>section 10</w:t>
              </w:r>
            </w:hyperlink>
            <w:r w:rsidRPr="00004070">
              <w:rPr>
                <w:rFonts w:eastAsia="Arial" w:cs="Arial"/>
                <w:color w:val="000000"/>
                <w:szCs w:val="24"/>
              </w:rPr>
              <w:t xml:space="preserve">). </w:t>
            </w:r>
          </w:p>
          <w:p w14:paraId="32FB8525"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Contact the specialist team for advice if the patient becomes or plans to become pregnant.</w:t>
            </w:r>
          </w:p>
          <w:p w14:paraId="762FB1B5" w14:textId="77777777" w:rsidR="00ED0997" w:rsidRPr="00004070" w:rsidRDefault="00ED0997" w:rsidP="002D2B0F">
            <w:pPr>
              <w:pStyle w:val="ListParagraph"/>
              <w:numPr>
                <w:ilvl w:val="0"/>
                <w:numId w:val="26"/>
              </w:numPr>
              <w:ind w:left="357" w:hanging="357"/>
              <w:rPr>
                <w:rFonts w:eastAsia="Arial" w:cs="Arial"/>
                <w:color w:val="000000"/>
                <w:szCs w:val="24"/>
                <w:lang w:val="en-US"/>
              </w:rPr>
            </w:pPr>
            <w:r w:rsidRPr="00004070">
              <w:rPr>
                <w:rFonts w:eastAsia="Arial" w:cs="Arial"/>
                <w:color w:val="000000"/>
                <w:szCs w:val="24"/>
              </w:rPr>
              <w:t>Stop treatment as advised by the specialist.</w:t>
            </w:r>
          </w:p>
          <w:p w14:paraId="0D4A677D" w14:textId="0FE9BA9D" w:rsidR="00055685" w:rsidRPr="00004070" w:rsidRDefault="00055685" w:rsidP="00FA713C">
            <w:pPr>
              <w:pStyle w:val="Heading2"/>
              <w:rPr>
                <w:rFonts w:cs="Arial"/>
                <w:lang w:eastAsia="en-GB"/>
              </w:rPr>
            </w:pPr>
            <w:r w:rsidRPr="00004070">
              <w:rPr>
                <w:rFonts w:cs="Arial"/>
                <w:lang w:eastAsia="en-GB"/>
              </w:rPr>
              <w:t>Patient and/or carer responsibilities</w:t>
            </w:r>
          </w:p>
          <w:p w14:paraId="3070E49E"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Take azathioprine or mercaptopurine as prescribed and do not stop taking it without speaking to their primary care prescriber or specialist. </w:t>
            </w:r>
          </w:p>
          <w:p w14:paraId="75FF5205"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Tell anyone who prescribes them a medicine that they are taking azathioprine or mercaptopurine.</w:t>
            </w:r>
          </w:p>
          <w:p w14:paraId="5EFA74BD"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lastRenderedPageBreak/>
              <w:t xml:space="preserve">Attend regularly for monitoring and review appointments with primary care and specialist. Be aware that medicines may be stopped if they do not attend appointments. </w:t>
            </w:r>
          </w:p>
          <w:p w14:paraId="495D584B"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 xml:space="preserve">Report adverse effects to their primary care prescriber. Seek immediate medical attention if they develop any symptoms as detailed in </w:t>
            </w:r>
            <w:hyperlink r:id="rId40">
              <w:r w:rsidRPr="00004070">
                <w:rPr>
                  <w:rFonts w:eastAsia="Arial" w:cs="Arial"/>
                  <w:color w:val="0563C1"/>
                  <w:szCs w:val="24"/>
                  <w:u w:val="single"/>
                </w:rPr>
                <w:t>section 11</w:t>
              </w:r>
            </w:hyperlink>
            <w:r w:rsidRPr="00004070">
              <w:rPr>
                <w:rFonts w:eastAsia="Arial" w:cs="Arial"/>
                <w:color w:val="000000"/>
                <w:szCs w:val="24"/>
              </w:rPr>
              <w:t>.</w:t>
            </w:r>
          </w:p>
          <w:p w14:paraId="1D1102B9" w14:textId="77777777" w:rsidR="00ED0997" w:rsidRPr="00004070" w:rsidRDefault="00ED0997" w:rsidP="002D2B0F">
            <w:pPr>
              <w:numPr>
                <w:ilvl w:val="0"/>
                <w:numId w:val="14"/>
              </w:numPr>
              <w:spacing w:after="50"/>
              <w:ind w:left="357" w:hanging="357"/>
              <w:rPr>
                <w:rFonts w:eastAsia="Arial" w:cs="Arial"/>
                <w:color w:val="000000"/>
                <w:szCs w:val="24"/>
                <w:lang w:val="en-US"/>
              </w:rPr>
            </w:pPr>
            <w:r w:rsidRPr="00004070">
              <w:rPr>
                <w:rFonts w:eastAsia="Arial" w:cs="Arial"/>
                <w:color w:val="000000"/>
                <w:szCs w:val="24"/>
              </w:rPr>
              <w:t>Report the use of any over the counter medications to their prescriber and be aware they should discuss the use of azathioprine or mercaptopurine with their pharmacist before purchasing any OTC medicines.</w:t>
            </w:r>
          </w:p>
          <w:p w14:paraId="61DDC8D4" w14:textId="30A24601" w:rsidR="00055685" w:rsidRPr="00004070" w:rsidRDefault="00ED0997" w:rsidP="002D2B0F">
            <w:pPr>
              <w:pStyle w:val="ListParagraph"/>
              <w:numPr>
                <w:ilvl w:val="0"/>
                <w:numId w:val="14"/>
              </w:numPr>
              <w:rPr>
                <w:rFonts w:cs="Arial"/>
                <w:color w:val="000000"/>
                <w:u w:val="single"/>
              </w:rPr>
            </w:pPr>
            <w:r w:rsidRPr="00004070">
              <w:rPr>
                <w:rFonts w:eastAsia="Arial" w:cs="Arial"/>
                <w:color w:val="000000"/>
                <w:szCs w:val="24"/>
              </w:rPr>
              <w:t>Inform the specialist or primary care prescriber as soon as possible if they become pregnant or wish to become pregnant.</w:t>
            </w:r>
          </w:p>
        </w:tc>
      </w:tr>
      <w:tr w:rsidR="00055685" w:rsidRPr="00004070" w14:paraId="2BBEC1D0" w14:textId="77777777" w:rsidTr="1E7986F2">
        <w:trPr>
          <w:jc w:val="center"/>
        </w:trPr>
        <w:tc>
          <w:tcPr>
            <w:tcW w:w="10455" w:type="dxa"/>
            <w:gridSpan w:val="3"/>
            <w:tcBorders>
              <w:bottom w:val="nil"/>
            </w:tcBorders>
            <w:shd w:val="clear" w:color="auto" w:fill="F2F2F2" w:themeFill="background1" w:themeFillShade="F2"/>
          </w:tcPr>
          <w:p w14:paraId="14521365" w14:textId="6DDD4E82" w:rsidR="00055685" w:rsidRPr="00004070" w:rsidRDefault="00055685" w:rsidP="00FA713C">
            <w:pPr>
              <w:pStyle w:val="Heading1"/>
              <w:tabs>
                <w:tab w:val="right" w:pos="10238"/>
              </w:tabs>
              <w:rPr>
                <w:rFonts w:cs="Arial"/>
              </w:rPr>
            </w:pPr>
            <w:bookmarkStart w:id="2" w:name="One_background"/>
            <w:r w:rsidRPr="00004070">
              <w:rPr>
                <w:rFonts w:cs="Arial"/>
                <w:lang w:eastAsia="en-GB"/>
              </w:rPr>
              <w:lastRenderedPageBreak/>
              <w:t>Background</w:t>
            </w:r>
            <w:bookmarkEnd w:id="2"/>
            <w:r w:rsidRPr="00004070">
              <w:rPr>
                <w:rFonts w:cs="Arial"/>
                <w:lang w:eastAsia="en-GB"/>
              </w:rPr>
              <w:t xml:space="preserve"> </w:t>
            </w:r>
            <w:r w:rsidRPr="00004070">
              <w:rPr>
                <w:rFonts w:cs="Arial"/>
                <w:lang w:eastAsia="en-GB"/>
              </w:rPr>
              <w:tab/>
            </w:r>
            <w:hyperlink w:anchor="Responsibilities" w:history="1">
              <w:r w:rsidR="00FA713C" w:rsidRPr="00004070">
                <w:rPr>
                  <w:rStyle w:val="Hyperlink"/>
                  <w:rFonts w:eastAsia="Times New Roman" w:cs="Arial"/>
                  <w:b w:val="0"/>
                  <w:bCs w:val="0"/>
                  <w:sz w:val="24"/>
                  <w:szCs w:val="24"/>
                  <w:lang w:eastAsia="en-GB"/>
                </w:rPr>
                <w:t>Back to top</w:t>
              </w:r>
            </w:hyperlink>
          </w:p>
        </w:tc>
      </w:tr>
      <w:tr w:rsidR="00055685" w:rsidRPr="00004070" w14:paraId="295ECE79" w14:textId="77777777" w:rsidTr="1E7986F2">
        <w:trPr>
          <w:jc w:val="center"/>
        </w:trPr>
        <w:tc>
          <w:tcPr>
            <w:tcW w:w="10455" w:type="dxa"/>
            <w:gridSpan w:val="3"/>
            <w:tcBorders>
              <w:top w:val="nil"/>
              <w:bottom w:val="single" w:sz="4" w:space="0" w:color="auto"/>
            </w:tcBorders>
          </w:tcPr>
          <w:p w14:paraId="7C485475" w14:textId="77777777" w:rsidR="00ED0997" w:rsidRPr="00004070" w:rsidRDefault="00ED0997" w:rsidP="002D2B0F">
            <w:pPr>
              <w:rPr>
                <w:lang w:val="en-US"/>
              </w:rPr>
            </w:pPr>
            <w:r w:rsidRPr="00004070">
              <w:t xml:space="preserve">Azathioprine and mercaptopurine are disease modifying anti-rheumatic drugs (DMARDs). They are used as immunosuppressant anti-metabolites either alone or, more commonly, in combination with other agents (usually corticosteroids) to influence the immune response. Therapeutic effect may be evident only after weeks or months and can include a steroid sparing effect, thereby reducing the toxicity associated with high dosage and prolonged usage of corticosteroids. </w:t>
            </w:r>
          </w:p>
          <w:p w14:paraId="548264B8" w14:textId="7DDD1013" w:rsidR="00CC6A32" w:rsidRPr="00004070" w:rsidRDefault="00ED0997" w:rsidP="002D2B0F">
            <w:r w:rsidRPr="00004070">
              <w:t>Azathioprine and mercaptopurine are not licensed for all the conditions they are used to treat, as noted below. However, their use for the indications below are established and supported by various sources and bodies including the BNF, NICE, British Society for Rheumatology (BSR) and British Health Professionals in Rheumatology (BHPR), British Association of Dermatologists (BAD), British Thoracic Society (BTS), Association of British Neurologists (ABN) and British Society of Gastroenterology (BSG).</w:t>
            </w:r>
          </w:p>
        </w:tc>
      </w:tr>
      <w:tr w:rsidR="00055685" w:rsidRPr="00004070" w14:paraId="061A519D" w14:textId="77777777" w:rsidTr="1E7986F2">
        <w:trPr>
          <w:jc w:val="center"/>
        </w:trPr>
        <w:tc>
          <w:tcPr>
            <w:tcW w:w="10455" w:type="dxa"/>
            <w:gridSpan w:val="3"/>
            <w:tcBorders>
              <w:bottom w:val="nil"/>
            </w:tcBorders>
            <w:shd w:val="clear" w:color="auto" w:fill="F2F2F2" w:themeFill="background1" w:themeFillShade="F2"/>
          </w:tcPr>
          <w:p w14:paraId="31A445E6" w14:textId="7822028A" w:rsidR="00055685" w:rsidRPr="00004070" w:rsidRDefault="00055685" w:rsidP="00595041">
            <w:pPr>
              <w:pStyle w:val="Heading1"/>
              <w:tabs>
                <w:tab w:val="right" w:pos="10240"/>
              </w:tabs>
              <w:rPr>
                <w:rFonts w:cs="Arial"/>
                <w:lang w:eastAsia="en-GB"/>
              </w:rPr>
            </w:pPr>
            <w:bookmarkStart w:id="3" w:name="Two_indications"/>
            <w:r w:rsidRPr="00004070">
              <w:rPr>
                <w:rFonts w:cs="Arial"/>
                <w:lang w:eastAsia="en-GB"/>
              </w:rPr>
              <w:t>Indications</w:t>
            </w:r>
            <w:bookmarkEnd w:id="3"/>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tc>
      </w:tr>
      <w:tr w:rsidR="00055685" w:rsidRPr="00004070" w14:paraId="29A3FC11" w14:textId="77777777" w:rsidTr="1E7986F2">
        <w:trPr>
          <w:jc w:val="center"/>
        </w:trPr>
        <w:tc>
          <w:tcPr>
            <w:tcW w:w="10455" w:type="dxa"/>
            <w:gridSpan w:val="3"/>
            <w:tcBorders>
              <w:top w:val="nil"/>
              <w:bottom w:val="single" w:sz="4" w:space="0" w:color="auto"/>
            </w:tcBorders>
          </w:tcPr>
          <w:p w14:paraId="77F3FA4C" w14:textId="77777777" w:rsidR="00ED0997" w:rsidRPr="00004070" w:rsidRDefault="00ED0997" w:rsidP="002D2B0F">
            <w:pPr>
              <w:spacing w:after="50"/>
              <w:rPr>
                <w:rFonts w:eastAsia="Arial" w:cs="Arial"/>
                <w:color w:val="000000" w:themeColor="text1"/>
                <w:szCs w:val="24"/>
              </w:rPr>
            </w:pPr>
            <w:r w:rsidRPr="00004070">
              <w:rPr>
                <w:rFonts w:eastAsia="Arial" w:cs="Arial"/>
                <w:b/>
                <w:bCs/>
                <w:color w:val="000000" w:themeColor="text1"/>
                <w:szCs w:val="24"/>
                <w:u w:val="single"/>
              </w:rPr>
              <w:t>Azathioprine</w:t>
            </w:r>
          </w:p>
          <w:p w14:paraId="65D637E8" w14:textId="77777777" w:rsidR="00ED0997" w:rsidRPr="00004070" w:rsidRDefault="00ED0997" w:rsidP="002D2B0F">
            <w:pPr>
              <w:spacing w:after="50"/>
              <w:rPr>
                <w:rFonts w:eastAsia="Arial" w:cs="Arial"/>
                <w:color w:val="000000" w:themeColor="text1"/>
                <w:szCs w:val="24"/>
              </w:rPr>
            </w:pPr>
            <w:r w:rsidRPr="00004070">
              <w:rPr>
                <w:rFonts w:eastAsia="Arial" w:cs="Arial"/>
                <w:color w:val="000000" w:themeColor="text1"/>
                <w:szCs w:val="24"/>
              </w:rPr>
              <w:t>The licensed indications for azathioprine include:</w:t>
            </w:r>
          </w:p>
          <w:p w14:paraId="662BBAB0"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Auto-immune chronic active hepatitis</w:t>
            </w:r>
          </w:p>
          <w:p w14:paraId="36A5D1FF"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Auto-immune haemolytic anaemia</w:t>
            </w:r>
          </w:p>
          <w:p w14:paraId="1275F83C"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lastRenderedPageBreak/>
              <w:t xml:space="preserve">Chronic refractory idiopathic thrombocytopenic purpura </w:t>
            </w:r>
          </w:p>
          <w:p w14:paraId="52C0CC0B"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Dermatomyositis</w:t>
            </w:r>
          </w:p>
          <w:p w14:paraId="4960AF51"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Inflammatory bowel disease (IBD)</w:t>
            </w:r>
          </w:p>
          <w:p w14:paraId="1D3290CB"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Pemphigus vulgaris</w:t>
            </w:r>
          </w:p>
          <w:p w14:paraId="37E97178"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Polyarteritis nodosa</w:t>
            </w:r>
          </w:p>
          <w:p w14:paraId="11B2EB81"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Polymyositis</w:t>
            </w:r>
          </w:p>
          <w:p w14:paraId="18015E5A"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Pyoderma gangrenosum</w:t>
            </w:r>
          </w:p>
          <w:p w14:paraId="078D55CD"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 xml:space="preserve">Rheumatoid arthritis </w:t>
            </w:r>
          </w:p>
          <w:p w14:paraId="5421484D"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Systemic lupus erythematosus (SLE)</w:t>
            </w:r>
          </w:p>
          <w:p w14:paraId="1BDF9FF8" w14:textId="414851DF" w:rsidR="00ED0997" w:rsidRPr="00004070" w:rsidRDefault="00ED0997" w:rsidP="105ED4C8">
            <w:pPr>
              <w:spacing w:after="50"/>
              <w:rPr>
                <w:rFonts w:eastAsia="Arial" w:cs="Arial"/>
              </w:rPr>
            </w:pPr>
            <w:r w:rsidRPr="00004070">
              <w:rPr>
                <w:rFonts w:eastAsia="Arial" w:cs="Arial"/>
              </w:rPr>
              <w:t xml:space="preserve">Licensed indications vary with brand. See relevant </w:t>
            </w:r>
            <w:r w:rsidR="105ED4C8" w:rsidRPr="00004070">
              <w:rPr>
                <w:rFonts w:eastAsia="Arial" w:cs="Arial"/>
                <w:szCs w:val="24"/>
              </w:rPr>
              <w:t xml:space="preserve">summary of product characteristics </w:t>
            </w:r>
            <w:r w:rsidRPr="00004070">
              <w:rPr>
                <w:rFonts w:eastAsia="Arial" w:cs="Arial"/>
              </w:rPr>
              <w:t>(</w:t>
            </w:r>
            <w:hyperlink r:id="rId41">
              <w:r w:rsidR="105ED4C8" w:rsidRPr="00004070">
                <w:rPr>
                  <w:rStyle w:val="Hyperlink"/>
                  <w:rFonts w:eastAsia="Arial" w:cs="Arial"/>
                  <w:szCs w:val="24"/>
                </w:rPr>
                <w:t>see SPC)</w:t>
              </w:r>
            </w:hyperlink>
            <w:r w:rsidR="105ED4C8" w:rsidRPr="00004070">
              <w:rPr>
                <w:rFonts w:eastAsia="Arial" w:cs="Arial"/>
                <w:szCs w:val="24"/>
              </w:rPr>
              <w:t xml:space="preserve"> </w:t>
            </w:r>
            <w:r w:rsidRPr="00004070">
              <w:rPr>
                <w:rFonts w:eastAsia="Arial" w:cs="Arial"/>
              </w:rPr>
              <w:t xml:space="preserve">  for full details. </w:t>
            </w:r>
          </w:p>
          <w:p w14:paraId="631B9586" w14:textId="77777777" w:rsidR="00ED0997" w:rsidRPr="00004070" w:rsidRDefault="00ED0997" w:rsidP="002D2B0F">
            <w:pPr>
              <w:spacing w:after="50"/>
              <w:rPr>
                <w:rFonts w:eastAsia="Arial" w:cs="Arial"/>
                <w:color w:val="000000" w:themeColor="text1"/>
                <w:szCs w:val="24"/>
              </w:rPr>
            </w:pPr>
            <w:r w:rsidRPr="00004070">
              <w:rPr>
                <w:rFonts w:eastAsia="Arial" w:cs="Arial"/>
                <w:color w:val="000000" w:themeColor="text1"/>
                <w:szCs w:val="24"/>
              </w:rPr>
              <w:t>This shared care protocol also includes treatment of chronic inflammatory conditions where off-label use of azathioprine is appropriate, including, but not limited to the following specialities and conditions:</w:t>
            </w:r>
          </w:p>
          <w:p w14:paraId="3444185C"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Dermatology (e.g. severe eczema)</w:t>
            </w:r>
          </w:p>
          <w:p w14:paraId="336763BB"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Neurology (e.g. myasthenia gravis, demyelinating conditions)</w:t>
            </w:r>
          </w:p>
          <w:p w14:paraId="2069BC66"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Ophthalmology (e.g. uveitis, scleritis)</w:t>
            </w:r>
          </w:p>
          <w:p w14:paraId="136D6921"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Oral medicine (e.g. Behçet’s disease, refractory inflammatory oral disease)</w:t>
            </w:r>
          </w:p>
          <w:p w14:paraId="6766C2D2"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Renal medicine (e.g. immune-mediated nephritis)</w:t>
            </w:r>
          </w:p>
          <w:p w14:paraId="6C4CD617"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Respiratory disease (e.g. interstitial lung disease)</w:t>
            </w:r>
          </w:p>
          <w:p w14:paraId="5ABE2E75" w14:textId="77777777" w:rsidR="00ED0997" w:rsidRPr="00004070" w:rsidRDefault="00ED0997" w:rsidP="002D2B0F">
            <w:pPr>
              <w:pStyle w:val="ListParagraph"/>
              <w:numPr>
                <w:ilvl w:val="0"/>
                <w:numId w:val="15"/>
              </w:numPr>
              <w:rPr>
                <w:rFonts w:eastAsia="Arial" w:cs="Arial"/>
                <w:color w:val="000000" w:themeColor="text1"/>
                <w:szCs w:val="24"/>
              </w:rPr>
            </w:pPr>
            <w:r w:rsidRPr="00004070">
              <w:rPr>
                <w:rFonts w:eastAsia="Arial" w:cs="Arial"/>
                <w:color w:val="000000" w:themeColor="text1"/>
                <w:szCs w:val="24"/>
              </w:rPr>
              <w:t>Rheumatology (e.g. inflammatory arthritis, connective tissue disease, vasculitis, giant cell arteritis)</w:t>
            </w:r>
          </w:p>
          <w:p w14:paraId="4D093351" w14:textId="77777777" w:rsidR="00ED0997" w:rsidRPr="00004070" w:rsidRDefault="00ED0997" w:rsidP="002D2B0F">
            <w:pPr>
              <w:spacing w:after="50"/>
              <w:rPr>
                <w:rFonts w:eastAsia="Arial" w:cs="Arial"/>
                <w:color w:val="000000" w:themeColor="text1"/>
                <w:szCs w:val="24"/>
              </w:rPr>
            </w:pPr>
            <w:r w:rsidRPr="00004070">
              <w:rPr>
                <w:rFonts w:eastAsia="Arial" w:cs="Arial"/>
                <w:color w:val="000000" w:themeColor="text1"/>
                <w:szCs w:val="24"/>
              </w:rPr>
              <w:t xml:space="preserve">These indications are off-label. The initiating specialist </w:t>
            </w:r>
            <w:r w:rsidRPr="00004070">
              <w:rPr>
                <w:rFonts w:eastAsia="Arial" w:cs="Arial"/>
                <w:color w:val="000000" w:themeColor="text1"/>
                <w:szCs w:val="24"/>
                <w:u w:val="single"/>
              </w:rPr>
              <w:t>must specify the indication for each patient</w:t>
            </w:r>
            <w:r w:rsidRPr="00004070">
              <w:rPr>
                <w:rFonts w:eastAsia="Arial" w:cs="Arial"/>
                <w:color w:val="000000" w:themeColor="text1"/>
                <w:szCs w:val="24"/>
              </w:rPr>
              <w:t xml:space="preserve"> when initiating shared care and clearly state when use is off-label.</w:t>
            </w:r>
          </w:p>
          <w:p w14:paraId="75028B15" w14:textId="77777777" w:rsidR="00ED0997" w:rsidRPr="00004070" w:rsidRDefault="00ED0997" w:rsidP="002D2B0F">
            <w:pPr>
              <w:spacing w:after="50"/>
              <w:rPr>
                <w:rFonts w:eastAsia="Arial" w:cs="Arial"/>
                <w:color w:val="000000" w:themeColor="text1"/>
                <w:szCs w:val="24"/>
              </w:rPr>
            </w:pPr>
          </w:p>
          <w:p w14:paraId="7D9E8A9A" w14:textId="77777777" w:rsidR="00ED0997" w:rsidRPr="00004070" w:rsidRDefault="00ED0997" w:rsidP="002D2B0F">
            <w:pPr>
              <w:spacing w:after="50"/>
              <w:rPr>
                <w:rFonts w:eastAsia="Arial" w:cs="Arial"/>
                <w:color w:val="000000" w:themeColor="text1"/>
                <w:szCs w:val="24"/>
              </w:rPr>
            </w:pPr>
            <w:r w:rsidRPr="00004070">
              <w:rPr>
                <w:rFonts w:eastAsia="Arial" w:cs="Arial"/>
                <w:b/>
                <w:bCs/>
                <w:color w:val="000000" w:themeColor="text1"/>
                <w:szCs w:val="24"/>
                <w:u w:val="single"/>
              </w:rPr>
              <w:t>Mercaptopurine</w:t>
            </w:r>
          </w:p>
          <w:p w14:paraId="46383E64" w14:textId="77777777" w:rsidR="00ED0997" w:rsidRPr="00004070" w:rsidRDefault="00ED0997" w:rsidP="002D2B0F">
            <w:pPr>
              <w:spacing w:after="50"/>
              <w:rPr>
                <w:rFonts w:eastAsia="Arial" w:cs="Arial"/>
                <w:color w:val="000000" w:themeColor="text1"/>
                <w:szCs w:val="24"/>
              </w:rPr>
            </w:pPr>
            <w:r w:rsidRPr="00004070">
              <w:rPr>
                <w:rFonts w:eastAsia="Arial" w:cs="Arial"/>
                <w:color w:val="000000" w:themeColor="text1"/>
                <w:szCs w:val="24"/>
              </w:rPr>
              <w:t>This shared care protocol includes treatment of chronic inflammatory conditions where off-label use of mercaptopurine is appropriate, including, but not limited to the following conditions:</w:t>
            </w:r>
          </w:p>
          <w:p w14:paraId="76BE5353"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Inflammatory bowel disease</w:t>
            </w:r>
          </w:p>
          <w:p w14:paraId="7E8F7E8D"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lastRenderedPageBreak/>
              <w:t>Autoimmune encephalitides</w:t>
            </w:r>
          </w:p>
          <w:p w14:paraId="61F6DA89" w14:textId="77777777" w:rsidR="00ED0997" w:rsidRPr="00004070" w:rsidRDefault="00ED0997" w:rsidP="002D2B0F">
            <w:pPr>
              <w:pStyle w:val="ListParagraph"/>
              <w:numPr>
                <w:ilvl w:val="0"/>
                <w:numId w:val="15"/>
              </w:numPr>
              <w:rPr>
                <w:rFonts w:eastAsia="Arial" w:cs="Arial"/>
                <w:szCs w:val="24"/>
              </w:rPr>
            </w:pPr>
            <w:r w:rsidRPr="00004070">
              <w:rPr>
                <w:rFonts w:eastAsia="Arial" w:cs="Arial"/>
                <w:szCs w:val="24"/>
              </w:rPr>
              <w:t>Autoimmune hepatitis</w:t>
            </w:r>
          </w:p>
          <w:p w14:paraId="562AA896" w14:textId="77777777" w:rsidR="00ED0997" w:rsidRPr="00004070" w:rsidRDefault="00ED0997" w:rsidP="002D2B0F">
            <w:pPr>
              <w:spacing w:after="50"/>
              <w:rPr>
                <w:rFonts w:eastAsia="Arial" w:cs="Arial"/>
                <w:szCs w:val="24"/>
              </w:rPr>
            </w:pPr>
          </w:p>
          <w:p w14:paraId="3D927522" w14:textId="77777777" w:rsidR="00ED0997" w:rsidRPr="00004070" w:rsidRDefault="00ED0997" w:rsidP="002D2B0F">
            <w:pPr>
              <w:spacing w:after="50"/>
              <w:rPr>
                <w:rFonts w:eastAsia="Arial" w:cs="Arial"/>
                <w:color w:val="000000" w:themeColor="text1"/>
                <w:szCs w:val="24"/>
              </w:rPr>
            </w:pPr>
            <w:r w:rsidRPr="00004070">
              <w:rPr>
                <w:rFonts w:eastAsia="Arial" w:cs="Arial"/>
                <w:color w:val="000000" w:themeColor="text1"/>
                <w:szCs w:val="24"/>
              </w:rPr>
              <w:t xml:space="preserve">These indications are off-label. The specialist </w:t>
            </w:r>
            <w:r w:rsidRPr="00004070">
              <w:rPr>
                <w:rFonts w:eastAsia="Arial" w:cs="Arial"/>
                <w:color w:val="000000" w:themeColor="text1"/>
                <w:szCs w:val="24"/>
                <w:u w:val="single"/>
              </w:rPr>
              <w:t>must specify the indication for each patient</w:t>
            </w:r>
            <w:r w:rsidRPr="00004070">
              <w:rPr>
                <w:rFonts w:eastAsia="Arial" w:cs="Arial"/>
                <w:color w:val="000000" w:themeColor="text1"/>
                <w:szCs w:val="24"/>
              </w:rPr>
              <w:t xml:space="preserve"> when initiating shared care and clearly state when use is off-label.</w:t>
            </w:r>
          </w:p>
          <w:p w14:paraId="45C820ED" w14:textId="61FDBD0D" w:rsidR="00E50AEB" w:rsidRPr="00004070" w:rsidRDefault="00ED0997" w:rsidP="002D2B0F">
            <w:pPr>
              <w:spacing w:after="50"/>
              <w:rPr>
                <w:rFonts w:cs="Arial"/>
                <w:szCs w:val="24"/>
                <w:lang w:eastAsia="en-GB"/>
              </w:rPr>
            </w:pPr>
            <w:r w:rsidRPr="00004070">
              <w:rPr>
                <w:rFonts w:eastAsia="Arial" w:cs="Arial"/>
                <w:color w:val="000000" w:themeColor="text1"/>
                <w:szCs w:val="24"/>
              </w:rPr>
              <w:t>This shared care protocol applies to adults aged 18 and over. It does not include use of azathioprine or mercaptopurine for transplant or oncology indications.</w:t>
            </w:r>
            <w:r w:rsidR="00334B2C" w:rsidRPr="00004070">
              <w:rPr>
                <w:rFonts w:cs="Arial"/>
                <w:szCs w:val="24"/>
                <w:lang w:eastAsia="en-GB"/>
              </w:rPr>
              <w:t xml:space="preserve"> </w:t>
            </w:r>
          </w:p>
        </w:tc>
      </w:tr>
      <w:tr w:rsidR="00055685" w:rsidRPr="00004070" w14:paraId="0408E228" w14:textId="77777777" w:rsidTr="1E7986F2">
        <w:trPr>
          <w:jc w:val="center"/>
        </w:trPr>
        <w:tc>
          <w:tcPr>
            <w:tcW w:w="10455" w:type="dxa"/>
            <w:gridSpan w:val="3"/>
            <w:tcBorders>
              <w:bottom w:val="nil"/>
            </w:tcBorders>
            <w:shd w:val="clear" w:color="auto" w:fill="F2F2F2" w:themeFill="background1" w:themeFillShade="F2"/>
          </w:tcPr>
          <w:p w14:paraId="7FEEB7AA" w14:textId="208204A8" w:rsidR="00055685" w:rsidRPr="00075F33" w:rsidRDefault="00055685" w:rsidP="00846A4A">
            <w:pPr>
              <w:pStyle w:val="Heading1"/>
              <w:tabs>
                <w:tab w:val="right" w:pos="10238"/>
              </w:tabs>
              <w:rPr>
                <w:rFonts w:cs="Arial"/>
                <w:color w:val="000000"/>
                <w:sz w:val="28"/>
                <w:szCs w:val="28"/>
                <w:lang w:val="en" w:eastAsia="en-GB"/>
              </w:rPr>
            </w:pPr>
            <w:bookmarkStart w:id="4" w:name="_Locally_agreed_off-label"/>
            <w:bookmarkStart w:id="5" w:name="Three_local_indications"/>
            <w:bookmarkEnd w:id="4"/>
            <w:r w:rsidRPr="00075F33">
              <w:rPr>
                <w:rFonts w:cs="Arial"/>
                <w:sz w:val="28"/>
                <w:szCs w:val="28"/>
                <w:lang w:eastAsia="en-GB"/>
              </w:rPr>
              <w:lastRenderedPageBreak/>
              <w:t>Locally agreed off-label use</w:t>
            </w:r>
            <w:bookmarkEnd w:id="5"/>
            <w:r w:rsidRPr="00075F33">
              <w:rPr>
                <w:rFonts w:cs="Arial"/>
                <w:sz w:val="28"/>
                <w:szCs w:val="28"/>
                <w:lang w:eastAsia="en-GB"/>
              </w:rPr>
              <w:tab/>
            </w:r>
            <w:hyperlink w:anchor="Responsibilities" w:history="1">
              <w:r w:rsidRPr="00075F33">
                <w:rPr>
                  <w:rStyle w:val="Hyperlink"/>
                  <w:rFonts w:eastAsia="Times New Roman" w:cs="Arial"/>
                  <w:b w:val="0"/>
                  <w:bCs w:val="0"/>
                  <w:sz w:val="28"/>
                  <w:szCs w:val="28"/>
                  <w:lang w:eastAsia="en-GB"/>
                </w:rPr>
                <w:t>Back to top</w:t>
              </w:r>
            </w:hyperlink>
          </w:p>
        </w:tc>
      </w:tr>
      <w:tr w:rsidR="00E82FF8" w:rsidRPr="00004070" w14:paraId="6AD485E9" w14:textId="77777777" w:rsidTr="1E7986F2">
        <w:trPr>
          <w:jc w:val="center"/>
        </w:trPr>
        <w:tc>
          <w:tcPr>
            <w:tcW w:w="10455" w:type="dxa"/>
            <w:gridSpan w:val="3"/>
            <w:tcBorders>
              <w:top w:val="nil"/>
              <w:bottom w:val="single" w:sz="4" w:space="0" w:color="auto"/>
            </w:tcBorders>
          </w:tcPr>
          <w:p w14:paraId="6B6E889F" w14:textId="3CC82C78" w:rsidR="00E82FF8" w:rsidRPr="00373E49" w:rsidRDefault="00E82FF8" w:rsidP="00E82FF8">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0A7C20C5" w14:textId="77777777" w:rsidR="00E82FF8" w:rsidRPr="00373E49" w:rsidRDefault="00E82FF8" w:rsidP="00E82FF8">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701D359" w14:textId="77777777" w:rsidR="00E82FF8" w:rsidRPr="00373E49" w:rsidRDefault="00E82FF8" w:rsidP="00E82FF8">
            <w:pPr>
              <w:numPr>
                <w:ilvl w:val="0"/>
                <w:numId w:val="27"/>
              </w:numPr>
              <w:spacing w:after="50"/>
              <w:rPr>
                <w:rFonts w:eastAsia="Arial" w:cs="Arial"/>
                <w:szCs w:val="24"/>
              </w:rPr>
            </w:pPr>
            <w:r w:rsidRPr="00373E49">
              <w:rPr>
                <w:rFonts w:eastAsia="Arial" w:cs="Arial"/>
                <w:szCs w:val="24"/>
              </w:rPr>
              <w:t xml:space="preserve">Dosing specific to the indication </w:t>
            </w:r>
          </w:p>
          <w:p w14:paraId="7C15D67E" w14:textId="77777777" w:rsidR="00E82FF8" w:rsidRPr="00373E49" w:rsidRDefault="00E82FF8" w:rsidP="00E82FF8">
            <w:pPr>
              <w:numPr>
                <w:ilvl w:val="0"/>
                <w:numId w:val="27"/>
              </w:numPr>
              <w:spacing w:after="50"/>
              <w:rPr>
                <w:rFonts w:eastAsia="Arial" w:cs="Arial"/>
                <w:szCs w:val="24"/>
              </w:rPr>
            </w:pPr>
            <w:r w:rsidRPr="00373E49">
              <w:rPr>
                <w:rFonts w:eastAsia="Arial" w:cs="Arial"/>
                <w:szCs w:val="24"/>
              </w:rPr>
              <w:t>Relevant interaction information</w:t>
            </w:r>
          </w:p>
          <w:p w14:paraId="6CD2A5D1" w14:textId="77777777" w:rsidR="00E82FF8" w:rsidRPr="00D90889" w:rsidRDefault="00E82FF8" w:rsidP="00E82FF8">
            <w:pPr>
              <w:numPr>
                <w:ilvl w:val="0"/>
                <w:numId w:val="27"/>
              </w:numPr>
              <w:spacing w:after="50"/>
              <w:rPr>
                <w:rFonts w:eastAsia="Arial" w:cs="Arial"/>
                <w:szCs w:val="24"/>
              </w:rPr>
            </w:pPr>
            <w:r w:rsidRPr="00D90889">
              <w:rPr>
                <w:rFonts w:eastAsia="Arial" w:cs="Arial"/>
                <w:szCs w:val="24"/>
              </w:rPr>
              <w:t>Any additional monitoring requirements over and above the shared care.</w:t>
            </w:r>
          </w:p>
          <w:p w14:paraId="6830417A" w14:textId="77777777" w:rsidR="00E82FF8" w:rsidRPr="00373E49" w:rsidRDefault="00E82FF8" w:rsidP="00E82FF8">
            <w:pPr>
              <w:numPr>
                <w:ilvl w:val="0"/>
                <w:numId w:val="27"/>
              </w:numPr>
              <w:spacing w:after="50"/>
              <w:rPr>
                <w:rFonts w:eastAsia="Arial" w:cs="Arial"/>
                <w:szCs w:val="24"/>
              </w:rPr>
            </w:pPr>
            <w:r w:rsidRPr="00373E49">
              <w:rPr>
                <w:rFonts w:eastAsia="Arial" w:cs="Arial"/>
                <w:szCs w:val="24"/>
              </w:rPr>
              <w:t>Duration of treatment</w:t>
            </w:r>
          </w:p>
          <w:p w14:paraId="6FFAAB95" w14:textId="77777777" w:rsidR="00E82FF8" w:rsidRDefault="00E82FF8" w:rsidP="00E82FF8">
            <w:pPr>
              <w:numPr>
                <w:ilvl w:val="0"/>
                <w:numId w:val="27"/>
              </w:numPr>
              <w:spacing w:after="50"/>
              <w:rPr>
                <w:rFonts w:eastAsia="Arial" w:cs="Arial"/>
                <w:szCs w:val="24"/>
              </w:rPr>
            </w:pPr>
            <w:r w:rsidRPr="00373E49">
              <w:rPr>
                <w:rFonts w:eastAsia="Arial" w:cs="Arial"/>
                <w:szCs w:val="24"/>
              </w:rPr>
              <w:t>Frequency of review.</w:t>
            </w:r>
          </w:p>
          <w:p w14:paraId="7537701A" w14:textId="4C4436E4" w:rsidR="00E82FF8" w:rsidRPr="00E82FF8" w:rsidRDefault="00E82FF8" w:rsidP="00E82FF8">
            <w:pPr>
              <w:numPr>
                <w:ilvl w:val="0"/>
                <w:numId w:val="27"/>
              </w:numPr>
              <w:spacing w:after="50"/>
              <w:rPr>
                <w:rFonts w:eastAsia="Arial" w:cs="Arial"/>
                <w:szCs w:val="24"/>
              </w:rPr>
            </w:pPr>
            <w:r w:rsidRPr="00E82FF8">
              <w:rPr>
                <w:rFonts w:eastAsia="Times New Roman"/>
              </w:rPr>
              <w:t>Specific features of adverse effects or deterioration pertinent to the specific indication for which it is used</w:t>
            </w:r>
          </w:p>
        </w:tc>
      </w:tr>
      <w:tr w:rsidR="00055685" w:rsidRPr="00004070" w14:paraId="6AC5F0BC" w14:textId="77777777" w:rsidTr="1E7986F2">
        <w:trPr>
          <w:jc w:val="center"/>
        </w:trPr>
        <w:tc>
          <w:tcPr>
            <w:tcW w:w="10455" w:type="dxa"/>
            <w:gridSpan w:val="3"/>
            <w:tcBorders>
              <w:bottom w:val="nil"/>
            </w:tcBorders>
            <w:shd w:val="clear" w:color="auto" w:fill="F2F2F2" w:themeFill="background1" w:themeFillShade="F2"/>
          </w:tcPr>
          <w:p w14:paraId="09AB2071" w14:textId="5380C4B8" w:rsidR="00055685" w:rsidRPr="00004070" w:rsidRDefault="00055685" w:rsidP="00595041">
            <w:pPr>
              <w:pStyle w:val="Heading1"/>
              <w:tabs>
                <w:tab w:val="right" w:pos="10240"/>
              </w:tabs>
              <w:rPr>
                <w:rFonts w:cs="Arial"/>
                <w:lang w:eastAsia="en-GB"/>
              </w:rPr>
            </w:pPr>
            <w:bookmarkStart w:id="6" w:name="Four_cx_and_cautions"/>
            <w:r w:rsidRPr="00004070">
              <w:rPr>
                <w:rFonts w:cs="Arial"/>
                <w:lang w:eastAsia="en-GB"/>
              </w:rPr>
              <w:t>Contraindications and cautions</w:t>
            </w:r>
            <w:r w:rsidRPr="00004070">
              <w:tab/>
            </w:r>
            <w:hyperlink w:anchor="Responsibilities">
              <w:r w:rsidRPr="00004070">
                <w:rPr>
                  <w:rStyle w:val="Hyperlink"/>
                  <w:rFonts w:eastAsia="Times New Roman" w:cs="Arial"/>
                  <w:b w:val="0"/>
                  <w:bCs w:val="0"/>
                  <w:sz w:val="24"/>
                  <w:szCs w:val="24"/>
                  <w:lang w:eastAsia="en-GB"/>
                </w:rPr>
                <w:t>Back to top</w:t>
              </w:r>
            </w:hyperlink>
            <w:bookmarkEnd w:id="6"/>
          </w:p>
          <w:p w14:paraId="3E3B5E17" w14:textId="0C37DF3F" w:rsidR="00055685" w:rsidRPr="00004070" w:rsidRDefault="00055685" w:rsidP="1AA777CE">
            <w:pPr>
              <w:spacing w:after="0"/>
              <w:rPr>
                <w:rFonts w:cs="Arial"/>
                <w:lang w:eastAsia="en-GB"/>
              </w:rPr>
            </w:pPr>
          </w:p>
          <w:p w14:paraId="7CBFF278" w14:textId="18438E90" w:rsidR="00055685" w:rsidRPr="00004070" w:rsidRDefault="1AA777CE" w:rsidP="1AA777CE">
            <w:pPr>
              <w:rPr>
                <w:rFonts w:eastAsia="Arial" w:cs="Arial"/>
                <w:szCs w:val="24"/>
              </w:rPr>
            </w:pPr>
            <w:r w:rsidRPr="00004070">
              <w:rPr>
                <w:rFonts w:eastAsia="Arial" w:cs="Arial"/>
                <w:color w:val="000000" w:themeColor="text1"/>
                <w:szCs w:val="24"/>
              </w:rPr>
              <w:t xml:space="preserve">This information does not replace the Summary of Product Characteristics (SPC), and should be read in conjunction with it. Please see </w:t>
            </w:r>
            <w:hyperlink r:id="rId42">
              <w:r w:rsidRPr="00004070">
                <w:rPr>
                  <w:rStyle w:val="Hyperlink"/>
                  <w:rFonts w:eastAsia="Arial" w:cs="Arial"/>
                  <w:szCs w:val="24"/>
                </w:rPr>
                <w:t>BNF</w:t>
              </w:r>
            </w:hyperlink>
            <w:r w:rsidRPr="00004070">
              <w:rPr>
                <w:rFonts w:eastAsia="Arial" w:cs="Arial"/>
                <w:color w:val="000000" w:themeColor="text1"/>
                <w:szCs w:val="24"/>
              </w:rPr>
              <w:t xml:space="preserve"> &amp; </w:t>
            </w:r>
            <w:hyperlink r:id="rId43">
              <w:r w:rsidRPr="00004070">
                <w:rPr>
                  <w:rStyle w:val="Hyperlink"/>
                  <w:rFonts w:eastAsia="Arial" w:cs="Arial"/>
                  <w:szCs w:val="24"/>
                </w:rPr>
                <w:t>SPC</w:t>
              </w:r>
            </w:hyperlink>
            <w:r w:rsidRPr="00004070">
              <w:rPr>
                <w:rFonts w:eastAsia="Arial" w:cs="Arial"/>
                <w:color w:val="000000" w:themeColor="text1"/>
                <w:szCs w:val="24"/>
              </w:rPr>
              <w:t xml:space="preserve">  for comprehensive information.</w:t>
            </w:r>
          </w:p>
        </w:tc>
      </w:tr>
      <w:tr w:rsidR="002D6DA8" w:rsidRPr="00004070" w14:paraId="15455F3C" w14:textId="77777777" w:rsidTr="1E7986F2">
        <w:trPr>
          <w:jc w:val="center"/>
        </w:trPr>
        <w:tc>
          <w:tcPr>
            <w:tcW w:w="10455" w:type="dxa"/>
            <w:gridSpan w:val="3"/>
            <w:tcBorders>
              <w:top w:val="nil"/>
              <w:bottom w:val="single" w:sz="4" w:space="0" w:color="auto"/>
            </w:tcBorders>
          </w:tcPr>
          <w:p w14:paraId="7794BC21" w14:textId="77777777" w:rsidR="00ED0997" w:rsidRPr="00004070" w:rsidRDefault="00ED0997" w:rsidP="002D2B0F">
            <w:pPr>
              <w:spacing w:afterLines="50" w:after="120"/>
              <w:rPr>
                <w:rFonts w:eastAsia="Arial" w:cs="Arial"/>
                <w:color w:val="000000" w:themeColor="text1"/>
                <w:szCs w:val="24"/>
              </w:rPr>
            </w:pPr>
            <w:r w:rsidRPr="00004070">
              <w:rPr>
                <w:rFonts w:eastAsia="Arial" w:cs="Arial"/>
                <w:b/>
                <w:bCs/>
                <w:color w:val="000000" w:themeColor="text1"/>
                <w:szCs w:val="24"/>
              </w:rPr>
              <w:t>Contraindications:</w:t>
            </w:r>
          </w:p>
          <w:p w14:paraId="200240F7" w14:textId="77777777" w:rsidR="00ED0997" w:rsidRPr="00004070" w:rsidRDefault="00ED0997" w:rsidP="002D2B0F">
            <w:pPr>
              <w:pStyle w:val="ListParagraph"/>
              <w:numPr>
                <w:ilvl w:val="0"/>
                <w:numId w:val="6"/>
              </w:numPr>
              <w:spacing w:afterLines="50" w:after="120"/>
              <w:rPr>
                <w:rFonts w:eastAsia="Arial" w:cs="Arial"/>
                <w:color w:val="000000" w:themeColor="text1"/>
                <w:szCs w:val="24"/>
              </w:rPr>
            </w:pPr>
            <w:r w:rsidRPr="00004070">
              <w:rPr>
                <w:rFonts w:eastAsia="Arial" w:cs="Arial"/>
                <w:color w:val="000000" w:themeColor="text1"/>
                <w:szCs w:val="24"/>
              </w:rPr>
              <w:lastRenderedPageBreak/>
              <w:t>Known hypersensitivity to the active substance or any excipients. Hypersensitivity to 6-mercaptopurine (6-MP) should alert the prescriber to probable hypersensitivity to azathioprine.</w:t>
            </w:r>
          </w:p>
          <w:p w14:paraId="11830AB1" w14:textId="77777777" w:rsidR="00ED0997" w:rsidRPr="00004070" w:rsidRDefault="00ED0997" w:rsidP="002D2B0F">
            <w:pPr>
              <w:pStyle w:val="ListParagraph"/>
              <w:numPr>
                <w:ilvl w:val="0"/>
                <w:numId w:val="6"/>
              </w:numPr>
              <w:spacing w:afterLines="50" w:after="120"/>
              <w:rPr>
                <w:rFonts w:eastAsia="Arial" w:cs="Arial"/>
                <w:szCs w:val="24"/>
              </w:rPr>
            </w:pPr>
            <w:r w:rsidRPr="00004070">
              <w:rPr>
                <w:rFonts w:eastAsia="Arial" w:cs="Arial"/>
                <w:color w:val="000000" w:themeColor="text1"/>
                <w:szCs w:val="24"/>
              </w:rPr>
              <w:t>Absent or very low thiopurine methyltransferase (TPMT) activity –</w:t>
            </w:r>
            <w:r w:rsidRPr="00004070">
              <w:rPr>
                <w:rFonts w:eastAsia="Arial" w:cs="Arial"/>
                <w:szCs w:val="24"/>
              </w:rPr>
              <w:t xml:space="preserve"> </w:t>
            </w:r>
            <w:r w:rsidRPr="00004070">
              <w:rPr>
                <w:rFonts w:eastAsia="Arial" w:cs="Arial"/>
                <w:color w:val="000000" w:themeColor="text1"/>
                <w:szCs w:val="24"/>
              </w:rPr>
              <w:t>risk of life-threatening pancytopenia.</w:t>
            </w:r>
            <w:r w:rsidRPr="00004070">
              <w:rPr>
                <w:rFonts w:eastAsia="Arial" w:cs="Arial"/>
                <w:szCs w:val="24"/>
              </w:rPr>
              <w:t xml:space="preserve"> </w:t>
            </w:r>
          </w:p>
          <w:p w14:paraId="7E8D5881" w14:textId="77777777" w:rsidR="00ED0997" w:rsidRPr="00004070" w:rsidRDefault="00ED0997" w:rsidP="002D2B0F">
            <w:pPr>
              <w:spacing w:afterLines="50" w:after="120"/>
              <w:rPr>
                <w:rFonts w:eastAsia="Arial" w:cs="Arial"/>
                <w:color w:val="000000" w:themeColor="text1"/>
                <w:szCs w:val="24"/>
              </w:rPr>
            </w:pPr>
            <w:r w:rsidRPr="00004070">
              <w:rPr>
                <w:rFonts w:eastAsia="Arial" w:cs="Arial"/>
                <w:b/>
                <w:bCs/>
                <w:color w:val="000000" w:themeColor="text1"/>
                <w:szCs w:val="24"/>
              </w:rPr>
              <w:t>Cautions:</w:t>
            </w:r>
          </w:p>
          <w:p w14:paraId="0F8958C2" w14:textId="77777777" w:rsidR="00ED0997" w:rsidRPr="00004070" w:rsidRDefault="00ED0997" w:rsidP="002D2B0F">
            <w:pPr>
              <w:pStyle w:val="ListParagraph"/>
              <w:numPr>
                <w:ilvl w:val="0"/>
                <w:numId w:val="6"/>
              </w:numPr>
              <w:spacing w:afterLines="50" w:after="120"/>
              <w:rPr>
                <w:rFonts w:eastAsia="Arial" w:cs="Arial"/>
                <w:color w:val="000000" w:themeColor="text1"/>
                <w:szCs w:val="24"/>
              </w:rPr>
            </w:pPr>
            <w:r w:rsidRPr="00004070">
              <w:rPr>
                <w:rFonts w:eastAsia="Arial" w:cs="Arial"/>
                <w:color w:val="000000" w:themeColor="text1"/>
                <w:szCs w:val="24"/>
              </w:rPr>
              <w:t xml:space="preserve">Live vaccines (e.g. oral polio, oral typhoid, MMR, BCG, yellow fever): should be avoided in patients taking azathioprine at a dose greater than 3 mg/kg/day, or mercaptopurine greater than 1.5 mg/kg/day. Please refer to the </w:t>
            </w:r>
            <w:hyperlink r:id="rId44">
              <w:r w:rsidRPr="00004070">
                <w:rPr>
                  <w:rStyle w:val="Hyperlink"/>
                  <w:rFonts w:eastAsia="Arial" w:cs="Arial"/>
                  <w:szCs w:val="24"/>
                </w:rPr>
                <w:t>Green Book Chapter 6</w:t>
              </w:r>
            </w:hyperlink>
            <w:r w:rsidRPr="00004070">
              <w:rPr>
                <w:rFonts w:eastAsia="Arial" w:cs="Arial"/>
                <w:color w:val="000000" w:themeColor="text1"/>
                <w:szCs w:val="24"/>
              </w:rPr>
              <w:t xml:space="preserve"> for current advice regarding the use of live vaccines in patients taking immune modulators. Contact the specialist if further guidance is required. </w:t>
            </w:r>
          </w:p>
          <w:p w14:paraId="231EC2C0" w14:textId="77777777" w:rsidR="00ED0997" w:rsidRPr="00004070" w:rsidRDefault="00ED0997" w:rsidP="002D2B0F">
            <w:pPr>
              <w:pStyle w:val="ListParagraph"/>
              <w:numPr>
                <w:ilvl w:val="0"/>
                <w:numId w:val="6"/>
              </w:numPr>
              <w:spacing w:afterLines="50" w:after="120"/>
              <w:rPr>
                <w:rFonts w:eastAsia="Arial" w:cs="Arial"/>
                <w:szCs w:val="24"/>
              </w:rPr>
            </w:pPr>
            <w:r w:rsidRPr="00004070">
              <w:rPr>
                <w:rFonts w:eastAsia="Arial" w:cs="Arial"/>
                <w:szCs w:val="24"/>
              </w:rPr>
              <w:t>Patients with active/history of pancreatitis.</w:t>
            </w:r>
          </w:p>
          <w:p w14:paraId="6E220308" w14:textId="77777777" w:rsidR="00ED0997" w:rsidRPr="00004070" w:rsidRDefault="00ED0997" w:rsidP="002D2B0F">
            <w:pPr>
              <w:pStyle w:val="ListParagraph"/>
              <w:numPr>
                <w:ilvl w:val="0"/>
                <w:numId w:val="6"/>
              </w:numPr>
              <w:spacing w:afterLines="50" w:after="120"/>
              <w:rPr>
                <w:rFonts w:eastAsia="Arial" w:cs="Arial"/>
                <w:szCs w:val="24"/>
              </w:rPr>
            </w:pPr>
            <w:r w:rsidRPr="00004070">
              <w:rPr>
                <w:rFonts w:eastAsia="Arial" w:cs="Arial"/>
                <w:szCs w:val="24"/>
              </w:rPr>
              <w:t xml:space="preserve">Concomitant prescribing of allopurinol: A 75% dose reduction of azathioprine/mercaptopurine is required, see </w:t>
            </w:r>
            <w:hyperlink r:id="rId45">
              <w:r w:rsidRPr="00004070">
                <w:rPr>
                  <w:rStyle w:val="Hyperlink"/>
                  <w:rFonts w:eastAsia="Arial" w:cs="Arial"/>
                  <w:szCs w:val="24"/>
                </w:rPr>
                <w:t>section 7</w:t>
              </w:r>
            </w:hyperlink>
            <w:r w:rsidRPr="00004070">
              <w:rPr>
                <w:rFonts w:eastAsia="Arial" w:cs="Arial"/>
                <w:szCs w:val="24"/>
              </w:rPr>
              <w:t>.</w:t>
            </w:r>
          </w:p>
          <w:p w14:paraId="29DB4E75" w14:textId="77777777" w:rsidR="00ED0997" w:rsidRPr="00004070" w:rsidRDefault="00ED0997" w:rsidP="002D2B0F">
            <w:pPr>
              <w:pStyle w:val="ListParagraph"/>
              <w:numPr>
                <w:ilvl w:val="0"/>
                <w:numId w:val="6"/>
              </w:numPr>
              <w:spacing w:afterLines="50" w:after="120"/>
              <w:rPr>
                <w:rFonts w:eastAsia="Arial" w:cs="Arial"/>
                <w:szCs w:val="24"/>
              </w:rPr>
            </w:pPr>
            <w:r w:rsidRPr="00004070">
              <w:rPr>
                <w:rFonts w:eastAsia="Arial" w:cs="Arial"/>
                <w:szCs w:val="24"/>
              </w:rPr>
              <w:t>Patients receiving azathioprine or mercaptopurine are at an increased risk of developing lymphoproliferative disorders and other malignancies, notably skin cancers, sarcomas and uterine cervical cancer in situ. Exposure to sunlight and UV light should be limited and patients should wear protective clothing and use a sunscreen with a high protection factor to minimize the risk of skin cancer and photosensitivity</w:t>
            </w:r>
          </w:p>
          <w:p w14:paraId="5D5D9E6B" w14:textId="77777777" w:rsidR="00ED0997" w:rsidRPr="00004070" w:rsidRDefault="00ED0997" w:rsidP="002D2B0F">
            <w:pPr>
              <w:pStyle w:val="ListParagraph"/>
              <w:numPr>
                <w:ilvl w:val="0"/>
                <w:numId w:val="6"/>
              </w:numPr>
              <w:spacing w:afterLines="50" w:after="120"/>
              <w:rPr>
                <w:rFonts w:eastAsia="Arial" w:cs="Arial"/>
                <w:szCs w:val="24"/>
              </w:rPr>
            </w:pPr>
            <w:r w:rsidRPr="00004070">
              <w:rPr>
                <w:rFonts w:eastAsia="Arial" w:cs="Arial"/>
                <w:szCs w:val="24"/>
              </w:rPr>
              <w:t xml:space="preserve">Patients with low thiopurine methyltransferase (TPMT) activity are at increased risk of myelosuppression. Substantial dose reduction is generally required. </w:t>
            </w:r>
          </w:p>
          <w:p w14:paraId="6B934663" w14:textId="77777777" w:rsidR="00ED0997" w:rsidRPr="00004070" w:rsidRDefault="00ED0997" w:rsidP="002D2B0F">
            <w:pPr>
              <w:pStyle w:val="ListParagraph"/>
              <w:numPr>
                <w:ilvl w:val="0"/>
                <w:numId w:val="6"/>
              </w:numPr>
              <w:spacing w:afterLines="50" w:after="120"/>
              <w:rPr>
                <w:rFonts w:eastAsia="Arial" w:cs="Arial"/>
                <w:color w:val="000000" w:themeColor="text1"/>
                <w:szCs w:val="24"/>
              </w:rPr>
            </w:pPr>
            <w:r w:rsidRPr="00004070">
              <w:rPr>
                <w:rFonts w:eastAsia="Arial" w:cs="Arial"/>
                <w:color w:val="000000" w:themeColor="text1"/>
                <w:szCs w:val="24"/>
              </w:rPr>
              <w:t>Severe infection.</w:t>
            </w:r>
          </w:p>
          <w:p w14:paraId="0C0023CD" w14:textId="77777777" w:rsidR="00ED0997" w:rsidRPr="00004070" w:rsidRDefault="00ED0997" w:rsidP="002D2B0F">
            <w:pPr>
              <w:pStyle w:val="ListParagraph"/>
              <w:numPr>
                <w:ilvl w:val="0"/>
                <w:numId w:val="6"/>
              </w:numPr>
              <w:spacing w:afterLines="50" w:after="120"/>
              <w:rPr>
                <w:rFonts w:eastAsia="Arial" w:cs="Arial"/>
                <w:color w:val="000000" w:themeColor="text1"/>
                <w:szCs w:val="24"/>
              </w:rPr>
            </w:pPr>
            <w:r w:rsidRPr="00004070">
              <w:rPr>
                <w:rFonts w:eastAsia="Arial" w:cs="Arial"/>
                <w:color w:val="000000" w:themeColor="text1"/>
                <w:szCs w:val="24"/>
              </w:rPr>
              <w:t>Severely impaired hepatic or bone marrow function.</w:t>
            </w:r>
          </w:p>
          <w:p w14:paraId="7C6A2F3C" w14:textId="77777777" w:rsidR="00ED0997" w:rsidRPr="00004070" w:rsidRDefault="00ED0997" w:rsidP="002D2B0F">
            <w:pPr>
              <w:pStyle w:val="ListParagraph"/>
              <w:numPr>
                <w:ilvl w:val="0"/>
                <w:numId w:val="6"/>
              </w:numPr>
              <w:spacing w:afterLines="50" w:after="120"/>
              <w:rPr>
                <w:rFonts w:eastAsia="Arial" w:cs="Arial"/>
                <w:color w:val="000000" w:themeColor="text1"/>
                <w:szCs w:val="24"/>
              </w:rPr>
            </w:pPr>
            <w:r w:rsidRPr="00004070">
              <w:rPr>
                <w:rFonts w:eastAsia="Arial" w:cs="Arial"/>
                <w:color w:val="000000" w:themeColor="text1"/>
                <w:szCs w:val="24"/>
              </w:rPr>
              <w:t xml:space="preserve">Pregnancy and breastfeeding (see </w:t>
            </w:r>
            <w:hyperlink r:id="rId46">
              <w:r w:rsidRPr="00004070">
                <w:rPr>
                  <w:rStyle w:val="Hyperlink"/>
                  <w:rFonts w:eastAsia="Arial" w:cs="Arial"/>
                  <w:szCs w:val="24"/>
                </w:rPr>
                <w:t>section 12</w:t>
              </w:r>
            </w:hyperlink>
            <w:r w:rsidRPr="00004070">
              <w:rPr>
                <w:rFonts w:eastAsia="Arial" w:cs="Arial"/>
                <w:color w:val="000000" w:themeColor="text1"/>
                <w:szCs w:val="24"/>
              </w:rPr>
              <w:t>).</w:t>
            </w:r>
          </w:p>
          <w:p w14:paraId="4649E7FD" w14:textId="77777777" w:rsidR="00ED0997" w:rsidRPr="00004070" w:rsidRDefault="00ED0997" w:rsidP="002D2B0F">
            <w:pPr>
              <w:spacing w:afterLines="50" w:after="120"/>
              <w:rPr>
                <w:rFonts w:eastAsia="Arial" w:cs="Arial"/>
                <w:color w:val="000000" w:themeColor="text1"/>
                <w:szCs w:val="24"/>
              </w:rPr>
            </w:pPr>
            <w:r w:rsidRPr="00004070">
              <w:rPr>
                <w:rFonts w:eastAsia="Arial" w:cs="Arial"/>
                <w:color w:val="000000" w:themeColor="text1"/>
                <w:szCs w:val="24"/>
              </w:rPr>
              <w:t xml:space="preserve">Treatment may need to be monitored more frequently in the following: </w:t>
            </w:r>
          </w:p>
          <w:p w14:paraId="1C55B7E5" w14:textId="77777777" w:rsidR="00ED0997" w:rsidRPr="00004070" w:rsidRDefault="00ED0997" w:rsidP="002D2B0F">
            <w:pPr>
              <w:pStyle w:val="ListParagraph"/>
              <w:numPr>
                <w:ilvl w:val="0"/>
                <w:numId w:val="16"/>
              </w:numPr>
              <w:spacing w:afterLines="50" w:after="120"/>
              <w:rPr>
                <w:rFonts w:eastAsia="Arial" w:cs="Arial"/>
                <w:color w:val="000000" w:themeColor="text1"/>
                <w:szCs w:val="24"/>
              </w:rPr>
            </w:pPr>
            <w:r w:rsidRPr="00004070">
              <w:rPr>
                <w:rFonts w:eastAsia="Arial" w:cs="Arial"/>
                <w:color w:val="000000" w:themeColor="text1"/>
                <w:szCs w:val="24"/>
              </w:rPr>
              <w:t>Elderly patients</w:t>
            </w:r>
          </w:p>
          <w:p w14:paraId="1F7C7DA5" w14:textId="77777777" w:rsidR="00ED0997" w:rsidRPr="00004070" w:rsidRDefault="00ED0997" w:rsidP="002D2B0F">
            <w:pPr>
              <w:pStyle w:val="ListParagraph"/>
              <w:numPr>
                <w:ilvl w:val="0"/>
                <w:numId w:val="16"/>
              </w:numPr>
              <w:spacing w:afterLines="50" w:after="120"/>
              <w:rPr>
                <w:rFonts w:eastAsia="Arial" w:cs="Arial"/>
                <w:color w:val="000000" w:themeColor="text1"/>
                <w:szCs w:val="24"/>
              </w:rPr>
            </w:pPr>
            <w:r w:rsidRPr="00004070">
              <w:rPr>
                <w:rFonts w:eastAsia="Arial" w:cs="Arial"/>
                <w:color w:val="000000" w:themeColor="text1"/>
                <w:szCs w:val="24"/>
              </w:rPr>
              <w:t>Impaired renal function</w:t>
            </w:r>
          </w:p>
          <w:p w14:paraId="05ECF84A" w14:textId="77777777" w:rsidR="00ED0997" w:rsidRPr="00004070" w:rsidRDefault="00ED0997" w:rsidP="002D2B0F">
            <w:pPr>
              <w:pStyle w:val="ListParagraph"/>
              <w:numPr>
                <w:ilvl w:val="0"/>
                <w:numId w:val="16"/>
              </w:numPr>
              <w:spacing w:afterLines="50" w:after="120"/>
              <w:rPr>
                <w:rFonts w:eastAsia="Arial" w:cs="Arial"/>
                <w:color w:val="000000" w:themeColor="text1"/>
                <w:szCs w:val="24"/>
              </w:rPr>
            </w:pPr>
            <w:r w:rsidRPr="00004070">
              <w:rPr>
                <w:rFonts w:eastAsia="Arial" w:cs="Arial"/>
                <w:color w:val="000000" w:themeColor="text1"/>
                <w:szCs w:val="24"/>
              </w:rPr>
              <w:t xml:space="preserve">Mild/moderately impaired hepatic function </w:t>
            </w:r>
          </w:p>
          <w:p w14:paraId="42E98FFB" w14:textId="6EFDDE16" w:rsidR="001B096D" w:rsidRPr="00004070" w:rsidRDefault="00ED0997" w:rsidP="002D2B0F">
            <w:pPr>
              <w:pStyle w:val="ListParagraph"/>
              <w:numPr>
                <w:ilvl w:val="0"/>
                <w:numId w:val="16"/>
              </w:numPr>
              <w:autoSpaceDE w:val="0"/>
              <w:autoSpaceDN w:val="0"/>
              <w:adjustRightInd w:val="0"/>
              <w:spacing w:afterLines="50" w:after="120"/>
              <w:rPr>
                <w:rFonts w:eastAsia="Times New Roman" w:cs="Arial"/>
                <w:iCs/>
              </w:rPr>
            </w:pPr>
            <w:r w:rsidRPr="00004070">
              <w:rPr>
                <w:rFonts w:eastAsia="Arial" w:cs="Arial"/>
                <w:color w:val="000000" w:themeColor="text1"/>
                <w:szCs w:val="24"/>
              </w:rPr>
              <w:lastRenderedPageBreak/>
              <w:t>Mild/moderately impaired bone marrow function</w:t>
            </w:r>
          </w:p>
        </w:tc>
      </w:tr>
      <w:tr w:rsidR="00055685" w:rsidRPr="00004070" w14:paraId="36F2D6DF" w14:textId="77777777" w:rsidTr="1E7986F2">
        <w:trPr>
          <w:jc w:val="center"/>
        </w:trPr>
        <w:tc>
          <w:tcPr>
            <w:tcW w:w="10455" w:type="dxa"/>
            <w:gridSpan w:val="3"/>
            <w:tcBorders>
              <w:bottom w:val="nil"/>
            </w:tcBorders>
            <w:shd w:val="clear" w:color="auto" w:fill="F2F2F2" w:themeFill="background1" w:themeFillShade="F2"/>
          </w:tcPr>
          <w:p w14:paraId="3A956B78" w14:textId="2E5A4A81" w:rsidR="00055685" w:rsidRPr="00004070" w:rsidRDefault="00055685" w:rsidP="00DE19AD">
            <w:pPr>
              <w:pStyle w:val="Heading1"/>
              <w:tabs>
                <w:tab w:val="right" w:pos="10240"/>
              </w:tabs>
              <w:rPr>
                <w:rFonts w:cs="Arial"/>
                <w:lang w:eastAsia="en-GB"/>
              </w:rPr>
            </w:pPr>
            <w:bookmarkStart w:id="7" w:name="_Initiation_and_ongoing"/>
            <w:bookmarkStart w:id="8" w:name="Five_dosing"/>
            <w:bookmarkEnd w:id="7"/>
            <w:r w:rsidRPr="00004070">
              <w:rPr>
                <w:rFonts w:cs="Arial"/>
                <w:lang w:eastAsia="en-GB"/>
              </w:rPr>
              <w:lastRenderedPageBreak/>
              <w:t>Initiation and ongoing dose regime</w:t>
            </w:r>
            <w:r w:rsidR="00364CD9" w:rsidRPr="00004070">
              <w:rPr>
                <w:rFonts w:cs="Arial"/>
                <w:lang w:eastAsia="en-GB"/>
              </w:rPr>
              <w:t>n</w:t>
            </w:r>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bookmarkEnd w:id="8"/>
          <w:p w14:paraId="47424437" w14:textId="1AC3F3D8" w:rsidR="0032558C" w:rsidRPr="00004070" w:rsidRDefault="0032558C" w:rsidP="002D2B0F">
            <w:pPr>
              <w:pStyle w:val="ListParagraph"/>
              <w:numPr>
                <w:ilvl w:val="0"/>
                <w:numId w:val="10"/>
              </w:numPr>
              <w:ind w:left="357" w:hanging="357"/>
              <w:rPr>
                <w:rFonts w:eastAsia="Times New Roman" w:cs="Arial"/>
                <w:lang w:eastAsia="en-GB"/>
              </w:rPr>
            </w:pPr>
            <w:r w:rsidRPr="00004070">
              <w:rPr>
                <w:rFonts w:eastAsia="Times New Roman" w:cs="Arial"/>
                <w:lang w:eastAsia="en-GB"/>
              </w:rPr>
              <w:t xml:space="preserve">Transfer of monitoring and prescribing to primary care is after </w:t>
            </w:r>
            <w:r w:rsidRPr="00004070">
              <w:rPr>
                <w:rFonts w:eastAsia="Times New Roman" w:cs="Arial"/>
                <w:szCs w:val="24"/>
                <w:lang w:eastAsia="en-GB"/>
              </w:rPr>
              <w:t xml:space="preserve">at least 12 weeks, and when </w:t>
            </w:r>
            <w:r w:rsidRPr="00004070">
              <w:rPr>
                <w:rFonts w:eastAsia="Times New Roman" w:cs="Arial"/>
                <w:lang w:eastAsia="en-GB"/>
              </w:rPr>
              <w:t>the patient’s dose has been optimised and with satisfactory investigation results for at least 4 weeks</w:t>
            </w:r>
            <w:r w:rsidR="00256BBF" w:rsidRPr="00004070">
              <w:rPr>
                <w:rFonts w:eastAsia="Times New Roman" w:cs="Arial"/>
                <w:lang w:eastAsia="en-GB"/>
              </w:rPr>
              <w:t>.</w:t>
            </w:r>
          </w:p>
          <w:p w14:paraId="2C925FC2" w14:textId="77777777" w:rsidR="00055685" w:rsidRPr="00004070" w:rsidRDefault="00055685" w:rsidP="002D2B0F">
            <w:pPr>
              <w:pStyle w:val="ListParagraph"/>
              <w:numPr>
                <w:ilvl w:val="0"/>
                <w:numId w:val="5"/>
              </w:numPr>
              <w:ind w:left="357" w:hanging="357"/>
              <w:rPr>
                <w:rFonts w:eastAsia="Times New Roman" w:cs="Arial"/>
                <w:szCs w:val="24"/>
                <w:lang w:eastAsia="en-GB"/>
              </w:rPr>
            </w:pPr>
            <w:r w:rsidRPr="00004070">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004070" w:rsidRDefault="00055685" w:rsidP="002D2B0F">
            <w:pPr>
              <w:pStyle w:val="ListParagraph"/>
              <w:numPr>
                <w:ilvl w:val="0"/>
                <w:numId w:val="5"/>
              </w:numPr>
              <w:ind w:left="357" w:hanging="357"/>
              <w:rPr>
                <w:rFonts w:eastAsia="Times New Roman" w:cs="Arial"/>
                <w:szCs w:val="24"/>
                <w:lang w:eastAsia="en-GB"/>
              </w:rPr>
            </w:pPr>
            <w:r w:rsidRPr="00004070">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004070">
              <w:rPr>
                <w:rFonts w:eastAsia="Times New Roman" w:cs="Arial"/>
                <w:szCs w:val="24"/>
                <w:lang w:eastAsia="en-GB"/>
              </w:rPr>
              <w:t>.</w:t>
            </w:r>
          </w:p>
          <w:p w14:paraId="3F3031CA" w14:textId="1F29AD9B" w:rsidR="00055685" w:rsidRPr="00004070" w:rsidRDefault="00055685" w:rsidP="002D2B0F">
            <w:pPr>
              <w:pStyle w:val="ListParagraph"/>
              <w:numPr>
                <w:ilvl w:val="0"/>
                <w:numId w:val="5"/>
              </w:numPr>
              <w:spacing w:after="120"/>
              <w:rPr>
                <w:rFonts w:eastAsia="Times New Roman" w:cs="Arial"/>
                <w:iCs/>
                <w:color w:val="000000"/>
              </w:rPr>
            </w:pPr>
            <w:r w:rsidRPr="00004070">
              <w:rPr>
                <w:rFonts w:eastAsia="Times New Roman" w:cs="Arial"/>
                <w:szCs w:val="24"/>
                <w:lang w:eastAsia="en-GB"/>
              </w:rPr>
              <w:t>Termination of treatment will be</w:t>
            </w:r>
            <w:r w:rsidRPr="00004070">
              <w:rPr>
                <w:rFonts w:eastAsia="Times New Roman" w:cs="Arial"/>
                <w:b/>
                <w:szCs w:val="24"/>
                <w:lang w:eastAsia="en-GB"/>
              </w:rPr>
              <w:t xml:space="preserve"> </w:t>
            </w:r>
            <w:r w:rsidRPr="00004070">
              <w:rPr>
                <w:rFonts w:eastAsia="Times New Roman" w:cs="Arial"/>
                <w:szCs w:val="24"/>
                <w:lang w:eastAsia="en-GB"/>
              </w:rPr>
              <w:t>the responsibility of the specialist.</w:t>
            </w:r>
          </w:p>
        </w:tc>
      </w:tr>
      <w:tr w:rsidR="00055685" w:rsidRPr="00004070" w14:paraId="05FF7F42" w14:textId="77777777" w:rsidTr="1E7986F2">
        <w:trPr>
          <w:jc w:val="center"/>
        </w:trPr>
        <w:tc>
          <w:tcPr>
            <w:tcW w:w="10455" w:type="dxa"/>
            <w:gridSpan w:val="3"/>
            <w:tcBorders>
              <w:top w:val="nil"/>
            </w:tcBorders>
          </w:tcPr>
          <w:p w14:paraId="4DE058AA" w14:textId="77777777" w:rsidR="00ED0997" w:rsidRPr="00004070" w:rsidRDefault="00ED0997" w:rsidP="009D16B5">
            <w:pPr>
              <w:spacing w:before="60" w:after="50"/>
              <w:rPr>
                <w:rFonts w:eastAsia="Arial" w:cs="Arial"/>
                <w:color w:val="000000" w:themeColor="text1"/>
                <w:szCs w:val="24"/>
              </w:rPr>
            </w:pPr>
            <w:r w:rsidRPr="00004070">
              <w:rPr>
                <w:rFonts w:eastAsia="Arial" w:cs="Arial"/>
                <w:color w:val="000000" w:themeColor="text1"/>
                <w:szCs w:val="24"/>
              </w:rPr>
              <w:t xml:space="preserve">There is a wide dose range depending on the indication. The selected dose will be tailored to the individual patient and decided by the specialist. </w:t>
            </w:r>
          </w:p>
          <w:p w14:paraId="32B65065" w14:textId="77777777" w:rsidR="00ED0997" w:rsidRPr="00004070" w:rsidRDefault="00ED0997" w:rsidP="009D16B5">
            <w:pPr>
              <w:spacing w:before="60" w:after="50"/>
              <w:rPr>
                <w:rFonts w:eastAsia="Arial" w:cs="Arial"/>
                <w:szCs w:val="24"/>
              </w:rPr>
            </w:pPr>
            <w:r w:rsidRPr="00004070">
              <w:rPr>
                <w:rFonts w:eastAsia="Arial" w:cs="Arial"/>
                <w:b/>
                <w:bCs/>
                <w:color w:val="000000" w:themeColor="text1"/>
                <w:szCs w:val="24"/>
              </w:rPr>
              <w:t>The initial stabilisation period</w:t>
            </w:r>
            <w:r w:rsidRPr="00004070">
              <w:rPr>
                <w:rFonts w:eastAsia="Arial" w:cs="Arial"/>
                <w:color w:val="000000" w:themeColor="text1"/>
                <w:szCs w:val="24"/>
              </w:rPr>
              <w:t xml:space="preserve"> </w:t>
            </w:r>
            <w:r w:rsidRPr="00004070">
              <w:rPr>
                <w:rFonts w:eastAsia="Arial" w:cs="Arial"/>
                <w:b/>
                <w:bCs/>
                <w:szCs w:val="24"/>
              </w:rPr>
              <w:t>must be prescribed by the initiating specialist.</w:t>
            </w:r>
          </w:p>
          <w:p w14:paraId="1736F5FB" w14:textId="77777777" w:rsidR="00ED0997" w:rsidRPr="00004070" w:rsidRDefault="00ED0997" w:rsidP="009D16B5">
            <w:pPr>
              <w:spacing w:before="60" w:after="50"/>
              <w:rPr>
                <w:rFonts w:eastAsia="Arial" w:cs="Arial"/>
                <w:szCs w:val="24"/>
              </w:rPr>
            </w:pPr>
            <w:r w:rsidRPr="00004070">
              <w:rPr>
                <w:rFonts w:eastAsia="Arial" w:cs="Arial"/>
                <w:szCs w:val="24"/>
              </w:rPr>
              <w:t xml:space="preserve">Transfer of monitoring and prescribing to primary care is </w:t>
            </w:r>
            <w:r w:rsidRPr="006A1118">
              <w:rPr>
                <w:rFonts w:eastAsia="Arial" w:cs="Arial"/>
                <w:szCs w:val="24"/>
              </w:rPr>
              <w:t>usually</w:t>
            </w:r>
            <w:r w:rsidRPr="00004070">
              <w:rPr>
                <w:rFonts w:eastAsia="Arial" w:cs="Arial"/>
                <w:szCs w:val="24"/>
              </w:rPr>
              <w:t xml:space="preserve"> after 3 months. The duration of treatment will be determined by the specialist based on clinical response and tolerability.</w:t>
            </w:r>
          </w:p>
          <w:p w14:paraId="32875602" w14:textId="77777777" w:rsidR="00ED0997" w:rsidRPr="00004070" w:rsidRDefault="00ED0997" w:rsidP="009D16B5">
            <w:pPr>
              <w:spacing w:before="60" w:after="50"/>
              <w:rPr>
                <w:rFonts w:eastAsia="Arial" w:cs="Arial"/>
                <w:szCs w:val="24"/>
              </w:rPr>
            </w:pPr>
          </w:p>
          <w:p w14:paraId="0CFB4A92" w14:textId="77777777" w:rsidR="00ED0997" w:rsidRPr="00004070" w:rsidRDefault="00ED0997" w:rsidP="009D16B5">
            <w:pPr>
              <w:spacing w:before="60" w:after="50"/>
              <w:rPr>
                <w:rFonts w:eastAsia="Arial" w:cs="Arial"/>
                <w:color w:val="000000" w:themeColor="text1"/>
                <w:szCs w:val="24"/>
              </w:rPr>
            </w:pPr>
            <w:r w:rsidRPr="00004070">
              <w:rPr>
                <w:rFonts w:eastAsia="Arial" w:cs="Arial"/>
                <w:b/>
                <w:bCs/>
                <w:color w:val="000000" w:themeColor="text1"/>
                <w:szCs w:val="24"/>
                <w:u w:val="single"/>
              </w:rPr>
              <w:t>Maintenance dose (following initial stabilisation):</w:t>
            </w:r>
          </w:p>
          <w:p w14:paraId="1F686D3A" w14:textId="77777777" w:rsidR="00ED0997" w:rsidRPr="00004070" w:rsidRDefault="00ED0997" w:rsidP="009D16B5">
            <w:pPr>
              <w:spacing w:before="60" w:after="50"/>
              <w:rPr>
                <w:rFonts w:eastAsia="Arial" w:cs="Arial"/>
                <w:szCs w:val="24"/>
              </w:rPr>
            </w:pPr>
            <w:r w:rsidRPr="00004070">
              <w:rPr>
                <w:rFonts w:eastAsia="Arial" w:cs="Arial"/>
                <w:szCs w:val="24"/>
              </w:rPr>
              <w:t>Usual dose range</w:t>
            </w:r>
            <w:r w:rsidRPr="00004070">
              <w:rPr>
                <w:rFonts w:eastAsia="Arial" w:cs="Arial"/>
                <w:b/>
                <w:bCs/>
                <w:szCs w:val="24"/>
              </w:rPr>
              <w:t xml:space="preserve">: </w:t>
            </w:r>
          </w:p>
          <w:p w14:paraId="043307AA" w14:textId="77777777" w:rsidR="00ED0997" w:rsidRPr="00004070" w:rsidRDefault="00ED0997" w:rsidP="009D16B5">
            <w:pPr>
              <w:pStyle w:val="ListParagraph"/>
              <w:numPr>
                <w:ilvl w:val="0"/>
                <w:numId w:val="17"/>
              </w:numPr>
              <w:spacing w:before="60"/>
              <w:rPr>
                <w:rFonts w:eastAsia="Arial" w:cs="Arial"/>
                <w:b/>
                <w:bCs/>
                <w:szCs w:val="24"/>
              </w:rPr>
            </w:pPr>
            <w:r w:rsidRPr="00004070">
              <w:rPr>
                <w:rFonts w:eastAsia="Arial" w:cs="Arial"/>
                <w:b/>
                <w:bCs/>
                <w:szCs w:val="24"/>
              </w:rPr>
              <w:t>Azathioprine: 0.5–3 mg/kg daily</w:t>
            </w:r>
            <w:r w:rsidRPr="00004070">
              <w:rPr>
                <w:rFonts w:eastAsia="Arial" w:cs="Arial"/>
                <w:szCs w:val="24"/>
              </w:rPr>
              <w:t xml:space="preserve">, adjusted according to response. </w:t>
            </w:r>
          </w:p>
          <w:p w14:paraId="34B9C413" w14:textId="77777777" w:rsidR="00ED0997" w:rsidRPr="00004070" w:rsidRDefault="00ED0997" w:rsidP="009D16B5">
            <w:pPr>
              <w:pStyle w:val="ListParagraph"/>
              <w:numPr>
                <w:ilvl w:val="0"/>
                <w:numId w:val="17"/>
              </w:numPr>
              <w:spacing w:before="60"/>
              <w:rPr>
                <w:rFonts w:eastAsia="Arial" w:cs="Arial"/>
                <w:b/>
                <w:bCs/>
                <w:szCs w:val="24"/>
              </w:rPr>
            </w:pPr>
            <w:r w:rsidRPr="00004070">
              <w:rPr>
                <w:rFonts w:eastAsia="Arial" w:cs="Arial"/>
                <w:b/>
                <w:bCs/>
                <w:szCs w:val="24"/>
              </w:rPr>
              <w:t>Mercaptopurine: 1-1.5mg/kg daily,</w:t>
            </w:r>
            <w:r w:rsidRPr="00004070">
              <w:rPr>
                <w:rFonts w:eastAsia="Arial" w:cs="Arial"/>
                <w:szCs w:val="24"/>
              </w:rPr>
              <w:t xml:space="preserve"> adjusted according to response. </w:t>
            </w:r>
          </w:p>
          <w:p w14:paraId="55A3D309" w14:textId="77777777" w:rsidR="00ED0997" w:rsidRPr="00004070" w:rsidRDefault="00ED0997" w:rsidP="009D16B5">
            <w:pPr>
              <w:spacing w:before="60" w:after="50"/>
              <w:rPr>
                <w:rFonts w:eastAsia="Arial" w:cs="Arial"/>
                <w:szCs w:val="24"/>
              </w:rPr>
            </w:pPr>
            <w:r w:rsidRPr="00004070">
              <w:rPr>
                <w:rFonts w:eastAsia="Arial" w:cs="Arial"/>
                <w:szCs w:val="24"/>
              </w:rPr>
              <w:t>Some patients may respond to lower doses. Please note patients may be initiated on more than one DMARD.</w:t>
            </w:r>
          </w:p>
          <w:p w14:paraId="08E3DAB6" w14:textId="77777777" w:rsidR="00ED0997" w:rsidRPr="00004070" w:rsidRDefault="00ED0997" w:rsidP="009D16B5">
            <w:pPr>
              <w:spacing w:before="60" w:after="50"/>
              <w:rPr>
                <w:rFonts w:eastAsia="Arial" w:cs="Arial"/>
                <w:color w:val="000000" w:themeColor="text1"/>
                <w:szCs w:val="24"/>
              </w:rPr>
            </w:pPr>
            <w:r w:rsidRPr="00004070">
              <w:rPr>
                <w:rFonts w:eastAsia="Arial" w:cs="Arial"/>
                <w:b/>
                <w:bCs/>
                <w:color w:val="000000" w:themeColor="text1"/>
                <w:szCs w:val="24"/>
              </w:rPr>
              <w:t>The initial maintenance dose must be prescribed by the initiating specialist.</w:t>
            </w:r>
          </w:p>
          <w:p w14:paraId="284A34D0" w14:textId="77777777" w:rsidR="00ED0997" w:rsidRPr="00004070" w:rsidRDefault="00ED0997" w:rsidP="009D16B5">
            <w:pPr>
              <w:spacing w:before="60" w:after="50"/>
              <w:rPr>
                <w:rFonts w:eastAsia="Arial" w:cs="Arial"/>
                <w:color w:val="000000" w:themeColor="text1"/>
                <w:szCs w:val="24"/>
              </w:rPr>
            </w:pPr>
          </w:p>
          <w:p w14:paraId="41D8C7FC" w14:textId="77777777" w:rsidR="00ED0997" w:rsidRPr="00004070" w:rsidRDefault="00ED0997" w:rsidP="009D16B5">
            <w:pPr>
              <w:spacing w:before="60" w:after="50"/>
              <w:rPr>
                <w:rFonts w:eastAsia="Arial" w:cs="Arial"/>
                <w:szCs w:val="24"/>
              </w:rPr>
            </w:pPr>
            <w:r w:rsidRPr="00004070">
              <w:rPr>
                <w:rFonts w:eastAsia="Arial" w:cs="Arial"/>
                <w:b/>
                <w:bCs/>
                <w:szCs w:val="24"/>
                <w:u w:val="single"/>
              </w:rPr>
              <w:t>Conditions requiring dose adjustment:</w:t>
            </w:r>
          </w:p>
          <w:p w14:paraId="0103B33B" w14:textId="250995DD" w:rsidR="00055685" w:rsidRPr="00004070" w:rsidRDefault="00ED0997" w:rsidP="105ED4C8">
            <w:pPr>
              <w:spacing w:after="50"/>
              <w:rPr>
                <w:rFonts w:eastAsia="Arial" w:cs="Arial"/>
                <w:szCs w:val="24"/>
              </w:rPr>
            </w:pPr>
            <w:r w:rsidRPr="00004070">
              <w:rPr>
                <w:rFonts w:eastAsia="Arial" w:cs="Arial"/>
              </w:rPr>
              <w:t>Lower doses may be required if there is significant renal or hepatic impairment, in elderly patients, and in patients with mild/moderately impaired bone marrow function, TPMT deficiency or NUDT15 mutation  (</w:t>
            </w:r>
            <w:hyperlink r:id="rId47">
              <w:r w:rsidR="105ED4C8" w:rsidRPr="00004070">
                <w:rPr>
                  <w:rStyle w:val="Hyperlink"/>
                  <w:rFonts w:eastAsia="Arial" w:cs="Arial"/>
                  <w:szCs w:val="24"/>
                </w:rPr>
                <w:t>see SPC)</w:t>
              </w:r>
            </w:hyperlink>
            <w:r w:rsidR="105ED4C8" w:rsidRPr="00004070">
              <w:rPr>
                <w:rFonts w:eastAsia="Arial" w:cs="Arial"/>
                <w:szCs w:val="24"/>
              </w:rPr>
              <w:t xml:space="preserve"> .</w:t>
            </w:r>
          </w:p>
        </w:tc>
      </w:tr>
      <w:tr w:rsidR="00055685" w:rsidRPr="00004070" w14:paraId="4CDE4318" w14:textId="77777777" w:rsidTr="1E7986F2">
        <w:trPr>
          <w:jc w:val="center"/>
        </w:trPr>
        <w:tc>
          <w:tcPr>
            <w:tcW w:w="10455" w:type="dxa"/>
            <w:gridSpan w:val="3"/>
            <w:shd w:val="clear" w:color="auto" w:fill="F2F2F2" w:themeFill="background1" w:themeFillShade="F2"/>
          </w:tcPr>
          <w:p w14:paraId="4C936032" w14:textId="4743B980" w:rsidR="00055685" w:rsidRPr="00004070" w:rsidRDefault="00055685" w:rsidP="00426DE1">
            <w:pPr>
              <w:pStyle w:val="Heading1"/>
              <w:tabs>
                <w:tab w:val="right" w:pos="10240"/>
              </w:tabs>
              <w:rPr>
                <w:rFonts w:cs="Arial"/>
                <w:lang w:eastAsia="en-GB"/>
              </w:rPr>
            </w:pPr>
            <w:bookmarkStart w:id="9" w:name="Six_pharmaceutical"/>
            <w:r w:rsidRPr="00004070">
              <w:rPr>
                <w:rFonts w:cs="Arial"/>
                <w:lang w:eastAsia="en-GB"/>
              </w:rPr>
              <w:lastRenderedPageBreak/>
              <w:t xml:space="preserve">Pharmaceutical aspects </w:t>
            </w:r>
            <w:bookmarkEnd w:id="9"/>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tc>
      </w:tr>
      <w:tr w:rsidR="00ED0997" w:rsidRPr="00004070" w14:paraId="24522E4E" w14:textId="77777777" w:rsidTr="1E7986F2">
        <w:trPr>
          <w:trHeight w:val="99"/>
          <w:jc w:val="center"/>
        </w:trPr>
        <w:tc>
          <w:tcPr>
            <w:tcW w:w="1838" w:type="dxa"/>
            <w:vAlign w:val="center"/>
          </w:tcPr>
          <w:p w14:paraId="5EA76DFC" w14:textId="6E625E32" w:rsidR="00ED0997" w:rsidRPr="00004070" w:rsidRDefault="00ED0997" w:rsidP="00ED0997">
            <w:pPr>
              <w:rPr>
                <w:rFonts w:cs="Arial"/>
                <w:b/>
                <w:bCs/>
                <w:iCs/>
                <w:color w:val="000000"/>
                <w:lang w:eastAsia="en-GB"/>
              </w:rPr>
            </w:pPr>
            <w:r w:rsidRPr="00004070">
              <w:rPr>
                <w:rFonts w:eastAsia="Arial" w:cs="Arial"/>
                <w:szCs w:val="24"/>
              </w:rPr>
              <w:t>Route of administration:</w:t>
            </w:r>
          </w:p>
        </w:tc>
        <w:tc>
          <w:tcPr>
            <w:tcW w:w="8617" w:type="dxa"/>
            <w:gridSpan w:val="2"/>
            <w:vAlign w:val="center"/>
          </w:tcPr>
          <w:p w14:paraId="48C763F3" w14:textId="67221011" w:rsidR="00ED0997" w:rsidRPr="00004070" w:rsidRDefault="00ED0997" w:rsidP="009D16B5">
            <w:pPr>
              <w:autoSpaceDE w:val="0"/>
              <w:autoSpaceDN w:val="0"/>
              <w:adjustRightInd w:val="0"/>
              <w:spacing w:before="60" w:after="60"/>
              <w:rPr>
                <w:rFonts w:eastAsia="Times New Roman" w:cs="Arial"/>
                <w:b/>
                <w:bCs/>
                <w:iCs/>
                <w:color w:val="000000"/>
                <w:lang w:eastAsia="en-GB"/>
              </w:rPr>
            </w:pPr>
            <w:r w:rsidRPr="00004070">
              <w:rPr>
                <w:rFonts w:eastAsia="Arial" w:cs="Arial"/>
                <w:szCs w:val="24"/>
              </w:rPr>
              <w:t>Oral</w:t>
            </w:r>
          </w:p>
        </w:tc>
      </w:tr>
      <w:tr w:rsidR="00ED0997" w:rsidRPr="00004070" w14:paraId="4CD28C8C" w14:textId="77777777" w:rsidTr="1E7986F2">
        <w:trPr>
          <w:trHeight w:val="97"/>
          <w:jc w:val="center"/>
        </w:trPr>
        <w:tc>
          <w:tcPr>
            <w:tcW w:w="1838" w:type="dxa"/>
            <w:vAlign w:val="center"/>
          </w:tcPr>
          <w:p w14:paraId="18421745" w14:textId="4DAD6BB2" w:rsidR="00ED0997" w:rsidRPr="00004070" w:rsidRDefault="00ED0997" w:rsidP="00ED0997">
            <w:pPr>
              <w:rPr>
                <w:rFonts w:cs="Arial"/>
                <w:b/>
                <w:bCs/>
                <w:iCs/>
                <w:color w:val="000000"/>
                <w:lang w:eastAsia="en-GB"/>
              </w:rPr>
            </w:pPr>
            <w:r w:rsidRPr="00004070">
              <w:rPr>
                <w:rFonts w:eastAsia="Arial" w:cs="Arial"/>
                <w:szCs w:val="24"/>
              </w:rPr>
              <w:t>Formulation:</w:t>
            </w:r>
          </w:p>
        </w:tc>
        <w:tc>
          <w:tcPr>
            <w:tcW w:w="8617" w:type="dxa"/>
            <w:gridSpan w:val="2"/>
            <w:vAlign w:val="center"/>
          </w:tcPr>
          <w:p w14:paraId="305139FE" w14:textId="77777777" w:rsidR="00ED0997" w:rsidRPr="00004070" w:rsidRDefault="00ED0997" w:rsidP="009D16B5">
            <w:pPr>
              <w:spacing w:before="60" w:after="60"/>
              <w:rPr>
                <w:rFonts w:eastAsia="Arial" w:cs="Arial"/>
                <w:szCs w:val="24"/>
              </w:rPr>
            </w:pPr>
            <w:r w:rsidRPr="00004070">
              <w:rPr>
                <w:rFonts w:eastAsia="Arial" w:cs="Arial"/>
                <w:szCs w:val="24"/>
              </w:rPr>
              <w:t>Azathioprine 25mg and 50mg tablets</w:t>
            </w:r>
          </w:p>
          <w:p w14:paraId="372AA03D" w14:textId="77777777" w:rsidR="00ED0997" w:rsidRPr="00004070" w:rsidRDefault="00ED0997" w:rsidP="009D16B5">
            <w:pPr>
              <w:spacing w:before="60" w:after="60"/>
              <w:rPr>
                <w:rFonts w:eastAsia="Arial" w:cs="Arial"/>
                <w:szCs w:val="24"/>
              </w:rPr>
            </w:pPr>
            <w:r w:rsidRPr="00004070">
              <w:rPr>
                <w:rFonts w:eastAsia="Arial" w:cs="Arial"/>
                <w:szCs w:val="24"/>
              </w:rPr>
              <w:t>Azathioprine 10 mg/mL oral suspension (Jayempi®)</w:t>
            </w:r>
          </w:p>
          <w:p w14:paraId="79520B44" w14:textId="77777777" w:rsidR="00ED0997" w:rsidRPr="00004070" w:rsidRDefault="00ED0997" w:rsidP="009D16B5">
            <w:pPr>
              <w:spacing w:before="60" w:after="60"/>
              <w:rPr>
                <w:rFonts w:eastAsia="Arial" w:cs="Arial"/>
                <w:szCs w:val="24"/>
              </w:rPr>
            </w:pPr>
            <w:r w:rsidRPr="00004070">
              <w:rPr>
                <w:rFonts w:eastAsia="Arial" w:cs="Arial"/>
                <w:szCs w:val="24"/>
              </w:rPr>
              <w:t>Mercaptopurine 50mg tablets</w:t>
            </w:r>
          </w:p>
          <w:p w14:paraId="5B871800" w14:textId="77777777" w:rsidR="00ED0997" w:rsidRPr="00004070" w:rsidRDefault="00ED0997" w:rsidP="009D16B5">
            <w:pPr>
              <w:spacing w:before="60" w:after="60"/>
              <w:rPr>
                <w:rFonts w:eastAsia="Arial" w:cs="Arial"/>
                <w:szCs w:val="24"/>
              </w:rPr>
            </w:pPr>
            <w:r w:rsidRPr="00004070">
              <w:rPr>
                <w:rFonts w:eastAsia="Arial" w:cs="Arial"/>
                <w:szCs w:val="24"/>
              </w:rPr>
              <w:t>Mercaptopurine 20mg/ml oral suspension (Xaluprine®)</w:t>
            </w:r>
          </w:p>
          <w:p w14:paraId="1312A1B6" w14:textId="68B0B235" w:rsidR="00ED0997" w:rsidRPr="00004070" w:rsidRDefault="00ED0997" w:rsidP="009D16B5">
            <w:pPr>
              <w:pStyle w:val="ListParagraph"/>
              <w:numPr>
                <w:ilvl w:val="0"/>
                <w:numId w:val="7"/>
              </w:numPr>
              <w:shd w:val="clear" w:color="auto" w:fill="FFFFFF"/>
              <w:spacing w:after="120"/>
              <w:rPr>
                <w:rFonts w:eastAsia="Times New Roman" w:cs="Arial"/>
                <w:iCs/>
                <w:noProof/>
                <w:color w:val="000000"/>
                <w:lang w:val="en-US" w:eastAsia="en-GB"/>
              </w:rPr>
            </w:pPr>
            <w:r w:rsidRPr="00004070">
              <w:rPr>
                <w:rFonts w:eastAsia="Arial" w:cs="Arial"/>
                <w:szCs w:val="24"/>
              </w:rPr>
              <w:t>Mercaptopurine 10mg tablets (unlicensed import)</w:t>
            </w:r>
          </w:p>
        </w:tc>
      </w:tr>
      <w:tr w:rsidR="00ED0997" w:rsidRPr="00004070" w14:paraId="32A1142F" w14:textId="77777777" w:rsidTr="1E7986F2">
        <w:trPr>
          <w:trHeight w:val="97"/>
          <w:jc w:val="center"/>
        </w:trPr>
        <w:tc>
          <w:tcPr>
            <w:tcW w:w="1838" w:type="dxa"/>
            <w:vAlign w:val="center"/>
          </w:tcPr>
          <w:p w14:paraId="33657BA5" w14:textId="7D5E7A72" w:rsidR="00ED0997" w:rsidRPr="00004070" w:rsidRDefault="00ED0997" w:rsidP="00ED0997">
            <w:pPr>
              <w:rPr>
                <w:rFonts w:cs="Arial"/>
                <w:b/>
                <w:bCs/>
                <w:iCs/>
                <w:color w:val="000000"/>
                <w:lang w:eastAsia="en-GB"/>
              </w:rPr>
            </w:pPr>
            <w:r w:rsidRPr="00004070">
              <w:rPr>
                <w:rFonts w:eastAsia="Arial" w:cs="Arial"/>
                <w:szCs w:val="24"/>
              </w:rPr>
              <w:t>Administration details:</w:t>
            </w:r>
          </w:p>
        </w:tc>
        <w:tc>
          <w:tcPr>
            <w:tcW w:w="8617" w:type="dxa"/>
            <w:gridSpan w:val="2"/>
            <w:vAlign w:val="center"/>
          </w:tcPr>
          <w:p w14:paraId="20F44FA2" w14:textId="77777777" w:rsidR="00ED0997" w:rsidRPr="00004070" w:rsidRDefault="00ED0997" w:rsidP="009D16B5">
            <w:pPr>
              <w:spacing w:before="60" w:after="60"/>
              <w:rPr>
                <w:rFonts w:eastAsia="Arial" w:cs="Arial"/>
                <w:szCs w:val="24"/>
              </w:rPr>
            </w:pPr>
            <w:r w:rsidRPr="00004070">
              <w:rPr>
                <w:rFonts w:eastAsia="Arial" w:cs="Arial"/>
                <w:szCs w:val="24"/>
              </w:rPr>
              <w:t>The tablets should be swallowed whole and not split / crushed.</w:t>
            </w:r>
          </w:p>
          <w:p w14:paraId="579FC4A1" w14:textId="77777777" w:rsidR="00ED0997" w:rsidRPr="00004070" w:rsidRDefault="00ED0997" w:rsidP="009D16B5">
            <w:pPr>
              <w:spacing w:before="60" w:after="60"/>
              <w:rPr>
                <w:rFonts w:eastAsia="Arial" w:cs="Arial"/>
                <w:szCs w:val="24"/>
              </w:rPr>
            </w:pPr>
            <w:r w:rsidRPr="00004070">
              <w:rPr>
                <w:rFonts w:eastAsia="Arial" w:cs="Arial"/>
                <w:szCs w:val="24"/>
              </w:rPr>
              <w:t>Can be taken either with or without food, but patients should standardise which method is chosen.  Tablets should be taken at least 1 hour before or 2 hours after milk or dairy products.</w:t>
            </w:r>
          </w:p>
          <w:p w14:paraId="274738F8" w14:textId="77777777" w:rsidR="00ED0997" w:rsidRPr="00004070" w:rsidRDefault="00ED0997" w:rsidP="009D16B5">
            <w:pPr>
              <w:spacing w:before="60" w:after="60"/>
              <w:rPr>
                <w:rFonts w:eastAsia="Arial" w:cs="Arial"/>
                <w:szCs w:val="24"/>
              </w:rPr>
            </w:pPr>
            <w:r w:rsidRPr="00004070">
              <w:rPr>
                <w:rFonts w:eastAsia="Arial" w:cs="Arial"/>
                <w:szCs w:val="24"/>
              </w:rPr>
              <w:t xml:space="preserve">Taking with or after food may relieve nausea, however the oral absorption of azathioprine or mercaptopurine may be reduced. Consideration should be given to monitoring therapeutic efficacy more closely if patient is taking azathioprine or mercaptopurine consistently with food. </w:t>
            </w:r>
          </w:p>
          <w:p w14:paraId="4466B100" w14:textId="72614BD2" w:rsidR="00ED0997" w:rsidRPr="00004070" w:rsidRDefault="00ED0997" w:rsidP="009D16B5">
            <w:pPr>
              <w:rPr>
                <w:rFonts w:cs="Arial"/>
                <w:b/>
                <w:bCs/>
                <w:iCs/>
                <w:color w:val="000000"/>
                <w:lang w:eastAsia="en-GB"/>
              </w:rPr>
            </w:pPr>
            <w:r w:rsidRPr="00004070">
              <w:rPr>
                <w:rFonts w:eastAsia="Arial" w:cs="Arial"/>
                <w:szCs w:val="24"/>
              </w:rPr>
              <w:t>For azathioprine or mercaptopurine oral suspension, the bottle should be shaken vigorously for at least 30 seconds to ensure the suspension is well mixed.</w:t>
            </w:r>
          </w:p>
        </w:tc>
      </w:tr>
      <w:tr w:rsidR="00ED0997" w:rsidRPr="00004070" w14:paraId="7AF4C7E7" w14:textId="77777777" w:rsidTr="1E7986F2">
        <w:trPr>
          <w:trHeight w:val="97"/>
          <w:jc w:val="center"/>
        </w:trPr>
        <w:tc>
          <w:tcPr>
            <w:tcW w:w="1838" w:type="dxa"/>
            <w:tcBorders>
              <w:bottom w:val="single" w:sz="4" w:space="0" w:color="auto"/>
            </w:tcBorders>
            <w:vAlign w:val="center"/>
          </w:tcPr>
          <w:p w14:paraId="1C2DED5A" w14:textId="2A53401C" w:rsidR="00ED0997" w:rsidRPr="00004070" w:rsidRDefault="00ED0997" w:rsidP="00ED0997">
            <w:pPr>
              <w:rPr>
                <w:rFonts w:cs="Arial"/>
                <w:b/>
                <w:bCs/>
                <w:iCs/>
                <w:color w:val="000000"/>
                <w:lang w:eastAsia="en-GB"/>
              </w:rPr>
            </w:pPr>
            <w:r w:rsidRPr="00004070">
              <w:rPr>
                <w:rFonts w:eastAsia="Arial" w:cs="Arial"/>
                <w:szCs w:val="24"/>
              </w:rPr>
              <w:t>Other important information:</w:t>
            </w:r>
          </w:p>
        </w:tc>
        <w:tc>
          <w:tcPr>
            <w:tcW w:w="8617" w:type="dxa"/>
            <w:gridSpan w:val="2"/>
            <w:tcBorders>
              <w:bottom w:val="single" w:sz="4" w:space="0" w:color="auto"/>
            </w:tcBorders>
            <w:vAlign w:val="center"/>
          </w:tcPr>
          <w:p w14:paraId="685F0F60" w14:textId="77777777" w:rsidR="00ED0997" w:rsidRPr="00004070" w:rsidRDefault="00ED0997" w:rsidP="009D16B5">
            <w:pPr>
              <w:spacing w:before="60" w:after="60"/>
              <w:rPr>
                <w:rFonts w:eastAsia="Arial" w:cs="Arial"/>
                <w:szCs w:val="24"/>
              </w:rPr>
            </w:pPr>
            <w:r w:rsidRPr="00004070">
              <w:rPr>
                <w:rFonts w:eastAsia="Arial" w:cs="Arial"/>
                <w:szCs w:val="24"/>
              </w:rPr>
              <w:t xml:space="preserve">Providing the film coating of azathioprine tablets remains intact, there is no risk or additional precautions required when handling tablets. </w:t>
            </w:r>
          </w:p>
          <w:p w14:paraId="21DDB496"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Azathioprine and mercaptopurine are cytotoxic. It is recommended that they are handled following local recommendations for the handling and disposal of cytotoxic agents.</w:t>
            </w:r>
          </w:p>
          <w:p w14:paraId="5165A8BF"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lastRenderedPageBreak/>
              <w:t>Mercaptopurine tablets and oral suspension are not bioequivalent with respect to peak plasma concentration; increased haematological monitoring is advised if switching between formulations.</w:t>
            </w:r>
          </w:p>
          <w:p w14:paraId="689017FA" w14:textId="44078173" w:rsidR="00ED0997" w:rsidRPr="00004070" w:rsidRDefault="00ED0997" w:rsidP="009D16B5">
            <w:pPr>
              <w:rPr>
                <w:rFonts w:cs="Arial"/>
                <w:b/>
                <w:bCs/>
                <w:iCs/>
                <w:color w:val="000000"/>
                <w:lang w:eastAsia="en-GB"/>
              </w:rPr>
            </w:pPr>
            <w:r w:rsidRPr="00004070">
              <w:rPr>
                <w:rFonts w:eastAsia="Arial" w:cs="Arial"/>
                <w:color w:val="000000" w:themeColor="text1"/>
                <w:szCs w:val="24"/>
              </w:rPr>
              <w:t>When prescribing mercaptopurine, remain vigilant with regards to the similarity in name with mercaptamine.</w:t>
            </w:r>
          </w:p>
        </w:tc>
      </w:tr>
      <w:tr w:rsidR="009A16D5" w:rsidRPr="00004070" w14:paraId="43330AD8" w14:textId="77777777" w:rsidTr="1E7986F2">
        <w:trPr>
          <w:jc w:val="center"/>
        </w:trPr>
        <w:tc>
          <w:tcPr>
            <w:tcW w:w="10455" w:type="dxa"/>
            <w:gridSpan w:val="3"/>
            <w:tcBorders>
              <w:bottom w:val="nil"/>
            </w:tcBorders>
            <w:shd w:val="clear" w:color="auto" w:fill="F2F2F2" w:themeFill="background1" w:themeFillShade="F2"/>
          </w:tcPr>
          <w:p w14:paraId="2293CECB" w14:textId="43830C9A" w:rsidR="009A16D5" w:rsidRPr="00004070" w:rsidRDefault="009A16D5" w:rsidP="00426DE1">
            <w:pPr>
              <w:pStyle w:val="Heading1"/>
              <w:tabs>
                <w:tab w:val="right" w:pos="10240"/>
              </w:tabs>
              <w:rPr>
                <w:rFonts w:cs="Arial"/>
                <w:lang w:eastAsia="en-GB"/>
              </w:rPr>
            </w:pPr>
            <w:bookmarkStart w:id="10" w:name="Seven_interactions"/>
            <w:r w:rsidRPr="00004070">
              <w:rPr>
                <w:rFonts w:cs="Arial"/>
                <w:lang w:eastAsia="en-GB"/>
              </w:rPr>
              <w:lastRenderedPageBreak/>
              <w:t>Significant medicine interactions</w:t>
            </w:r>
            <w:r w:rsidRPr="00004070">
              <w:tab/>
            </w:r>
            <w:hyperlink w:anchor="Responsibilities">
              <w:r w:rsidRPr="00004070">
                <w:rPr>
                  <w:rStyle w:val="Hyperlink"/>
                  <w:rFonts w:eastAsia="Times New Roman" w:cs="Arial"/>
                  <w:b w:val="0"/>
                  <w:bCs w:val="0"/>
                  <w:sz w:val="24"/>
                  <w:szCs w:val="24"/>
                  <w:lang w:eastAsia="en-GB"/>
                </w:rPr>
                <w:t>Back to top</w:t>
              </w:r>
            </w:hyperlink>
            <w:bookmarkEnd w:id="10"/>
          </w:p>
          <w:p w14:paraId="561D758A" w14:textId="72730E92" w:rsidR="009A16D5" w:rsidRPr="00004070" w:rsidRDefault="7093DCF9" w:rsidP="7093DCF9">
            <w:pPr>
              <w:spacing w:line="257" w:lineRule="atLeast"/>
              <w:rPr>
                <w:rFonts w:eastAsia="Arial" w:cs="Arial"/>
                <w:szCs w:val="24"/>
                <w:lang w:val="en-US"/>
              </w:rPr>
            </w:pPr>
            <w:r w:rsidRPr="00004070">
              <w:rPr>
                <w:rFonts w:eastAsia="Arial" w:cs="Arial"/>
                <w:color w:val="000000" w:themeColor="text1"/>
                <w:szCs w:val="24"/>
                <w:lang w:val="en-US"/>
              </w:rPr>
              <w:t xml:space="preserve">The following list is not exhaustive. Please see </w:t>
            </w:r>
            <w:hyperlink r:id="rId48">
              <w:r w:rsidRPr="00004070">
                <w:rPr>
                  <w:rStyle w:val="Hyperlink"/>
                  <w:rFonts w:eastAsia="Arial" w:cs="Arial"/>
                  <w:szCs w:val="24"/>
                  <w:lang w:val="en-US"/>
                </w:rPr>
                <w:t>BNF</w:t>
              </w:r>
            </w:hyperlink>
            <w:r w:rsidRPr="00004070">
              <w:rPr>
                <w:rFonts w:eastAsia="Arial" w:cs="Arial"/>
                <w:color w:val="000000" w:themeColor="text1"/>
                <w:szCs w:val="24"/>
                <w:lang w:val="en-US"/>
              </w:rPr>
              <w:t xml:space="preserve"> or </w:t>
            </w:r>
            <w:hyperlink r:id="rId49">
              <w:r w:rsidRPr="00004070">
                <w:rPr>
                  <w:rStyle w:val="Hyperlink"/>
                  <w:rFonts w:eastAsia="Arial" w:cs="Arial"/>
                  <w:szCs w:val="24"/>
                  <w:lang w:val="en-US"/>
                </w:rPr>
                <w:t>SPC</w:t>
              </w:r>
            </w:hyperlink>
            <w:r w:rsidRPr="00004070">
              <w:rPr>
                <w:rFonts w:eastAsia="Arial" w:cs="Arial"/>
                <w:color w:val="000000" w:themeColor="text1"/>
                <w:szCs w:val="24"/>
                <w:lang w:val="en-US"/>
              </w:rPr>
              <w:t xml:space="preserve"> for comprehensive information and recommended management.</w:t>
            </w:r>
          </w:p>
        </w:tc>
      </w:tr>
      <w:tr w:rsidR="009A16D5" w:rsidRPr="00004070" w14:paraId="44BD7062" w14:textId="77777777" w:rsidTr="1E7986F2">
        <w:trPr>
          <w:jc w:val="center"/>
        </w:trPr>
        <w:tc>
          <w:tcPr>
            <w:tcW w:w="10455" w:type="dxa"/>
            <w:gridSpan w:val="3"/>
            <w:tcBorders>
              <w:top w:val="nil"/>
              <w:bottom w:val="single" w:sz="4" w:space="0" w:color="auto"/>
            </w:tcBorders>
          </w:tcPr>
          <w:p w14:paraId="02FBFBD5" w14:textId="77777777" w:rsidR="00ED0997" w:rsidRPr="00004070" w:rsidRDefault="00ED0997" w:rsidP="009D16B5">
            <w:pPr>
              <w:spacing w:after="50"/>
              <w:rPr>
                <w:rFonts w:eastAsia="Arial" w:cs="Arial"/>
                <w:szCs w:val="24"/>
              </w:rPr>
            </w:pPr>
            <w:r w:rsidRPr="00004070">
              <w:rPr>
                <w:rFonts w:eastAsia="Arial" w:cs="Arial"/>
                <w:b/>
                <w:bCs/>
                <w:szCs w:val="24"/>
              </w:rPr>
              <w:t>The following drugs must not be prescribed without consultation with the specialist:</w:t>
            </w:r>
          </w:p>
          <w:p w14:paraId="17F8BB46"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Allopurinol</w:t>
            </w:r>
            <w:r w:rsidRPr="00004070">
              <w:rPr>
                <w:rFonts w:eastAsia="Arial" w:cs="Arial"/>
                <w:color w:val="000000" w:themeColor="text1"/>
                <w:szCs w:val="24"/>
              </w:rPr>
              <w:t xml:space="preserve"> has the potential to cause thiopurine toxicity and should be avoided, except with specialist input. Allopurinol may be recommended in combination with thiopurines by the specialist for IBD patients, particularly in those who are unable to tolerate to or do not respond to treatment with a thiopurine alone. The dose of azathioprine or mercaptopurine should be </w:t>
            </w:r>
            <w:r w:rsidRPr="00004070">
              <w:rPr>
                <w:rFonts w:eastAsia="Arial" w:cs="Arial"/>
                <w:color w:val="000000" w:themeColor="text1"/>
                <w:szCs w:val="24"/>
                <w:u w:val="single"/>
              </w:rPr>
              <w:t>reduced by 75%</w:t>
            </w:r>
            <w:r w:rsidRPr="00004070">
              <w:rPr>
                <w:rFonts w:eastAsia="Arial" w:cs="Arial"/>
                <w:color w:val="000000" w:themeColor="text1"/>
                <w:szCs w:val="24"/>
              </w:rPr>
              <w:t xml:space="preserve"> if used concurrently with allopurinol. If considering prescribing allopurinol, discuss with the specialist for advice and a dose adjustment. </w:t>
            </w:r>
          </w:p>
          <w:p w14:paraId="3C353C4E"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Febuxostat</w:t>
            </w:r>
            <w:r w:rsidRPr="00004070">
              <w:rPr>
                <w:rFonts w:eastAsia="Arial" w:cs="Arial"/>
                <w:color w:val="000000" w:themeColor="text1"/>
                <w:szCs w:val="24"/>
              </w:rPr>
              <w:t xml:space="preserve"> has the potential to cause thiopurine toxicity; avoid in combination with azathioprine or mercaptopurine.</w:t>
            </w:r>
          </w:p>
          <w:p w14:paraId="61575EF1" w14:textId="77777777" w:rsidR="00ED0997" w:rsidRPr="00004070" w:rsidRDefault="00ED0997" w:rsidP="009D16B5">
            <w:pPr>
              <w:pStyle w:val="ListParagraph"/>
              <w:numPr>
                <w:ilvl w:val="0"/>
                <w:numId w:val="8"/>
              </w:numPr>
              <w:rPr>
                <w:rFonts w:eastAsia="Arial" w:cs="Arial"/>
                <w:b/>
                <w:bCs/>
                <w:szCs w:val="24"/>
              </w:rPr>
            </w:pPr>
            <w:r w:rsidRPr="00004070">
              <w:rPr>
                <w:rFonts w:eastAsia="Arial" w:cs="Arial"/>
                <w:b/>
                <w:bCs/>
                <w:color w:val="000000" w:themeColor="text1"/>
                <w:szCs w:val="24"/>
              </w:rPr>
              <w:t>Live vaccines</w:t>
            </w:r>
            <w:r w:rsidRPr="00004070">
              <w:rPr>
                <w:rFonts w:eastAsia="Arial" w:cs="Arial"/>
                <w:color w:val="000000" w:themeColor="text1"/>
                <w:szCs w:val="24"/>
              </w:rPr>
              <w:t xml:space="preserve"> (e.g. oral polio, oral typhoid, MMR, BCG, yellow fever) can be given to patients on stable long term low dose corticosteroid therapy (defined as ≤20mg prednisolone per day for &gt;14 days) alone or in combination with low dose non-biological oral immune modulating drugs (e.g. azathioprine up to 3mg/kg/day or mercaptopurine up to 1.5mg/kg/day). Clinician discretion is advised. Please refer to the </w:t>
            </w:r>
            <w:hyperlink r:id="rId50">
              <w:r w:rsidRPr="00004070">
                <w:rPr>
                  <w:rStyle w:val="Hyperlink"/>
                  <w:rFonts w:eastAsia="Arial" w:cs="Arial"/>
                  <w:szCs w:val="24"/>
                </w:rPr>
                <w:t>Green Book Chapter 6</w:t>
              </w:r>
            </w:hyperlink>
            <w:r w:rsidRPr="00004070">
              <w:rPr>
                <w:rFonts w:eastAsia="Arial" w:cs="Arial"/>
                <w:color w:val="000000" w:themeColor="text1"/>
                <w:szCs w:val="24"/>
              </w:rPr>
              <w:t xml:space="preserve"> for current advice, and advice for patients taking higher doses</w:t>
            </w:r>
            <w:r w:rsidRPr="00004070">
              <w:rPr>
                <w:rFonts w:eastAsia="Arial" w:cs="Arial"/>
                <w:szCs w:val="24"/>
              </w:rPr>
              <w:t xml:space="preserve">. </w:t>
            </w:r>
          </w:p>
          <w:p w14:paraId="6FE21EE3"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Warfarin</w:t>
            </w:r>
            <w:r w:rsidRPr="00004070">
              <w:rPr>
                <w:rFonts w:eastAsia="Arial" w:cs="Arial"/>
                <w:color w:val="000000" w:themeColor="text1"/>
                <w:szCs w:val="24"/>
              </w:rPr>
              <w:t xml:space="preserve"> – thiopurines may reduce anticoagulant effects of warfarin.</w:t>
            </w:r>
          </w:p>
          <w:p w14:paraId="50C7D46A"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Co-trimoxazole / trimethoprim</w:t>
            </w:r>
            <w:r w:rsidRPr="00004070">
              <w:rPr>
                <w:rFonts w:eastAsia="Arial" w:cs="Arial"/>
                <w:color w:val="000000" w:themeColor="text1"/>
                <w:szCs w:val="24"/>
              </w:rPr>
              <w:t xml:space="preserve"> – possible increased risk of haematological toxicity, however evidence is conflicting and this combination is often used in practice. </w:t>
            </w:r>
          </w:p>
          <w:p w14:paraId="1D2CBA5B"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Clozapine</w:t>
            </w:r>
            <w:r w:rsidRPr="00004070">
              <w:rPr>
                <w:rFonts w:eastAsia="Arial" w:cs="Arial"/>
                <w:color w:val="000000" w:themeColor="text1"/>
                <w:szCs w:val="24"/>
              </w:rPr>
              <w:t xml:space="preserve"> - avoid due to increased risk of agranulocytosis.</w:t>
            </w:r>
          </w:p>
          <w:p w14:paraId="57F5F259"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t>Ribavirin</w:t>
            </w:r>
            <w:r w:rsidRPr="00004070">
              <w:rPr>
                <w:rFonts w:eastAsia="Arial" w:cs="Arial"/>
                <w:color w:val="000000" w:themeColor="text1"/>
                <w:szCs w:val="24"/>
              </w:rPr>
              <w:t xml:space="preserve"> - increased risk of haematological toxicity when azathioprine given concurrently and this combination should be avoided. </w:t>
            </w:r>
          </w:p>
          <w:p w14:paraId="115F3081" w14:textId="77777777" w:rsidR="00ED0997" w:rsidRPr="00004070" w:rsidRDefault="00ED0997" w:rsidP="009D16B5">
            <w:pPr>
              <w:pStyle w:val="ListParagraph"/>
              <w:numPr>
                <w:ilvl w:val="0"/>
                <w:numId w:val="8"/>
              </w:numPr>
              <w:rPr>
                <w:rFonts w:eastAsia="Arial" w:cs="Arial"/>
                <w:b/>
                <w:bCs/>
                <w:color w:val="000000" w:themeColor="text1"/>
                <w:szCs w:val="24"/>
              </w:rPr>
            </w:pPr>
            <w:r w:rsidRPr="00004070">
              <w:rPr>
                <w:rFonts w:eastAsia="Arial" w:cs="Arial"/>
                <w:b/>
                <w:bCs/>
                <w:color w:val="000000" w:themeColor="text1"/>
                <w:szCs w:val="24"/>
              </w:rPr>
              <w:lastRenderedPageBreak/>
              <w:t>Aminosalicylates</w:t>
            </w:r>
            <w:r w:rsidRPr="00004070">
              <w:rPr>
                <w:rFonts w:eastAsia="Arial" w:cs="Arial"/>
                <w:color w:val="000000" w:themeColor="text1"/>
                <w:szCs w:val="24"/>
              </w:rPr>
              <w:t xml:space="preserve"> (sulfasalazine, mesalazine or olsalazine) - increased risk of haematological toxicity with concomitant thiopurine due to TPMT inhibition. Dose adjustment of azathioprine or mercaptopurine and additional monitoring of FBC may be required.</w:t>
            </w:r>
          </w:p>
          <w:p w14:paraId="763BAE65" w14:textId="77777777" w:rsidR="00ED0997" w:rsidRPr="00004070" w:rsidRDefault="00ED0997" w:rsidP="009D16B5">
            <w:pPr>
              <w:spacing w:after="50"/>
              <w:rPr>
                <w:rFonts w:eastAsia="Arial" w:cs="Arial"/>
                <w:szCs w:val="24"/>
              </w:rPr>
            </w:pPr>
            <w:r w:rsidRPr="00004070">
              <w:rPr>
                <w:rFonts w:eastAsia="Arial" w:cs="Arial"/>
                <w:b/>
                <w:bCs/>
                <w:szCs w:val="24"/>
              </w:rPr>
              <w:t>The following drugs may be prescribed with caution:</w:t>
            </w:r>
          </w:p>
          <w:p w14:paraId="6A9E3D78" w14:textId="77777777" w:rsidR="00ED0997" w:rsidRPr="00004070" w:rsidRDefault="00ED0997" w:rsidP="009D16B5">
            <w:pPr>
              <w:pStyle w:val="ListParagraph"/>
              <w:numPr>
                <w:ilvl w:val="0"/>
                <w:numId w:val="18"/>
              </w:numPr>
              <w:rPr>
                <w:rFonts w:eastAsia="Arial" w:cs="Arial"/>
                <w:b/>
                <w:bCs/>
                <w:szCs w:val="24"/>
              </w:rPr>
            </w:pPr>
            <w:r w:rsidRPr="00004070">
              <w:rPr>
                <w:rFonts w:eastAsia="Arial" w:cs="Arial"/>
                <w:b/>
                <w:bCs/>
                <w:szCs w:val="24"/>
              </w:rPr>
              <w:t>ACE inhibitors</w:t>
            </w:r>
            <w:r w:rsidRPr="00004070">
              <w:rPr>
                <w:rFonts w:eastAsia="Arial" w:cs="Arial"/>
                <w:szCs w:val="24"/>
              </w:rPr>
              <w:t xml:space="preserve"> - increase the risk of anaemia and or leukopenia.</w:t>
            </w:r>
          </w:p>
          <w:p w14:paraId="24289A8A" w14:textId="53A90A45" w:rsidR="00E50AEB" w:rsidRPr="00004070" w:rsidRDefault="00ED0997" w:rsidP="009D16B5">
            <w:pPr>
              <w:autoSpaceDE w:val="0"/>
              <w:autoSpaceDN w:val="0"/>
              <w:adjustRightInd w:val="0"/>
              <w:spacing w:after="50"/>
              <w:rPr>
                <w:rFonts w:cs="Arial"/>
                <w:lang w:eastAsia="en-GB"/>
              </w:rPr>
            </w:pPr>
            <w:r w:rsidRPr="00004070">
              <w:rPr>
                <w:rFonts w:eastAsia="Arial" w:cs="Arial"/>
                <w:b/>
                <w:bCs/>
                <w:szCs w:val="24"/>
              </w:rPr>
              <w:t>Cimetidine and indomethacin</w:t>
            </w:r>
            <w:r w:rsidRPr="00004070">
              <w:rPr>
                <w:rFonts w:eastAsia="Arial" w:cs="Arial"/>
                <w:szCs w:val="24"/>
              </w:rPr>
              <w:t xml:space="preserve"> - concomitant administration of thiopurines may increase the risk of myelosuppression.</w:t>
            </w:r>
          </w:p>
        </w:tc>
      </w:tr>
      <w:tr w:rsidR="009A16D5" w:rsidRPr="00004070" w14:paraId="24EF260A" w14:textId="77777777" w:rsidTr="1E7986F2">
        <w:trPr>
          <w:jc w:val="center"/>
        </w:trPr>
        <w:tc>
          <w:tcPr>
            <w:tcW w:w="10455" w:type="dxa"/>
            <w:gridSpan w:val="3"/>
            <w:tcBorders>
              <w:bottom w:val="nil"/>
            </w:tcBorders>
            <w:shd w:val="clear" w:color="auto" w:fill="F2F2F2" w:themeFill="background1" w:themeFillShade="F2"/>
          </w:tcPr>
          <w:p w14:paraId="6FA6EB67" w14:textId="3453B847" w:rsidR="009A16D5" w:rsidRPr="00004070" w:rsidRDefault="009A16D5" w:rsidP="00723BC1">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004070">
              <w:rPr>
                <w:rFonts w:cs="Arial"/>
                <w:lang w:eastAsia="en-GB"/>
              </w:rPr>
              <w:lastRenderedPageBreak/>
              <w:t xml:space="preserve">Baseline investigations, initial </w:t>
            </w:r>
            <w:r w:rsidR="0032558C" w:rsidRPr="00004070">
              <w:rPr>
                <w:rFonts w:cs="Arial"/>
                <w:lang w:eastAsia="en-GB"/>
              </w:rPr>
              <w:t xml:space="preserve">monitoring </w:t>
            </w:r>
            <w:r w:rsidRPr="00004070">
              <w:rPr>
                <w:rFonts w:cs="Arial"/>
                <w:lang w:eastAsia="en-GB"/>
              </w:rPr>
              <w:t>and ongoing monitoring to be undertaken by specialist</w:t>
            </w:r>
            <w:bookmarkEnd w:id="12"/>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p w14:paraId="57CB14F0" w14:textId="1BCC1068" w:rsidR="00723BC1" w:rsidRPr="00004070" w:rsidRDefault="00723BC1" w:rsidP="00723BC1">
            <w:pPr>
              <w:rPr>
                <w:rFonts w:cs="Arial"/>
                <w:b/>
                <w:szCs w:val="24"/>
                <w:lang w:eastAsia="en-GB"/>
              </w:rPr>
            </w:pPr>
            <w:r w:rsidRPr="00004070">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004070" w14:paraId="03C811CF" w14:textId="77777777" w:rsidTr="1E7986F2">
        <w:trPr>
          <w:jc w:val="center"/>
        </w:trPr>
        <w:tc>
          <w:tcPr>
            <w:tcW w:w="10455" w:type="dxa"/>
            <w:gridSpan w:val="3"/>
            <w:tcBorders>
              <w:top w:val="nil"/>
            </w:tcBorders>
          </w:tcPr>
          <w:p w14:paraId="03C3C6D5" w14:textId="77777777" w:rsidR="00ED0997" w:rsidRPr="00004070" w:rsidRDefault="00ED0997" w:rsidP="009D16B5">
            <w:pPr>
              <w:spacing w:after="50"/>
              <w:rPr>
                <w:rFonts w:eastAsia="Arial" w:cs="Arial"/>
                <w:szCs w:val="24"/>
              </w:rPr>
            </w:pPr>
            <w:r w:rsidRPr="00004070">
              <w:rPr>
                <w:rFonts w:eastAsia="Arial" w:cs="Arial"/>
                <w:b/>
                <w:bCs/>
                <w:szCs w:val="24"/>
              </w:rPr>
              <w:t xml:space="preserve">Baseline investigations: </w:t>
            </w:r>
          </w:p>
          <w:p w14:paraId="08AF933A"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 xml:space="preserve">Height and weight </w:t>
            </w:r>
          </w:p>
          <w:p w14:paraId="52AFD43D"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Blood pressure</w:t>
            </w:r>
          </w:p>
          <w:p w14:paraId="3E6DFC88"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Full blood count (FBC)</w:t>
            </w:r>
          </w:p>
          <w:p w14:paraId="1C7DB51D"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Urea and electrolytes (U&amp;Es) &amp; creatinine clearance (CrCl)</w:t>
            </w:r>
          </w:p>
          <w:p w14:paraId="1D99ECDC"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Alanine aminotransferase (ALT) and/or aspartate aminotransferase (AST),and albumin</w:t>
            </w:r>
          </w:p>
          <w:p w14:paraId="352066CD"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Baseline thiopurine methyl transferase (TPMT) status</w:t>
            </w:r>
          </w:p>
          <w:p w14:paraId="371486C3"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Screening for viral infections as per local policy, e.g. HIV, hepatitis B and C, varicella zoster, Epstein Barr virus, cytomegalovirus</w:t>
            </w:r>
          </w:p>
          <w:p w14:paraId="2982BAD6"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Screening for lung disease, including tuberculosis, should be undertaken at clinician discretion on a case by case basis</w:t>
            </w:r>
          </w:p>
          <w:p w14:paraId="17466EF9"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 xml:space="preserve">Confirm cervical screening is up to date </w:t>
            </w:r>
          </w:p>
          <w:p w14:paraId="2DB849FE" w14:textId="7868346C" w:rsidR="00ED0997" w:rsidRPr="00004070" w:rsidRDefault="00ED0997" w:rsidP="009D16B5">
            <w:pPr>
              <w:pStyle w:val="Default"/>
              <w:spacing w:after="50" w:line="360" w:lineRule="atLeast"/>
              <w:rPr>
                <w:rFonts w:eastAsia="Arial"/>
                <w:color w:val="000000" w:themeColor="text1"/>
              </w:rPr>
            </w:pPr>
            <w:r w:rsidRPr="00004070">
              <w:rPr>
                <w:rFonts w:eastAsia="Arial"/>
                <w:color w:val="000000" w:themeColor="text1"/>
              </w:rPr>
              <w:t>Provide or request appropriate vaccination prior to treatment initiation, according to local arrangements (e.g. pneumococcal, shingles, influenza, COVID-19)</w:t>
            </w:r>
          </w:p>
          <w:p w14:paraId="488AD34A" w14:textId="77777777" w:rsidR="00ED0997" w:rsidRPr="00004070" w:rsidRDefault="00ED0997" w:rsidP="009D16B5">
            <w:pPr>
              <w:pStyle w:val="Default"/>
              <w:spacing w:after="50" w:line="360" w:lineRule="atLeast"/>
              <w:rPr>
                <w:rFonts w:eastAsia="Arial"/>
              </w:rPr>
            </w:pPr>
            <w:r w:rsidRPr="00004070">
              <w:rPr>
                <w:rFonts w:eastAsia="Arial"/>
                <w:b/>
                <w:bCs/>
                <w:color w:val="000000" w:themeColor="text1"/>
              </w:rPr>
              <w:t xml:space="preserve">Initial monitoring and at dose change: </w:t>
            </w:r>
          </w:p>
          <w:p w14:paraId="10D8A0CB" w14:textId="77777777" w:rsidR="00ED0997" w:rsidRPr="00004070" w:rsidRDefault="00ED0997" w:rsidP="009D16B5">
            <w:pPr>
              <w:spacing w:after="50"/>
              <w:rPr>
                <w:rFonts w:eastAsia="Arial" w:cs="Arial"/>
                <w:szCs w:val="24"/>
              </w:rPr>
            </w:pPr>
            <w:r w:rsidRPr="00004070">
              <w:rPr>
                <w:rFonts w:eastAsia="Arial" w:cs="Arial"/>
                <w:szCs w:val="24"/>
              </w:rPr>
              <w:lastRenderedPageBreak/>
              <w:t>To be repeated every 2 weeks until the dose has been stable for 6 weeks, then monthly for 3 months:</w:t>
            </w:r>
          </w:p>
          <w:p w14:paraId="619D363B"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FBC</w:t>
            </w:r>
          </w:p>
          <w:p w14:paraId="67364EE5"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U&amp;Es, including creatinine and CrCl</w:t>
            </w:r>
          </w:p>
          <w:p w14:paraId="297DA2C0" w14:textId="77777777" w:rsidR="00ED0997" w:rsidRPr="00004070" w:rsidRDefault="00ED0997" w:rsidP="009D16B5">
            <w:pPr>
              <w:pStyle w:val="ListParagraph"/>
              <w:numPr>
                <w:ilvl w:val="0"/>
                <w:numId w:val="19"/>
              </w:numPr>
              <w:rPr>
                <w:rFonts w:eastAsia="Arial" w:cs="Arial"/>
                <w:szCs w:val="24"/>
              </w:rPr>
            </w:pPr>
            <w:r w:rsidRPr="00004070">
              <w:rPr>
                <w:rFonts w:eastAsia="Arial" w:cs="Arial"/>
                <w:szCs w:val="24"/>
              </w:rPr>
              <w:t>LFTs, including AST and/or ALT, and albumin</w:t>
            </w:r>
          </w:p>
          <w:p w14:paraId="565FE6F4" w14:textId="55F1CB16" w:rsidR="00ED0997" w:rsidRPr="00004070" w:rsidRDefault="00ED0997" w:rsidP="009D16B5">
            <w:pPr>
              <w:pStyle w:val="Default"/>
              <w:spacing w:after="50" w:line="360" w:lineRule="atLeast"/>
              <w:rPr>
                <w:rFonts w:eastAsia="Arial"/>
              </w:rPr>
            </w:pPr>
            <w:r w:rsidRPr="00004070">
              <w:rPr>
                <w:rFonts w:eastAsia="Arial"/>
                <w:color w:val="000000" w:themeColor="text1"/>
              </w:rPr>
              <w:t>Following a dose increase repeat every 2 weeks until the dose has been stable for 6 weeks, then revert to previous schedule. More frequent monitoring is appropriate in patients at higher risk of toxicity.</w:t>
            </w:r>
          </w:p>
          <w:p w14:paraId="382BFC01" w14:textId="77777777" w:rsidR="00ED0997" w:rsidRPr="00004070" w:rsidRDefault="00ED0997" w:rsidP="009D16B5">
            <w:pPr>
              <w:spacing w:after="50"/>
              <w:rPr>
                <w:rFonts w:eastAsia="Arial" w:cs="Arial"/>
                <w:szCs w:val="24"/>
              </w:rPr>
            </w:pPr>
            <w:r w:rsidRPr="00004070">
              <w:rPr>
                <w:rFonts w:eastAsia="Arial" w:cs="Arial"/>
                <w:b/>
                <w:bCs/>
                <w:szCs w:val="24"/>
              </w:rPr>
              <w:t xml:space="preserve">Ongoing monitoring: </w:t>
            </w:r>
          </w:p>
          <w:p w14:paraId="0A6F7248" w14:textId="77777777" w:rsidR="00ED0997" w:rsidRPr="00004070" w:rsidRDefault="00ED0997" w:rsidP="009D16B5">
            <w:pPr>
              <w:spacing w:after="50"/>
              <w:rPr>
                <w:rFonts w:eastAsia="Arial" w:cs="Arial"/>
                <w:szCs w:val="24"/>
              </w:rPr>
            </w:pPr>
            <w:r w:rsidRPr="00004070">
              <w:rPr>
                <w:rFonts w:eastAsia="Arial" w:cs="Arial"/>
                <w:szCs w:val="24"/>
              </w:rPr>
              <w:t>The specialist will retain the responsibility for monitoring the patient’s ongoing response to treatment and advise if a dose change or treatment cessation is appropriate. This should usually be undertaken annually.</w:t>
            </w:r>
          </w:p>
          <w:p w14:paraId="01BE7CD8" w14:textId="707FE54E" w:rsidR="00ED0997" w:rsidRPr="00004070" w:rsidRDefault="00ED0997" w:rsidP="009D16B5">
            <w:pPr>
              <w:spacing w:after="50"/>
              <w:rPr>
                <w:rFonts w:cs="Arial"/>
                <w:lang w:eastAsia="en-GB"/>
              </w:rPr>
            </w:pPr>
            <w:r w:rsidRPr="00004070">
              <w:rPr>
                <w:rFonts w:eastAsia="Arial" w:cs="Arial"/>
                <w:szCs w:val="24"/>
              </w:rPr>
              <w:t xml:space="preserve">After each review, advise primary care whether treatment should be continued, confirm the ongoing dose, and whether the ongoing monitoring outlined in </w:t>
            </w:r>
            <w:hyperlink r:id="rId51">
              <w:r w:rsidRPr="00004070">
                <w:rPr>
                  <w:rStyle w:val="Hyperlink"/>
                  <w:rFonts w:eastAsia="Arial" w:cs="Arial"/>
                  <w:szCs w:val="24"/>
                </w:rPr>
                <w:t>section 9</w:t>
              </w:r>
            </w:hyperlink>
            <w:r w:rsidRPr="00004070">
              <w:rPr>
                <w:rFonts w:eastAsia="Arial" w:cs="Arial"/>
                <w:szCs w:val="24"/>
              </w:rPr>
              <w:t xml:space="preserve"> remains appropriate</w:t>
            </w:r>
            <w:r w:rsidRPr="00004070">
              <w:rPr>
                <w:rFonts w:eastAsia="Arial" w:cs="Arial"/>
                <w:sz w:val="22"/>
              </w:rPr>
              <w:t>.</w:t>
            </w:r>
          </w:p>
        </w:tc>
      </w:tr>
      <w:tr w:rsidR="009A16D5" w:rsidRPr="00004070" w14:paraId="6695C431" w14:textId="77777777" w:rsidTr="1E7986F2">
        <w:trPr>
          <w:jc w:val="center"/>
        </w:trPr>
        <w:tc>
          <w:tcPr>
            <w:tcW w:w="10455" w:type="dxa"/>
            <w:gridSpan w:val="3"/>
            <w:shd w:val="clear" w:color="auto" w:fill="F2F2F2" w:themeFill="background1" w:themeFillShade="F2"/>
          </w:tcPr>
          <w:p w14:paraId="631F17A8" w14:textId="533F0BDD" w:rsidR="009A16D5" w:rsidRPr="00004070" w:rsidRDefault="009A16D5" w:rsidP="00ED0997">
            <w:pPr>
              <w:pStyle w:val="Heading1"/>
              <w:tabs>
                <w:tab w:val="right" w:pos="10238"/>
              </w:tabs>
              <w:spacing w:after="240"/>
              <w:rPr>
                <w:rFonts w:cs="Arial"/>
                <w:strike/>
                <w:lang w:eastAsia="en-GB"/>
              </w:rPr>
            </w:pPr>
            <w:bookmarkStart w:id="13" w:name="_Ongoing_monitoring_requirements"/>
            <w:bookmarkStart w:id="14" w:name="Nine_primary_care_monitoring"/>
            <w:bookmarkEnd w:id="13"/>
            <w:r w:rsidRPr="00004070">
              <w:rPr>
                <w:rFonts w:cs="Arial"/>
                <w:lang w:eastAsia="en-GB"/>
              </w:rPr>
              <w:lastRenderedPageBreak/>
              <w:t xml:space="preserve">Ongoing monitoring requirements to be undertaken </w:t>
            </w:r>
            <w:r w:rsidR="00846A4A" w:rsidRPr="00004070">
              <w:rPr>
                <w:rFonts w:cs="Arial"/>
                <w:lang w:eastAsia="en-GB"/>
              </w:rPr>
              <w:br/>
            </w:r>
            <w:r w:rsidRPr="00004070">
              <w:rPr>
                <w:rFonts w:cs="Arial"/>
                <w:lang w:eastAsia="en-GB"/>
              </w:rPr>
              <w:t>by primary care</w:t>
            </w:r>
            <w:bookmarkEnd w:id="14"/>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p w14:paraId="25F94340" w14:textId="50E56A73" w:rsidR="009A16D5" w:rsidRPr="00004070" w:rsidRDefault="009A16D5" w:rsidP="00EF4D31">
            <w:pPr>
              <w:spacing w:after="0"/>
              <w:rPr>
                <w:rFonts w:cs="Arial"/>
                <w:b/>
                <w:szCs w:val="24"/>
                <w:lang w:eastAsia="en-GB"/>
              </w:rPr>
            </w:pPr>
            <w:r w:rsidRPr="00004070">
              <w:rPr>
                <w:rFonts w:cs="Arial"/>
                <w:lang w:eastAsia="en-GB"/>
              </w:rPr>
              <w:t xml:space="preserve">See </w:t>
            </w:r>
            <w:hyperlink w:anchor="Ten_ADRs_and_Management" w:history="1">
              <w:r w:rsidRPr="00004070">
                <w:rPr>
                  <w:rStyle w:val="Hyperlink"/>
                  <w:rFonts w:eastAsia="Times New Roman" w:cs="Arial"/>
                  <w:iCs/>
                  <w:lang w:eastAsia="en-GB"/>
                </w:rPr>
                <w:t>section 10</w:t>
              </w:r>
            </w:hyperlink>
            <w:r w:rsidRPr="00004070">
              <w:rPr>
                <w:rFonts w:cs="Arial"/>
                <w:lang w:eastAsia="en-GB"/>
              </w:rPr>
              <w:t xml:space="preserve"> for further guidance on management of adverse effects/responding to monitoring results.</w:t>
            </w:r>
          </w:p>
        </w:tc>
      </w:tr>
      <w:tr w:rsidR="00ED0997" w:rsidRPr="00004070" w14:paraId="636A3198" w14:textId="77777777" w:rsidTr="1E7986F2">
        <w:trPr>
          <w:trHeight w:val="140"/>
          <w:jc w:val="center"/>
        </w:trPr>
        <w:tc>
          <w:tcPr>
            <w:tcW w:w="5227" w:type="dxa"/>
            <w:gridSpan w:val="2"/>
            <w:shd w:val="clear" w:color="auto" w:fill="F2F2F2" w:themeFill="background1" w:themeFillShade="F2"/>
          </w:tcPr>
          <w:p w14:paraId="4512E5AE" w14:textId="75D1D8D0" w:rsidR="00ED0997" w:rsidRPr="00004070" w:rsidRDefault="00ED0997" w:rsidP="00ED0997">
            <w:pPr>
              <w:keepNext/>
              <w:spacing w:before="60" w:after="60" w:line="240" w:lineRule="auto"/>
              <w:jc w:val="center"/>
              <w:rPr>
                <w:rFonts w:eastAsia="Times New Roman" w:cs="Arial"/>
                <w:b/>
                <w:szCs w:val="24"/>
                <w:lang w:eastAsia="en-GB"/>
              </w:rPr>
            </w:pPr>
            <w:r w:rsidRPr="00004070">
              <w:rPr>
                <w:rFonts w:eastAsia="Arial" w:cs="Arial"/>
                <w:b/>
                <w:bCs/>
                <w:szCs w:val="24"/>
              </w:rPr>
              <w:t>Monitoring and actions</w:t>
            </w:r>
          </w:p>
        </w:tc>
        <w:tc>
          <w:tcPr>
            <w:tcW w:w="5228" w:type="dxa"/>
            <w:shd w:val="clear" w:color="auto" w:fill="F2F2F2" w:themeFill="background1" w:themeFillShade="F2"/>
          </w:tcPr>
          <w:p w14:paraId="5B122D8C" w14:textId="20173943" w:rsidR="00ED0997" w:rsidRPr="00004070" w:rsidRDefault="00ED0997" w:rsidP="00ED0997">
            <w:pPr>
              <w:spacing w:before="60" w:after="60" w:line="240" w:lineRule="auto"/>
              <w:jc w:val="center"/>
              <w:rPr>
                <w:rFonts w:eastAsia="Times New Roman" w:cs="Arial"/>
                <w:b/>
                <w:szCs w:val="24"/>
                <w:lang w:eastAsia="en-GB"/>
              </w:rPr>
            </w:pPr>
            <w:r w:rsidRPr="00004070">
              <w:rPr>
                <w:rFonts w:eastAsia="Arial" w:cs="Arial"/>
                <w:b/>
                <w:bCs/>
                <w:szCs w:val="24"/>
              </w:rPr>
              <w:t>Frequency</w:t>
            </w:r>
          </w:p>
        </w:tc>
      </w:tr>
      <w:tr w:rsidR="00ED0997" w:rsidRPr="00004070" w14:paraId="6767A09B" w14:textId="77777777" w:rsidTr="1E7986F2">
        <w:trPr>
          <w:trHeight w:val="140"/>
          <w:jc w:val="center"/>
        </w:trPr>
        <w:tc>
          <w:tcPr>
            <w:tcW w:w="5227" w:type="dxa"/>
            <w:gridSpan w:val="2"/>
          </w:tcPr>
          <w:p w14:paraId="35AFF558" w14:textId="77777777" w:rsidR="00ED0997" w:rsidRPr="00004070" w:rsidRDefault="00ED0997" w:rsidP="009D16B5">
            <w:pPr>
              <w:pStyle w:val="ListParagraph"/>
              <w:numPr>
                <w:ilvl w:val="0"/>
                <w:numId w:val="21"/>
              </w:numPr>
              <w:rPr>
                <w:rFonts w:eastAsia="Arial" w:cs="Arial"/>
                <w:color w:val="000000" w:themeColor="text1"/>
                <w:szCs w:val="24"/>
              </w:rPr>
            </w:pPr>
            <w:r w:rsidRPr="00004070">
              <w:rPr>
                <w:rFonts w:eastAsia="Arial" w:cs="Arial"/>
                <w:color w:val="000000" w:themeColor="text1"/>
                <w:szCs w:val="24"/>
              </w:rPr>
              <w:t xml:space="preserve">FBC </w:t>
            </w:r>
          </w:p>
          <w:p w14:paraId="3A63EE69" w14:textId="77777777" w:rsidR="00ED0997" w:rsidRPr="00004070" w:rsidRDefault="00ED0997" w:rsidP="009D16B5">
            <w:pPr>
              <w:pStyle w:val="ListParagraph"/>
              <w:numPr>
                <w:ilvl w:val="0"/>
                <w:numId w:val="21"/>
              </w:numPr>
              <w:rPr>
                <w:rFonts w:eastAsia="Arial" w:cs="Arial"/>
                <w:color w:val="000000" w:themeColor="text1"/>
                <w:szCs w:val="24"/>
              </w:rPr>
            </w:pPr>
            <w:r w:rsidRPr="00004070">
              <w:rPr>
                <w:rFonts w:eastAsia="Arial" w:cs="Arial"/>
                <w:color w:val="000000" w:themeColor="text1"/>
                <w:szCs w:val="24"/>
              </w:rPr>
              <w:t>U&amp;Es including creatinine and CrCl</w:t>
            </w:r>
          </w:p>
          <w:p w14:paraId="26BE09E3" w14:textId="77777777" w:rsidR="00ED0997" w:rsidRPr="00004070" w:rsidRDefault="00ED0997" w:rsidP="009D16B5">
            <w:pPr>
              <w:pStyle w:val="ListParagraph"/>
              <w:numPr>
                <w:ilvl w:val="0"/>
                <w:numId w:val="21"/>
              </w:numPr>
              <w:rPr>
                <w:rFonts w:eastAsia="Arial" w:cs="Arial"/>
                <w:color w:val="000000" w:themeColor="text1"/>
                <w:szCs w:val="24"/>
              </w:rPr>
            </w:pPr>
            <w:r w:rsidRPr="00004070">
              <w:rPr>
                <w:rFonts w:eastAsia="Arial" w:cs="Arial"/>
                <w:color w:val="000000" w:themeColor="text1"/>
                <w:szCs w:val="24"/>
              </w:rPr>
              <w:t>ALT and/or AST, and albumin</w:t>
            </w:r>
          </w:p>
          <w:p w14:paraId="1D69D13A" w14:textId="638E17D7" w:rsidR="00ED0997" w:rsidRPr="00004070" w:rsidRDefault="00ED0997" w:rsidP="009D16B5">
            <w:pPr>
              <w:pStyle w:val="ListParagraph"/>
              <w:numPr>
                <w:ilvl w:val="0"/>
                <w:numId w:val="4"/>
              </w:numPr>
              <w:autoSpaceDE w:val="0"/>
              <w:autoSpaceDN w:val="0"/>
              <w:adjustRightInd w:val="0"/>
              <w:rPr>
                <w:rFonts w:eastAsia="Times New Roman" w:cs="Arial"/>
                <w:b/>
                <w:szCs w:val="24"/>
                <w:lang w:eastAsia="en-GB"/>
              </w:rPr>
            </w:pPr>
            <w:r w:rsidRPr="00004070">
              <w:rPr>
                <w:rFonts w:eastAsia="Arial" w:cs="Arial"/>
                <w:szCs w:val="24"/>
              </w:rPr>
              <w:t xml:space="preserve">Rheumatology patients: CRP &amp;/or ESR  </w:t>
            </w:r>
          </w:p>
        </w:tc>
        <w:tc>
          <w:tcPr>
            <w:tcW w:w="5228" w:type="dxa"/>
          </w:tcPr>
          <w:p w14:paraId="659B91D8" w14:textId="37D8503E"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 xml:space="preserve">Monthly for three months, </w:t>
            </w:r>
            <w:r w:rsidR="0042420D" w:rsidRPr="006A1118">
              <w:rPr>
                <w:rFonts w:eastAsia="Arial" w:cs="Arial"/>
                <w:color w:val="000000" w:themeColor="text1"/>
                <w:szCs w:val="24"/>
              </w:rPr>
              <w:t>which should be</w:t>
            </w:r>
            <w:r w:rsidR="0042420D" w:rsidRPr="0042420D">
              <w:rPr>
                <w:rFonts w:eastAsia="Arial" w:cs="Arial"/>
                <w:color w:val="FF0000"/>
                <w:szCs w:val="24"/>
              </w:rPr>
              <w:t xml:space="preserve"> </w:t>
            </w:r>
            <w:r w:rsidRPr="00004070">
              <w:rPr>
                <w:rFonts w:eastAsia="Arial" w:cs="Arial"/>
                <w:color w:val="000000" w:themeColor="text1"/>
                <w:szCs w:val="24"/>
              </w:rPr>
              <w:t>completed in secondary care.  Thereafter at least every 12 weeks, and more frequently in patients at higher risk of toxicity, as advised by the specialist team.</w:t>
            </w:r>
          </w:p>
          <w:p w14:paraId="5CBD5B62" w14:textId="1C36ED1A" w:rsidR="00ED0997" w:rsidRPr="00004070" w:rsidRDefault="00ED0997" w:rsidP="009D16B5">
            <w:pPr>
              <w:spacing w:after="50"/>
              <w:rPr>
                <w:rFonts w:cs="Arial"/>
                <w:b/>
                <w:szCs w:val="24"/>
                <w:lang w:eastAsia="en-GB"/>
              </w:rPr>
            </w:pPr>
            <w:r w:rsidRPr="00004070">
              <w:rPr>
                <w:rFonts w:eastAsia="Arial" w:cs="Arial"/>
                <w:b/>
                <w:bCs/>
                <w:color w:val="000000" w:themeColor="text1"/>
                <w:szCs w:val="24"/>
              </w:rPr>
              <w:t>The exact frequency of monitoring to be communicated by the specialist in all cases</w:t>
            </w:r>
            <w:r w:rsidRPr="00004070">
              <w:rPr>
                <w:rFonts w:eastAsia="Arial" w:cs="Arial"/>
                <w:color w:val="000000" w:themeColor="text1"/>
                <w:szCs w:val="24"/>
              </w:rPr>
              <w:t>.</w:t>
            </w:r>
          </w:p>
        </w:tc>
      </w:tr>
      <w:tr w:rsidR="00ED0997" w:rsidRPr="00004070" w14:paraId="0F38AB0A" w14:textId="77777777" w:rsidTr="1E7986F2">
        <w:trPr>
          <w:trHeight w:val="140"/>
          <w:jc w:val="center"/>
        </w:trPr>
        <w:tc>
          <w:tcPr>
            <w:tcW w:w="5227" w:type="dxa"/>
            <w:gridSpan w:val="2"/>
          </w:tcPr>
          <w:p w14:paraId="71C5EF87" w14:textId="77777777" w:rsidR="00ED0997" w:rsidRPr="00004070" w:rsidRDefault="00ED0997" w:rsidP="009D16B5">
            <w:pPr>
              <w:pStyle w:val="Default"/>
              <w:spacing w:after="50" w:line="360" w:lineRule="atLeast"/>
              <w:rPr>
                <w:rFonts w:eastAsia="Arial"/>
              </w:rPr>
            </w:pPr>
            <w:r w:rsidRPr="00004070">
              <w:rPr>
                <w:rFonts w:eastAsia="Arial"/>
                <w:color w:val="000000" w:themeColor="text1"/>
              </w:rPr>
              <w:lastRenderedPageBreak/>
              <w:t xml:space="preserve">Patients aged 70-79 years old could be eligible for the shingles vaccine (varicella zoster). For patients taking prednisolone exceeding 20mg daily or azathioprine exceeding 3mg/kg/day a non-live vaccine should be used.  Specialist input may be required. If patient is taking additional DMARDs, check advice for all drugs.  Please refer to </w:t>
            </w:r>
            <w:hyperlink r:id="rId52">
              <w:r w:rsidRPr="00004070">
                <w:rPr>
                  <w:rStyle w:val="Hyperlink"/>
                  <w:rFonts w:eastAsia="Arial"/>
                </w:rPr>
                <w:t>Green Book Chapter 6</w:t>
              </w:r>
            </w:hyperlink>
            <w:r w:rsidRPr="00004070">
              <w:rPr>
                <w:rFonts w:eastAsia="Arial"/>
                <w:color w:val="000000" w:themeColor="text1"/>
              </w:rPr>
              <w:t xml:space="preserve"> and </w:t>
            </w:r>
            <w:hyperlink r:id="rId53">
              <w:r w:rsidRPr="00004070">
                <w:rPr>
                  <w:rStyle w:val="Hyperlink"/>
                  <w:rFonts w:eastAsia="Arial"/>
                </w:rPr>
                <w:t>Chapter 28a (Shingles)</w:t>
              </w:r>
            </w:hyperlink>
            <w:r w:rsidRPr="00004070">
              <w:rPr>
                <w:rStyle w:val="Hyperlink"/>
                <w:rFonts w:eastAsia="Arial"/>
              </w:rPr>
              <w:t xml:space="preserve"> </w:t>
            </w:r>
            <w:r w:rsidRPr="00004070">
              <w:rPr>
                <w:rFonts w:eastAsia="Arial"/>
                <w:color w:val="000000" w:themeColor="text1"/>
              </w:rPr>
              <w:t>for further details.</w:t>
            </w:r>
          </w:p>
          <w:p w14:paraId="5183033B" w14:textId="77777777" w:rsidR="00ED0997" w:rsidRPr="00004070" w:rsidRDefault="00ED0997" w:rsidP="009D16B5">
            <w:pPr>
              <w:pStyle w:val="Default"/>
              <w:spacing w:after="50" w:line="360" w:lineRule="atLeast"/>
              <w:rPr>
                <w:rFonts w:eastAsia="Arial"/>
              </w:rPr>
            </w:pPr>
            <w:r w:rsidRPr="00004070">
              <w:rPr>
                <w:rFonts w:eastAsia="Arial"/>
                <w:b/>
                <w:bCs/>
                <w:color w:val="000000" w:themeColor="text1"/>
              </w:rPr>
              <w:t xml:space="preserve">Annual </w:t>
            </w:r>
            <w:r w:rsidRPr="00004070">
              <w:rPr>
                <w:rFonts w:eastAsia="Arial"/>
                <w:color w:val="000000" w:themeColor="text1"/>
              </w:rPr>
              <w:t>influenza (</w:t>
            </w:r>
            <w:hyperlink r:id="rId54">
              <w:r w:rsidRPr="00004070">
                <w:rPr>
                  <w:rStyle w:val="Hyperlink"/>
                  <w:rFonts w:eastAsia="Arial"/>
                </w:rPr>
                <w:t>The Green Book, Chapter 19</w:t>
              </w:r>
            </w:hyperlink>
            <w:r w:rsidRPr="00004070">
              <w:rPr>
                <w:rFonts w:eastAsia="Arial"/>
                <w:color w:val="000000" w:themeColor="text1"/>
              </w:rPr>
              <w:t>) vaccinations are recommended</w:t>
            </w:r>
          </w:p>
          <w:p w14:paraId="2A1FE2A6" w14:textId="77777777" w:rsidR="00ED0997" w:rsidRPr="00004070" w:rsidRDefault="00ED0997" w:rsidP="009D16B5">
            <w:pPr>
              <w:pStyle w:val="Default"/>
              <w:spacing w:after="50" w:line="360" w:lineRule="atLeast"/>
              <w:rPr>
                <w:rFonts w:eastAsia="Arial"/>
              </w:rPr>
            </w:pPr>
            <w:r w:rsidRPr="00004070">
              <w:rPr>
                <w:rFonts w:eastAsia="Arial"/>
                <w:color w:val="000000" w:themeColor="text1"/>
              </w:rPr>
              <w:t xml:space="preserve">COVID-19 vaccination is safe and recommended (see </w:t>
            </w:r>
            <w:hyperlink r:id="rId55">
              <w:r w:rsidRPr="00004070">
                <w:rPr>
                  <w:rStyle w:val="Hyperlink"/>
                  <w:rFonts w:eastAsia="Arial"/>
                </w:rPr>
                <w:t>The Green Book, Chapter 14a</w:t>
              </w:r>
            </w:hyperlink>
            <w:r w:rsidRPr="00004070">
              <w:rPr>
                <w:rFonts w:eastAsia="Arial"/>
                <w:color w:val="000000" w:themeColor="text1"/>
              </w:rPr>
              <w:t xml:space="preserve">). </w:t>
            </w:r>
          </w:p>
          <w:p w14:paraId="072D2682" w14:textId="146AA248" w:rsidR="00ED0997" w:rsidRPr="00004070" w:rsidRDefault="00ED0997" w:rsidP="009D16B5">
            <w:pPr>
              <w:pStyle w:val="Default"/>
              <w:spacing w:after="50" w:line="360" w:lineRule="atLeast"/>
              <w:rPr>
                <w:rFonts w:eastAsia="Arial"/>
              </w:rPr>
            </w:pPr>
            <w:r w:rsidRPr="00004070">
              <w:rPr>
                <w:rFonts w:eastAsia="Arial"/>
                <w:color w:val="000000" w:themeColor="text1"/>
              </w:rPr>
              <w:t xml:space="preserve">Repeat pneumococcal vaccine may be indicated. See </w:t>
            </w:r>
            <w:hyperlink r:id="rId56">
              <w:r w:rsidRPr="00004070">
                <w:rPr>
                  <w:rStyle w:val="Hyperlink"/>
                  <w:rFonts w:eastAsia="Arial"/>
                </w:rPr>
                <w:t>Green Book Chapter 25</w:t>
              </w:r>
            </w:hyperlink>
            <w:r w:rsidRPr="00004070">
              <w:rPr>
                <w:rFonts w:eastAsia="Arial"/>
                <w:color w:val="000000" w:themeColor="text1"/>
              </w:rPr>
              <w:t xml:space="preserve"> for advice.</w:t>
            </w:r>
          </w:p>
        </w:tc>
        <w:tc>
          <w:tcPr>
            <w:tcW w:w="5228" w:type="dxa"/>
          </w:tcPr>
          <w:p w14:paraId="5FE31C57" w14:textId="77777777" w:rsidR="00ED0997" w:rsidRPr="00004070" w:rsidRDefault="00ED0997" w:rsidP="009D16B5">
            <w:pPr>
              <w:pStyle w:val="ListParagraph"/>
              <w:numPr>
                <w:ilvl w:val="0"/>
                <w:numId w:val="22"/>
              </w:numPr>
              <w:rPr>
                <w:rFonts w:eastAsia="Arial" w:cs="Arial"/>
                <w:color w:val="000000" w:themeColor="text1"/>
                <w:szCs w:val="24"/>
              </w:rPr>
            </w:pPr>
            <w:r w:rsidRPr="00004070">
              <w:rPr>
                <w:rFonts w:eastAsia="Arial" w:cs="Arial"/>
                <w:color w:val="000000" w:themeColor="text1"/>
                <w:szCs w:val="24"/>
              </w:rPr>
              <w:t>Shingles vaccination: one-off.</w:t>
            </w:r>
          </w:p>
          <w:p w14:paraId="26C31BBC" w14:textId="77777777" w:rsidR="00ED0997" w:rsidRPr="00004070" w:rsidRDefault="00ED0997" w:rsidP="009D16B5">
            <w:pPr>
              <w:pStyle w:val="ListParagraph"/>
              <w:numPr>
                <w:ilvl w:val="0"/>
                <w:numId w:val="22"/>
              </w:numPr>
              <w:rPr>
                <w:rFonts w:eastAsia="Arial" w:cs="Arial"/>
                <w:color w:val="000000" w:themeColor="text1"/>
                <w:szCs w:val="24"/>
              </w:rPr>
            </w:pPr>
            <w:r w:rsidRPr="00004070">
              <w:rPr>
                <w:rFonts w:eastAsia="Arial" w:cs="Arial"/>
                <w:color w:val="000000" w:themeColor="text1"/>
                <w:szCs w:val="24"/>
              </w:rPr>
              <w:t>Influenza vaccination: annual. It is advisable to add the patient to the influenza vaccine list.</w:t>
            </w:r>
          </w:p>
          <w:p w14:paraId="6A2B03AB" w14:textId="260BC4E1" w:rsidR="00ED0997" w:rsidRPr="00004070" w:rsidRDefault="00ED0997" w:rsidP="009D16B5">
            <w:pPr>
              <w:spacing w:after="50"/>
              <w:rPr>
                <w:rFonts w:cs="Arial"/>
                <w:lang w:eastAsia="en-GB"/>
              </w:rPr>
            </w:pPr>
            <w:r w:rsidRPr="00004070">
              <w:rPr>
                <w:rFonts w:eastAsia="Arial" w:cs="Arial"/>
                <w:color w:val="000000" w:themeColor="text1"/>
                <w:szCs w:val="24"/>
              </w:rPr>
              <w:t>COVID-19 vaccination as per national schedule.</w:t>
            </w:r>
          </w:p>
        </w:tc>
      </w:tr>
      <w:tr w:rsidR="1E7986F2" w:rsidRPr="00004070" w14:paraId="168D5362" w14:textId="77777777" w:rsidTr="1E7986F2">
        <w:trPr>
          <w:trHeight w:val="140"/>
          <w:jc w:val="center"/>
        </w:trPr>
        <w:tc>
          <w:tcPr>
            <w:tcW w:w="10455" w:type="dxa"/>
            <w:gridSpan w:val="3"/>
          </w:tcPr>
          <w:p w14:paraId="27FA7CE6" w14:textId="2D74DC2E" w:rsidR="1E7986F2" w:rsidRPr="00004070" w:rsidRDefault="1E7986F2" w:rsidP="1E7986F2">
            <w:pPr>
              <w:spacing w:line="257" w:lineRule="auto"/>
            </w:pPr>
            <w:r w:rsidRPr="00004070">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004070" w14:paraId="042BD065" w14:textId="77777777" w:rsidTr="1E7986F2">
        <w:trPr>
          <w:jc w:val="center"/>
        </w:trPr>
        <w:tc>
          <w:tcPr>
            <w:tcW w:w="10455" w:type="dxa"/>
            <w:gridSpan w:val="3"/>
            <w:shd w:val="clear" w:color="auto" w:fill="F2F2F2" w:themeFill="background1" w:themeFillShade="F2"/>
          </w:tcPr>
          <w:p w14:paraId="32599F9D" w14:textId="4BCAEC5E" w:rsidR="005F463D" w:rsidRPr="00004070" w:rsidRDefault="005F463D" w:rsidP="00EF4D31">
            <w:pPr>
              <w:pStyle w:val="Heading1"/>
              <w:tabs>
                <w:tab w:val="right" w:pos="10238"/>
              </w:tabs>
              <w:ind w:left="599" w:hanging="599"/>
              <w:rPr>
                <w:rFonts w:cs="Arial"/>
                <w:lang w:eastAsia="en-GB"/>
              </w:rPr>
            </w:pPr>
            <w:bookmarkStart w:id="15" w:name="Ten_ADRs_and_Management"/>
            <w:r w:rsidRPr="00004070">
              <w:rPr>
                <w:rFonts w:cs="Arial"/>
                <w:lang w:eastAsia="en-GB"/>
              </w:rPr>
              <w:t>Adverse effects and other management</w:t>
            </w:r>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bookmarkEnd w:id="15"/>
          <w:p w14:paraId="334D0561" w14:textId="77777777" w:rsidR="005F463D" w:rsidRPr="00004070" w:rsidRDefault="005F463D" w:rsidP="00846A4A">
            <w:pPr>
              <w:spacing w:after="120"/>
              <w:rPr>
                <w:rStyle w:val="Hyperlink"/>
                <w:rFonts w:eastAsia="Calibri" w:cs="Arial"/>
                <w:noProof/>
                <w:sz w:val="22"/>
                <w:lang w:eastAsia="en-GB"/>
              </w:rPr>
            </w:pPr>
            <w:r w:rsidRPr="00004070">
              <w:rPr>
                <w:rFonts w:cs="Arial"/>
                <w:b/>
                <w:bCs/>
              </w:rPr>
              <w:t xml:space="preserve">Any serious adverse reactions should be reported to the MHRA via the Yellow Card scheme. Visit </w:t>
            </w:r>
            <w:hyperlink r:id="rId57" w:tooltip="http://www.mhra.gov.uk/yellowcard" w:history="1">
              <w:r w:rsidRPr="00004070">
                <w:rPr>
                  <w:rStyle w:val="Hyperlink"/>
                  <w:rFonts w:eastAsia="Calibri" w:cs="Arial"/>
                  <w:noProof/>
                  <w:sz w:val="22"/>
                  <w:lang w:eastAsia="en-GB"/>
                </w:rPr>
                <w:t>www.mhra.gov.uk/yellowcard</w:t>
              </w:r>
            </w:hyperlink>
          </w:p>
          <w:p w14:paraId="6CDD62FF" w14:textId="2CD42EAF" w:rsidR="005F463D" w:rsidRPr="00004070" w:rsidRDefault="005F463D" w:rsidP="00846A4A">
            <w:pPr>
              <w:spacing w:after="120"/>
              <w:rPr>
                <w:rFonts w:cs="Arial"/>
                <w:noProof/>
                <w:sz w:val="20"/>
                <w:szCs w:val="20"/>
                <w:lang w:eastAsia="en-GB"/>
              </w:rPr>
            </w:pPr>
            <w:r w:rsidRPr="00004070">
              <w:rPr>
                <w:rStyle w:val="Hyperlink"/>
                <w:rFonts w:eastAsia="Calibri" w:cs="Arial"/>
                <w:noProof/>
                <w:color w:val="000000"/>
                <w:sz w:val="22"/>
                <w:u w:val="none"/>
                <w:lang w:eastAsia="en-GB"/>
              </w:rPr>
              <w:t>For information on incidence of ADRs see relevant summaries of product characteristics</w:t>
            </w:r>
          </w:p>
        </w:tc>
      </w:tr>
      <w:tr w:rsidR="00ED0997" w:rsidRPr="00004070" w14:paraId="3C261EF2" w14:textId="77777777" w:rsidTr="1E7986F2">
        <w:trPr>
          <w:jc w:val="center"/>
        </w:trPr>
        <w:tc>
          <w:tcPr>
            <w:tcW w:w="5227" w:type="dxa"/>
            <w:gridSpan w:val="2"/>
            <w:shd w:val="clear" w:color="auto" w:fill="F2F2F2" w:themeFill="background1" w:themeFillShade="F2"/>
          </w:tcPr>
          <w:p w14:paraId="516C3772" w14:textId="23999D83" w:rsidR="00ED0997" w:rsidRPr="00004070" w:rsidRDefault="00ED0997" w:rsidP="00ED0997">
            <w:pPr>
              <w:spacing w:before="60" w:after="60" w:line="240" w:lineRule="auto"/>
              <w:jc w:val="center"/>
              <w:rPr>
                <w:rFonts w:eastAsia="Times New Roman" w:cs="Arial"/>
                <w:b/>
                <w:lang w:eastAsia="en-GB"/>
              </w:rPr>
            </w:pPr>
            <w:r w:rsidRPr="00004070">
              <w:rPr>
                <w:rFonts w:eastAsia="Arial" w:cs="Arial"/>
                <w:b/>
                <w:bCs/>
                <w:szCs w:val="24"/>
              </w:rPr>
              <w:t>Result</w:t>
            </w:r>
          </w:p>
        </w:tc>
        <w:tc>
          <w:tcPr>
            <w:tcW w:w="5228" w:type="dxa"/>
            <w:shd w:val="clear" w:color="auto" w:fill="F2F2F2" w:themeFill="background1" w:themeFillShade="F2"/>
          </w:tcPr>
          <w:p w14:paraId="0CA8A09B" w14:textId="465B3106" w:rsidR="00ED0997" w:rsidRPr="00004070" w:rsidRDefault="00ED0997" w:rsidP="00ED0997">
            <w:pPr>
              <w:spacing w:before="60" w:after="60" w:line="240" w:lineRule="auto"/>
              <w:jc w:val="center"/>
              <w:rPr>
                <w:rFonts w:eastAsia="Times New Roman" w:cs="Arial"/>
                <w:b/>
                <w:lang w:eastAsia="en-GB"/>
              </w:rPr>
            </w:pPr>
            <w:r w:rsidRPr="00004070">
              <w:rPr>
                <w:rFonts w:eastAsia="Arial" w:cs="Arial"/>
                <w:b/>
                <w:bCs/>
                <w:szCs w:val="24"/>
              </w:rPr>
              <w:t>Action for primary care</w:t>
            </w:r>
          </w:p>
        </w:tc>
      </w:tr>
      <w:tr w:rsidR="00ED0997" w:rsidRPr="00004070" w14:paraId="6C44DC1D" w14:textId="77777777" w:rsidTr="1E7986F2">
        <w:trPr>
          <w:jc w:val="center"/>
        </w:trPr>
        <w:tc>
          <w:tcPr>
            <w:tcW w:w="10455" w:type="dxa"/>
            <w:gridSpan w:val="3"/>
            <w:shd w:val="clear" w:color="auto" w:fill="F2F2F2" w:themeFill="background1" w:themeFillShade="F2"/>
          </w:tcPr>
          <w:p w14:paraId="00D7A796" w14:textId="1802799F" w:rsidR="00ED0997" w:rsidRPr="00004070" w:rsidRDefault="00ED0997" w:rsidP="00ED0997">
            <w:pPr>
              <w:spacing w:after="0"/>
              <w:jc w:val="center"/>
              <w:rPr>
                <w:rFonts w:cs="Arial"/>
                <w:b/>
                <w:bCs/>
                <w:lang w:eastAsia="en-GB"/>
              </w:rPr>
            </w:pPr>
            <w:r w:rsidRPr="00004070">
              <w:rPr>
                <w:rFonts w:eastAsia="Arial" w:cs="Arial"/>
                <w:b/>
                <w:bCs/>
                <w:sz w:val="22"/>
              </w:rPr>
              <w:t>As well as responding to absolute values in laboratory tests, a rapid change or a consistent trend in any value should prompt caution and extra vigilance</w:t>
            </w:r>
          </w:p>
        </w:tc>
      </w:tr>
      <w:tr w:rsidR="00ED0997" w:rsidRPr="00004070" w14:paraId="1FA82767" w14:textId="77777777" w:rsidTr="1E7986F2">
        <w:trPr>
          <w:trHeight w:val="78"/>
          <w:jc w:val="center"/>
        </w:trPr>
        <w:tc>
          <w:tcPr>
            <w:tcW w:w="5227" w:type="dxa"/>
            <w:gridSpan w:val="2"/>
          </w:tcPr>
          <w:p w14:paraId="5ADE3CF9" w14:textId="77777777" w:rsidR="00ED0997" w:rsidRPr="00004070" w:rsidRDefault="00ED0997" w:rsidP="009D16B5">
            <w:pPr>
              <w:pStyle w:val="Heading1"/>
              <w:numPr>
                <w:ilvl w:val="0"/>
                <w:numId w:val="0"/>
              </w:numPr>
              <w:spacing w:before="60" w:after="60" w:line="360" w:lineRule="atLeast"/>
              <w:ind w:left="357" w:hanging="357"/>
              <w:rPr>
                <w:rFonts w:eastAsia="Arial" w:cs="Arial"/>
                <w:b w:val="0"/>
                <w:bCs w:val="0"/>
                <w:color w:val="000000" w:themeColor="text1"/>
                <w:sz w:val="24"/>
                <w:szCs w:val="24"/>
              </w:rPr>
            </w:pPr>
            <w:r w:rsidRPr="00004070">
              <w:rPr>
                <w:rFonts w:eastAsia="Arial" w:cs="Arial"/>
                <w:color w:val="000000" w:themeColor="text1"/>
                <w:sz w:val="24"/>
                <w:szCs w:val="24"/>
              </w:rPr>
              <w:lastRenderedPageBreak/>
              <w:t>Full blood count</w:t>
            </w:r>
            <w:r w:rsidRPr="00004070">
              <w:rPr>
                <w:rFonts w:eastAsia="Arial" w:cs="Arial"/>
                <w:b w:val="0"/>
                <w:bCs w:val="0"/>
                <w:color w:val="000000" w:themeColor="text1"/>
                <w:sz w:val="24"/>
                <w:szCs w:val="24"/>
              </w:rPr>
              <w:t xml:space="preserve">: </w:t>
            </w:r>
          </w:p>
          <w:p w14:paraId="1AD6049C" w14:textId="77777777" w:rsidR="00ED0997" w:rsidRPr="00004070" w:rsidRDefault="00ED0997" w:rsidP="009D16B5">
            <w:pPr>
              <w:pStyle w:val="ListParagraph"/>
              <w:numPr>
                <w:ilvl w:val="0"/>
                <w:numId w:val="23"/>
              </w:numPr>
              <w:spacing w:after="200"/>
              <w:rPr>
                <w:rFonts w:eastAsia="Arial" w:cs="Arial"/>
                <w:szCs w:val="24"/>
              </w:rPr>
            </w:pPr>
            <w:r w:rsidRPr="00004070">
              <w:rPr>
                <w:rFonts w:eastAsia="Arial" w:cs="Arial"/>
                <w:szCs w:val="24"/>
              </w:rPr>
              <w:t>White blood cells less than 3.5x10</w:t>
            </w:r>
            <w:r w:rsidRPr="00004070">
              <w:rPr>
                <w:rFonts w:eastAsia="Arial" w:cs="Arial"/>
                <w:szCs w:val="24"/>
                <w:vertAlign w:val="superscript"/>
              </w:rPr>
              <w:t>9</w:t>
            </w:r>
            <w:r w:rsidRPr="00004070">
              <w:rPr>
                <w:rFonts w:eastAsia="Arial" w:cs="Arial"/>
                <w:szCs w:val="24"/>
              </w:rPr>
              <w:t>/L</w:t>
            </w:r>
          </w:p>
          <w:p w14:paraId="1F7B9A95" w14:textId="77777777" w:rsidR="00ED0997" w:rsidRPr="00004070" w:rsidRDefault="00ED0997" w:rsidP="009D16B5">
            <w:pPr>
              <w:pStyle w:val="ListParagraph"/>
              <w:numPr>
                <w:ilvl w:val="0"/>
                <w:numId w:val="23"/>
              </w:numPr>
              <w:spacing w:after="200"/>
              <w:rPr>
                <w:rFonts w:eastAsia="Arial" w:cs="Arial"/>
                <w:szCs w:val="24"/>
              </w:rPr>
            </w:pPr>
            <w:r w:rsidRPr="00004070">
              <w:rPr>
                <w:rFonts w:eastAsia="Arial" w:cs="Arial"/>
                <w:szCs w:val="24"/>
              </w:rPr>
              <w:t>Lymphocytes less than 0.5x10</w:t>
            </w:r>
            <w:r w:rsidRPr="00004070">
              <w:rPr>
                <w:rFonts w:eastAsia="Arial" w:cs="Arial"/>
                <w:szCs w:val="24"/>
                <w:vertAlign w:val="superscript"/>
              </w:rPr>
              <w:t>9</w:t>
            </w:r>
            <w:r w:rsidRPr="00004070">
              <w:rPr>
                <w:rFonts w:eastAsia="Arial" w:cs="Arial"/>
                <w:szCs w:val="24"/>
              </w:rPr>
              <w:t>/L</w:t>
            </w:r>
          </w:p>
          <w:p w14:paraId="63E60BA9" w14:textId="77777777" w:rsidR="00ED0997" w:rsidRPr="00004070" w:rsidRDefault="00ED0997" w:rsidP="009D16B5">
            <w:pPr>
              <w:pStyle w:val="ListParagraph"/>
              <w:numPr>
                <w:ilvl w:val="0"/>
                <w:numId w:val="23"/>
              </w:numPr>
              <w:spacing w:after="200"/>
              <w:rPr>
                <w:rFonts w:eastAsia="Arial" w:cs="Arial"/>
                <w:szCs w:val="24"/>
              </w:rPr>
            </w:pPr>
            <w:r w:rsidRPr="00004070">
              <w:rPr>
                <w:rFonts w:eastAsia="Arial" w:cs="Arial"/>
                <w:szCs w:val="24"/>
              </w:rPr>
              <w:t>Neutrophils less than 1.6x10</w:t>
            </w:r>
            <w:r w:rsidRPr="00004070">
              <w:rPr>
                <w:rFonts w:eastAsia="Arial" w:cs="Arial"/>
                <w:szCs w:val="24"/>
                <w:vertAlign w:val="superscript"/>
              </w:rPr>
              <w:t>9</w:t>
            </w:r>
            <w:r w:rsidRPr="00004070">
              <w:rPr>
                <w:rFonts w:eastAsia="Arial" w:cs="Arial"/>
                <w:szCs w:val="24"/>
              </w:rPr>
              <w:t>/L</w:t>
            </w:r>
          </w:p>
          <w:p w14:paraId="0B5A41D1" w14:textId="77777777" w:rsidR="00ED0997" w:rsidRPr="00004070" w:rsidRDefault="00ED0997" w:rsidP="009D16B5">
            <w:pPr>
              <w:pStyle w:val="ListParagraph"/>
              <w:numPr>
                <w:ilvl w:val="0"/>
                <w:numId w:val="23"/>
              </w:numPr>
              <w:spacing w:after="200"/>
              <w:rPr>
                <w:rFonts w:eastAsia="Arial" w:cs="Arial"/>
                <w:szCs w:val="24"/>
              </w:rPr>
            </w:pPr>
            <w:r w:rsidRPr="00004070">
              <w:rPr>
                <w:rFonts w:eastAsia="Arial" w:cs="Arial"/>
                <w:szCs w:val="24"/>
              </w:rPr>
              <w:t>Platelets less than 140x10</w:t>
            </w:r>
            <w:r w:rsidRPr="00004070">
              <w:rPr>
                <w:rFonts w:eastAsia="Arial" w:cs="Arial"/>
                <w:szCs w:val="24"/>
                <w:vertAlign w:val="superscript"/>
              </w:rPr>
              <w:t>9</w:t>
            </w:r>
            <w:r w:rsidRPr="00004070">
              <w:rPr>
                <w:rFonts w:eastAsia="Arial" w:cs="Arial"/>
                <w:szCs w:val="24"/>
              </w:rPr>
              <w:t>/L</w:t>
            </w:r>
          </w:p>
          <w:p w14:paraId="02EB5D0E" w14:textId="209BA63A" w:rsidR="00ED0997" w:rsidRPr="00004070" w:rsidRDefault="00ED0997" w:rsidP="009D16B5">
            <w:pPr>
              <w:rPr>
                <w:rFonts w:cs="Arial"/>
                <w:b/>
                <w:bCs/>
                <w:lang w:eastAsia="en-GB"/>
              </w:rPr>
            </w:pPr>
            <w:r w:rsidRPr="00004070">
              <w:rPr>
                <w:rFonts w:eastAsia="Arial" w:cs="Arial"/>
                <w:szCs w:val="24"/>
              </w:rPr>
              <w:t>Eosinophilia greater than 0.5x10</w:t>
            </w:r>
            <w:r w:rsidRPr="00004070">
              <w:rPr>
                <w:rFonts w:eastAsia="Arial" w:cs="Arial"/>
                <w:szCs w:val="24"/>
                <w:vertAlign w:val="superscript"/>
              </w:rPr>
              <w:t>9</w:t>
            </w:r>
            <w:r w:rsidRPr="00004070">
              <w:rPr>
                <w:rFonts w:eastAsia="Arial" w:cs="Arial"/>
                <w:szCs w:val="24"/>
              </w:rPr>
              <w:t>/L</w:t>
            </w:r>
          </w:p>
        </w:tc>
        <w:tc>
          <w:tcPr>
            <w:tcW w:w="5228" w:type="dxa"/>
          </w:tcPr>
          <w:p w14:paraId="7CCD332A" w14:textId="57C32CF9" w:rsidR="00ED0997" w:rsidRPr="00004070" w:rsidRDefault="00ED0997" w:rsidP="009D16B5">
            <w:pPr>
              <w:pStyle w:val="Heading1"/>
              <w:numPr>
                <w:ilvl w:val="0"/>
                <w:numId w:val="0"/>
              </w:numPr>
              <w:spacing w:before="60" w:after="60" w:line="360" w:lineRule="atLeast"/>
              <w:ind w:left="51" w:hanging="51"/>
              <w:rPr>
                <w:rFonts w:eastAsia="Arial" w:cs="Arial"/>
                <w:b w:val="0"/>
                <w:bCs w:val="0"/>
                <w:color w:val="000000" w:themeColor="text1"/>
                <w:sz w:val="24"/>
                <w:szCs w:val="24"/>
              </w:rPr>
            </w:pPr>
            <w:r w:rsidRPr="00004070">
              <w:rPr>
                <w:rFonts w:eastAsia="Arial" w:cs="Arial"/>
                <w:b w:val="0"/>
                <w:bCs w:val="0"/>
                <w:color w:val="000000" w:themeColor="text1"/>
                <w:sz w:val="24"/>
                <w:szCs w:val="24"/>
              </w:rPr>
              <w:t xml:space="preserve">Discuss urgently with specialist team, and consider interruption. </w:t>
            </w:r>
          </w:p>
          <w:p w14:paraId="6897B92F" w14:textId="6730D9F3" w:rsidR="00ED0997" w:rsidRPr="00004070" w:rsidRDefault="00ED0997" w:rsidP="009D16B5">
            <w:pPr>
              <w:rPr>
                <w:rFonts w:eastAsia="Times New Roman" w:cs="Arial"/>
                <w:b/>
                <w:lang w:eastAsia="en-GB"/>
              </w:rPr>
            </w:pPr>
            <w:r w:rsidRPr="00004070">
              <w:rPr>
                <w:rFonts w:eastAsia="Arial" w:cs="Arial"/>
                <w:color w:val="000000" w:themeColor="text1"/>
                <w:szCs w:val="24"/>
              </w:rPr>
              <w:t xml:space="preserve">NB: Isolated lymphopenia or eosinophilia is often a feature of the underlying autoimmune indication, and is rarely an indication to discontinue azathioprine. </w:t>
            </w:r>
          </w:p>
        </w:tc>
      </w:tr>
      <w:tr w:rsidR="00ED0997" w:rsidRPr="00004070" w14:paraId="66089C4A" w14:textId="77777777" w:rsidTr="1E7986F2">
        <w:trPr>
          <w:trHeight w:val="78"/>
          <w:jc w:val="center"/>
        </w:trPr>
        <w:tc>
          <w:tcPr>
            <w:tcW w:w="5227" w:type="dxa"/>
            <w:gridSpan w:val="2"/>
          </w:tcPr>
          <w:p w14:paraId="4E192675"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Mean cell volume  &gt;105 fl</w:t>
            </w:r>
          </w:p>
          <w:p w14:paraId="786F5C7A" w14:textId="35E54613" w:rsidR="00ED0997" w:rsidRPr="00004070" w:rsidRDefault="00ED0997" w:rsidP="009D16B5">
            <w:pPr>
              <w:rPr>
                <w:rFonts w:eastAsia="Times New Roman" w:cs="Arial"/>
                <w:b/>
                <w:lang w:eastAsia="en-GB"/>
              </w:rPr>
            </w:pPr>
            <w:r w:rsidRPr="00004070">
              <w:rPr>
                <w:rFonts w:eastAsia="Arial" w:cs="Arial"/>
                <w:color w:val="000000" w:themeColor="text1"/>
                <w:szCs w:val="24"/>
              </w:rPr>
              <w:t xml:space="preserve">NB: Reversible, dose-related increases in mean corpuscular volume are a known effect of thiopurines. </w:t>
            </w:r>
          </w:p>
        </w:tc>
        <w:tc>
          <w:tcPr>
            <w:tcW w:w="5228" w:type="dxa"/>
          </w:tcPr>
          <w:p w14:paraId="10E46E43"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 xml:space="preserve">Consider interruption in treatment if there is a significant increase from baseline. </w:t>
            </w:r>
          </w:p>
          <w:p w14:paraId="469F3D89" w14:textId="2666C81F" w:rsidR="00ED0997" w:rsidRPr="00004070" w:rsidRDefault="00ED0997" w:rsidP="009D16B5">
            <w:pPr>
              <w:rPr>
                <w:rFonts w:eastAsia="Times New Roman" w:cs="Arial"/>
                <w:b/>
                <w:lang w:eastAsia="en-GB"/>
              </w:rPr>
            </w:pPr>
            <w:r w:rsidRPr="00004070">
              <w:rPr>
                <w:rFonts w:eastAsia="Arial" w:cs="Arial"/>
                <w:color w:val="000000" w:themeColor="text1"/>
                <w:szCs w:val="24"/>
              </w:rPr>
              <w:t xml:space="preserve">Check serum folate, B12, alcohol history and TSH and treat any underlying abnormality. If results of these additional investigations are normal discuss with specialist team urgently. </w:t>
            </w:r>
          </w:p>
        </w:tc>
      </w:tr>
      <w:tr w:rsidR="00ED0997" w:rsidRPr="00004070" w14:paraId="602C2B8E" w14:textId="77777777" w:rsidTr="1E7986F2">
        <w:trPr>
          <w:trHeight w:val="78"/>
          <w:jc w:val="center"/>
        </w:trPr>
        <w:tc>
          <w:tcPr>
            <w:tcW w:w="5227" w:type="dxa"/>
            <w:gridSpan w:val="2"/>
          </w:tcPr>
          <w:p w14:paraId="760699F1" w14:textId="49B22157" w:rsidR="00ED0997" w:rsidRPr="00004070" w:rsidRDefault="00ED0997" w:rsidP="009D16B5">
            <w:pPr>
              <w:rPr>
                <w:rFonts w:eastAsia="Times New Roman" w:cs="Arial"/>
                <w:b/>
                <w:lang w:eastAsia="en-GB"/>
              </w:rPr>
            </w:pPr>
            <w:r w:rsidRPr="00004070">
              <w:rPr>
                <w:rFonts w:eastAsia="Arial" w:cs="Arial"/>
                <w:color w:val="000000" w:themeColor="text1"/>
                <w:szCs w:val="24"/>
              </w:rPr>
              <w:t>Signs or symptoms of bone marrow suppression, e.g. unexplained bleeding or bruising with or without sore throat, mouth ulcers</w:t>
            </w:r>
          </w:p>
        </w:tc>
        <w:tc>
          <w:tcPr>
            <w:tcW w:w="5228" w:type="dxa"/>
          </w:tcPr>
          <w:p w14:paraId="7360B5D2" w14:textId="4B6A3053" w:rsidR="00ED0997" w:rsidRPr="00004070" w:rsidRDefault="00ED0997" w:rsidP="009D16B5">
            <w:pPr>
              <w:rPr>
                <w:rFonts w:eastAsia="Times New Roman" w:cs="Arial"/>
                <w:b/>
                <w:lang w:eastAsia="en-GB"/>
              </w:rPr>
            </w:pPr>
            <w:r w:rsidRPr="00004070">
              <w:rPr>
                <w:rFonts w:eastAsia="Arial" w:cs="Arial"/>
                <w:color w:val="000000" w:themeColor="text1"/>
                <w:szCs w:val="24"/>
              </w:rPr>
              <w:t xml:space="preserve">Consider interruption in treatment. Check FBC immediately and discuss with the specialist team. See haematological monitoring above. </w:t>
            </w:r>
          </w:p>
        </w:tc>
      </w:tr>
      <w:tr w:rsidR="00ED0997" w:rsidRPr="00004070" w14:paraId="3ADBA703" w14:textId="77777777" w:rsidTr="1E7986F2">
        <w:trPr>
          <w:trHeight w:val="78"/>
          <w:jc w:val="center"/>
        </w:trPr>
        <w:tc>
          <w:tcPr>
            <w:tcW w:w="5227" w:type="dxa"/>
            <w:gridSpan w:val="2"/>
          </w:tcPr>
          <w:p w14:paraId="2080D184" w14:textId="77777777" w:rsidR="00ED0997" w:rsidRPr="00004070" w:rsidRDefault="00ED0997" w:rsidP="009D16B5">
            <w:pPr>
              <w:tabs>
                <w:tab w:val="left" w:pos="300"/>
              </w:tabs>
              <w:spacing w:before="60" w:after="60"/>
              <w:rPr>
                <w:rFonts w:eastAsia="Arial" w:cs="Arial"/>
                <w:color w:val="000000" w:themeColor="text1"/>
                <w:szCs w:val="24"/>
              </w:rPr>
            </w:pPr>
            <w:r w:rsidRPr="00004070">
              <w:rPr>
                <w:rFonts w:eastAsia="Arial" w:cs="Arial"/>
                <w:b/>
                <w:bCs/>
                <w:color w:val="000000" w:themeColor="text1"/>
                <w:szCs w:val="24"/>
              </w:rPr>
              <w:t>Infections</w:t>
            </w:r>
            <w:r w:rsidRPr="00004070">
              <w:rPr>
                <w:rFonts w:eastAsia="Arial" w:cs="Arial"/>
                <w:color w:val="000000" w:themeColor="text1"/>
                <w:szCs w:val="24"/>
              </w:rPr>
              <w:t xml:space="preserve">: </w:t>
            </w:r>
          </w:p>
          <w:p w14:paraId="54080CBD" w14:textId="08F27AB7" w:rsidR="00ED0997" w:rsidRPr="00004070" w:rsidRDefault="00ED0997" w:rsidP="009D16B5">
            <w:pPr>
              <w:rPr>
                <w:rFonts w:eastAsia="Times New Roman" w:cs="Arial"/>
                <w:b/>
                <w:lang w:eastAsia="en-GB"/>
              </w:rPr>
            </w:pPr>
            <w:r w:rsidRPr="00004070">
              <w:rPr>
                <w:rFonts w:eastAsia="Arial" w:cs="Arial"/>
                <w:color w:val="000000" w:themeColor="text1"/>
                <w:szCs w:val="24"/>
              </w:rPr>
              <w:t>Infection requiring antibiotics</w:t>
            </w:r>
          </w:p>
        </w:tc>
        <w:tc>
          <w:tcPr>
            <w:tcW w:w="5228" w:type="dxa"/>
          </w:tcPr>
          <w:p w14:paraId="198FC094" w14:textId="7E70AE8F" w:rsidR="00ED0997" w:rsidRPr="00004070" w:rsidRDefault="00ED0997" w:rsidP="009D16B5">
            <w:pPr>
              <w:rPr>
                <w:rFonts w:eastAsia="Times New Roman" w:cs="Arial"/>
                <w:b/>
                <w:lang w:eastAsia="en-GB"/>
              </w:rPr>
            </w:pPr>
            <w:r w:rsidRPr="00004070">
              <w:rPr>
                <w:rFonts w:eastAsia="Arial" w:cs="Arial"/>
                <w:color w:val="000000" w:themeColor="text1"/>
                <w:szCs w:val="24"/>
              </w:rPr>
              <w:t>Temporarily withhold thiopurine until the patient has recovered. Consider additional investigations (e.g. FBC), if clinically appropriate.</w:t>
            </w:r>
          </w:p>
        </w:tc>
      </w:tr>
      <w:tr w:rsidR="00ED0997" w:rsidRPr="00004070" w14:paraId="60C0C622" w14:textId="77777777" w:rsidTr="1E7986F2">
        <w:trPr>
          <w:trHeight w:val="78"/>
          <w:jc w:val="center"/>
        </w:trPr>
        <w:tc>
          <w:tcPr>
            <w:tcW w:w="5227" w:type="dxa"/>
            <w:gridSpan w:val="2"/>
            <w:tcBorders>
              <w:bottom w:val="single" w:sz="4" w:space="0" w:color="auto"/>
            </w:tcBorders>
          </w:tcPr>
          <w:p w14:paraId="5C4D1889" w14:textId="77777777" w:rsidR="00ED0997" w:rsidRPr="00004070" w:rsidRDefault="00ED0997" w:rsidP="009D16B5">
            <w:pPr>
              <w:spacing w:before="60" w:after="60"/>
              <w:rPr>
                <w:rFonts w:eastAsia="Arial" w:cs="Arial"/>
                <w:color w:val="000000" w:themeColor="text1"/>
                <w:szCs w:val="24"/>
              </w:rPr>
            </w:pPr>
            <w:r w:rsidRPr="00004070">
              <w:rPr>
                <w:rFonts w:eastAsia="Arial" w:cs="Arial"/>
                <w:b/>
                <w:bCs/>
                <w:color w:val="000000" w:themeColor="text1"/>
                <w:szCs w:val="24"/>
              </w:rPr>
              <w:t>Liver function tests</w:t>
            </w:r>
            <w:r w:rsidRPr="00004070">
              <w:rPr>
                <w:rFonts w:eastAsia="Arial" w:cs="Arial"/>
                <w:color w:val="000000" w:themeColor="text1"/>
                <w:szCs w:val="24"/>
              </w:rPr>
              <w:t>:</w:t>
            </w:r>
          </w:p>
          <w:p w14:paraId="14B33004"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 xml:space="preserve">ALT or AST &gt;100 units/L, or any sudden increases (e.g. double of baseline), OR </w:t>
            </w:r>
          </w:p>
          <w:p w14:paraId="3945C0AD"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Unexplained fall in serum albumin &lt;30g/L</w:t>
            </w:r>
          </w:p>
          <w:p w14:paraId="26B69ADA" w14:textId="43FD81AB" w:rsidR="00ED0997" w:rsidRPr="00004070" w:rsidRDefault="00ED0997" w:rsidP="009D16B5">
            <w:pPr>
              <w:rPr>
                <w:rFonts w:eastAsia="Times New Roman" w:cs="Arial"/>
                <w:b/>
                <w:lang w:eastAsia="en-GB"/>
              </w:rPr>
            </w:pPr>
            <w:r w:rsidRPr="00004070">
              <w:rPr>
                <w:rFonts w:eastAsia="Arial" w:cs="Arial"/>
                <w:color w:val="000000" w:themeColor="text1"/>
                <w:szCs w:val="24"/>
              </w:rPr>
              <w:lastRenderedPageBreak/>
              <w:t>Jaundice</w:t>
            </w:r>
          </w:p>
        </w:tc>
        <w:tc>
          <w:tcPr>
            <w:tcW w:w="5228" w:type="dxa"/>
            <w:tcBorders>
              <w:bottom w:val="single" w:sz="4" w:space="0" w:color="auto"/>
            </w:tcBorders>
          </w:tcPr>
          <w:p w14:paraId="75358662"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lastRenderedPageBreak/>
              <w:t>Withhold and discuss with specialist team.</w:t>
            </w:r>
          </w:p>
          <w:p w14:paraId="21715F9B"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When used for hepatology indications, continue treatment and discuss with specialist urgently.</w:t>
            </w:r>
          </w:p>
          <w:p w14:paraId="17A2EF3D" w14:textId="156D767B" w:rsidR="00ED0997" w:rsidRPr="00004070" w:rsidRDefault="00ED0997" w:rsidP="009D16B5">
            <w:pPr>
              <w:rPr>
                <w:rFonts w:eastAsia="Times New Roman" w:cs="Arial"/>
                <w:b/>
                <w:lang w:eastAsia="en-GB"/>
              </w:rPr>
            </w:pPr>
            <w:r w:rsidRPr="00004070">
              <w:rPr>
                <w:rFonts w:eastAsia="Arial" w:cs="Arial"/>
                <w:color w:val="000000" w:themeColor="text1"/>
                <w:szCs w:val="24"/>
              </w:rPr>
              <w:lastRenderedPageBreak/>
              <w:t>Check any other reason for risk of hepatic dysfunction such as alcohol history and drug interactions, including OTC or complementary medication.</w:t>
            </w:r>
          </w:p>
        </w:tc>
      </w:tr>
      <w:tr w:rsidR="00ED0997" w:rsidRPr="00004070" w14:paraId="121D5EF6" w14:textId="77777777" w:rsidTr="1E7986F2">
        <w:trPr>
          <w:trHeight w:val="78"/>
          <w:jc w:val="center"/>
        </w:trPr>
        <w:tc>
          <w:tcPr>
            <w:tcW w:w="5227" w:type="dxa"/>
            <w:gridSpan w:val="2"/>
            <w:tcBorders>
              <w:bottom w:val="single" w:sz="4" w:space="0" w:color="auto"/>
            </w:tcBorders>
          </w:tcPr>
          <w:p w14:paraId="44E4EF61" w14:textId="77777777" w:rsidR="00ED0997" w:rsidRPr="00004070" w:rsidRDefault="00ED0997" w:rsidP="009D16B5">
            <w:pPr>
              <w:spacing w:before="60" w:after="60"/>
              <w:rPr>
                <w:rFonts w:eastAsia="Arial" w:cs="Arial"/>
                <w:color w:val="000000" w:themeColor="text1"/>
                <w:szCs w:val="24"/>
              </w:rPr>
            </w:pPr>
            <w:r w:rsidRPr="00004070">
              <w:rPr>
                <w:rFonts w:eastAsia="Arial" w:cs="Arial"/>
                <w:b/>
                <w:bCs/>
                <w:color w:val="000000" w:themeColor="text1"/>
                <w:szCs w:val="24"/>
              </w:rPr>
              <w:lastRenderedPageBreak/>
              <w:t>Renal function</w:t>
            </w:r>
            <w:r w:rsidRPr="00004070">
              <w:rPr>
                <w:rFonts w:eastAsia="Arial" w:cs="Arial"/>
                <w:color w:val="000000" w:themeColor="text1"/>
                <w:szCs w:val="24"/>
              </w:rPr>
              <w:t xml:space="preserve">: </w:t>
            </w:r>
          </w:p>
          <w:p w14:paraId="44FF10ED" w14:textId="1DC046F0" w:rsidR="00ED0997" w:rsidRPr="00004070" w:rsidRDefault="00ED0997" w:rsidP="009D16B5">
            <w:pPr>
              <w:pStyle w:val="ListParagraph"/>
              <w:numPr>
                <w:ilvl w:val="0"/>
                <w:numId w:val="13"/>
              </w:numPr>
              <w:rPr>
                <w:rFonts w:cs="Arial"/>
                <w:b/>
                <w:lang w:eastAsia="en-GB"/>
              </w:rPr>
            </w:pPr>
            <w:r w:rsidRPr="00004070">
              <w:rPr>
                <w:rFonts w:eastAsia="Arial" w:cs="Arial"/>
                <w:color w:val="000000" w:themeColor="text1"/>
                <w:szCs w:val="24"/>
              </w:rPr>
              <w:t>Creatinine rise &gt;30% over 12 months, or calculated GFR reduces to &lt;60ml/min</w:t>
            </w:r>
          </w:p>
        </w:tc>
        <w:tc>
          <w:tcPr>
            <w:tcW w:w="5228" w:type="dxa"/>
            <w:tcBorders>
              <w:bottom w:val="single" w:sz="4" w:space="0" w:color="auto"/>
            </w:tcBorders>
          </w:tcPr>
          <w:p w14:paraId="08391D15" w14:textId="427AD7FA" w:rsidR="00ED0997" w:rsidRPr="00004070" w:rsidRDefault="00ED0997" w:rsidP="009D16B5">
            <w:pPr>
              <w:rPr>
                <w:rFonts w:cs="Arial"/>
                <w:lang w:eastAsia="en-GB"/>
              </w:rPr>
            </w:pPr>
            <w:r w:rsidRPr="00004070">
              <w:rPr>
                <w:rFonts w:eastAsia="Arial" w:cs="Arial"/>
                <w:color w:val="000000" w:themeColor="text1"/>
                <w:szCs w:val="24"/>
              </w:rPr>
              <w:t xml:space="preserve">Withhold and discuss with specialist team </w:t>
            </w:r>
          </w:p>
        </w:tc>
      </w:tr>
      <w:tr w:rsidR="00ED0997" w:rsidRPr="00004070" w14:paraId="17877724" w14:textId="77777777" w:rsidTr="1E7986F2">
        <w:trPr>
          <w:trHeight w:val="78"/>
          <w:jc w:val="center"/>
        </w:trPr>
        <w:tc>
          <w:tcPr>
            <w:tcW w:w="5227" w:type="dxa"/>
            <w:gridSpan w:val="2"/>
            <w:tcBorders>
              <w:bottom w:val="single" w:sz="4" w:space="0" w:color="auto"/>
            </w:tcBorders>
          </w:tcPr>
          <w:p w14:paraId="3FE58ACB" w14:textId="77777777" w:rsidR="00ED0997" w:rsidRPr="00004070" w:rsidRDefault="00ED0997" w:rsidP="009D16B5">
            <w:pPr>
              <w:spacing w:before="60" w:after="60"/>
              <w:rPr>
                <w:rFonts w:eastAsia="Arial" w:cs="Arial"/>
                <w:color w:val="000000" w:themeColor="text1"/>
                <w:szCs w:val="24"/>
              </w:rPr>
            </w:pPr>
            <w:r w:rsidRPr="00004070">
              <w:rPr>
                <w:rFonts w:eastAsia="Arial" w:cs="Arial"/>
                <w:b/>
                <w:bCs/>
                <w:color w:val="000000" w:themeColor="text1"/>
                <w:szCs w:val="24"/>
              </w:rPr>
              <w:t>Gastrointestinal disorders</w:t>
            </w:r>
            <w:r w:rsidRPr="00004070">
              <w:rPr>
                <w:rFonts w:eastAsia="Arial" w:cs="Arial"/>
                <w:color w:val="000000" w:themeColor="text1"/>
                <w:szCs w:val="24"/>
              </w:rPr>
              <w:t>:</w:t>
            </w:r>
          </w:p>
          <w:p w14:paraId="640A5766" w14:textId="77777777" w:rsidR="00ED0997" w:rsidRPr="00004070" w:rsidRDefault="00ED0997" w:rsidP="009D16B5">
            <w:pPr>
              <w:spacing w:before="60" w:after="60"/>
              <w:rPr>
                <w:rFonts w:eastAsia="Arial" w:cs="Arial"/>
                <w:color w:val="000000" w:themeColor="text1"/>
                <w:szCs w:val="24"/>
              </w:rPr>
            </w:pPr>
            <w:r w:rsidRPr="00004070">
              <w:rPr>
                <w:rFonts w:eastAsia="Arial" w:cs="Arial"/>
                <w:color w:val="000000" w:themeColor="text1"/>
                <w:szCs w:val="24"/>
              </w:rPr>
              <w:t xml:space="preserve">Nausea </w:t>
            </w:r>
          </w:p>
          <w:p w14:paraId="7BC7D318" w14:textId="77777777" w:rsidR="00ED0997" w:rsidRPr="00004070" w:rsidRDefault="00ED0997" w:rsidP="009D16B5">
            <w:pPr>
              <w:spacing w:before="60" w:after="60"/>
              <w:rPr>
                <w:rFonts w:eastAsia="Arial" w:cs="Arial"/>
                <w:color w:val="000000" w:themeColor="text1"/>
                <w:szCs w:val="24"/>
              </w:rPr>
            </w:pPr>
          </w:p>
          <w:p w14:paraId="0EC60364" w14:textId="7DBC67C2" w:rsidR="00ED0997" w:rsidRPr="00004070" w:rsidRDefault="00ED0997" w:rsidP="009D16B5">
            <w:pPr>
              <w:rPr>
                <w:rFonts w:eastAsia="Times New Roman" w:cs="Arial"/>
                <w:lang w:eastAsia="en-GB"/>
              </w:rPr>
            </w:pPr>
          </w:p>
        </w:tc>
        <w:tc>
          <w:tcPr>
            <w:tcW w:w="5228" w:type="dxa"/>
            <w:tcBorders>
              <w:bottom w:val="single" w:sz="4" w:space="0" w:color="auto"/>
            </w:tcBorders>
          </w:tcPr>
          <w:p w14:paraId="0B8CC5D0" w14:textId="77777777" w:rsidR="00ED0997" w:rsidRPr="00004070" w:rsidRDefault="00ED0997" w:rsidP="009D16B5">
            <w:pPr>
              <w:spacing w:before="60" w:after="60"/>
              <w:rPr>
                <w:rFonts w:eastAsia="Arial" w:cs="Arial"/>
                <w:color w:val="000000" w:themeColor="text1"/>
                <w:szCs w:val="24"/>
              </w:rPr>
            </w:pPr>
          </w:p>
          <w:p w14:paraId="5D7CCB13" w14:textId="328D6254" w:rsidR="00ED0997" w:rsidRPr="00004070" w:rsidRDefault="00ED0997" w:rsidP="009D16B5">
            <w:pPr>
              <w:rPr>
                <w:rFonts w:eastAsia="Times New Roman" w:cs="Arial"/>
                <w:lang w:eastAsia="en-GB"/>
              </w:rPr>
            </w:pPr>
            <w:r w:rsidRPr="00004070">
              <w:rPr>
                <w:rFonts w:eastAsia="Arial" w:cs="Arial"/>
                <w:color w:val="000000" w:themeColor="text1"/>
                <w:szCs w:val="24"/>
              </w:rPr>
              <w:t>Review for reversible causes. Advise patient to take with food. If no improvement contact specialist team.</w:t>
            </w:r>
          </w:p>
        </w:tc>
      </w:tr>
      <w:tr w:rsidR="00ED0997" w:rsidRPr="00004070" w14:paraId="1E67F3AD" w14:textId="77777777" w:rsidTr="1E7986F2">
        <w:trPr>
          <w:trHeight w:val="78"/>
          <w:jc w:val="center"/>
        </w:trPr>
        <w:tc>
          <w:tcPr>
            <w:tcW w:w="5227" w:type="dxa"/>
            <w:gridSpan w:val="2"/>
            <w:tcBorders>
              <w:bottom w:val="single" w:sz="4" w:space="0" w:color="auto"/>
            </w:tcBorders>
          </w:tcPr>
          <w:p w14:paraId="78B5E752" w14:textId="67B934BB" w:rsidR="00ED0997" w:rsidRPr="00004070" w:rsidRDefault="00ED0997" w:rsidP="009D16B5">
            <w:pPr>
              <w:rPr>
                <w:rFonts w:eastAsia="Times New Roman" w:cs="Arial"/>
                <w:lang w:eastAsia="en-GB"/>
              </w:rPr>
            </w:pPr>
            <w:r w:rsidRPr="00004070">
              <w:rPr>
                <w:rFonts w:eastAsia="Arial" w:cs="Arial"/>
                <w:color w:val="000000" w:themeColor="text1"/>
                <w:szCs w:val="24"/>
              </w:rPr>
              <w:t>Suspected pancreatitis</w:t>
            </w:r>
          </w:p>
        </w:tc>
        <w:tc>
          <w:tcPr>
            <w:tcW w:w="5228" w:type="dxa"/>
            <w:tcBorders>
              <w:bottom w:val="single" w:sz="4" w:space="0" w:color="auto"/>
            </w:tcBorders>
          </w:tcPr>
          <w:p w14:paraId="75782D1F" w14:textId="072C9815" w:rsidR="00ED0997" w:rsidRPr="00004070" w:rsidRDefault="00ED0997" w:rsidP="009D16B5">
            <w:pPr>
              <w:rPr>
                <w:rFonts w:eastAsia="Times New Roman" w:cs="Arial"/>
                <w:lang w:eastAsia="en-GB"/>
              </w:rPr>
            </w:pPr>
            <w:r w:rsidRPr="00004070">
              <w:rPr>
                <w:rFonts w:eastAsia="Arial" w:cs="Arial"/>
                <w:color w:val="000000" w:themeColor="text1"/>
                <w:szCs w:val="24"/>
              </w:rPr>
              <w:t>Withhold and discuss with specialist team.</w:t>
            </w:r>
          </w:p>
        </w:tc>
      </w:tr>
      <w:tr w:rsidR="002C1756" w:rsidRPr="00004070" w14:paraId="2008B3A6" w14:textId="77777777" w:rsidTr="1E7986F2">
        <w:trPr>
          <w:jc w:val="center"/>
        </w:trPr>
        <w:tc>
          <w:tcPr>
            <w:tcW w:w="10455" w:type="dxa"/>
            <w:gridSpan w:val="3"/>
            <w:tcBorders>
              <w:bottom w:val="nil"/>
            </w:tcBorders>
            <w:shd w:val="clear" w:color="auto" w:fill="F2F2F2" w:themeFill="background1" w:themeFillShade="F2"/>
          </w:tcPr>
          <w:p w14:paraId="077ED3AB" w14:textId="17AE4BBA" w:rsidR="002C1756" w:rsidRPr="00004070" w:rsidRDefault="002C1756" w:rsidP="00EF4D31">
            <w:pPr>
              <w:pStyle w:val="Heading1"/>
              <w:tabs>
                <w:tab w:val="right" w:pos="10240"/>
              </w:tabs>
              <w:ind w:left="599" w:hanging="599"/>
              <w:rPr>
                <w:rFonts w:cs="Arial"/>
                <w:lang w:eastAsia="en-GB"/>
              </w:rPr>
            </w:pPr>
            <w:bookmarkStart w:id="16" w:name="Eleven_advice_to_patients"/>
            <w:r w:rsidRPr="00004070">
              <w:rPr>
                <w:rFonts w:cs="Arial"/>
                <w:lang w:eastAsia="en-GB"/>
              </w:rPr>
              <w:t>Advice to patients and carers</w:t>
            </w:r>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bookmarkEnd w:id="16"/>
          <w:p w14:paraId="3F28EC94" w14:textId="278AF31B" w:rsidR="002C1756" w:rsidRPr="00004070" w:rsidRDefault="002C1756" w:rsidP="00EF4D31">
            <w:pPr>
              <w:rPr>
                <w:rFonts w:cs="Arial"/>
                <w:lang w:eastAsia="en-GB"/>
              </w:rPr>
            </w:pPr>
            <w:r w:rsidRPr="00004070">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004070" w14:paraId="2A2B1EB7" w14:textId="77777777" w:rsidTr="1E7986F2">
        <w:trPr>
          <w:jc w:val="center"/>
        </w:trPr>
        <w:tc>
          <w:tcPr>
            <w:tcW w:w="10455" w:type="dxa"/>
            <w:gridSpan w:val="3"/>
            <w:tcBorders>
              <w:top w:val="nil"/>
              <w:bottom w:val="single" w:sz="4" w:space="0" w:color="auto"/>
            </w:tcBorders>
          </w:tcPr>
          <w:p w14:paraId="4A187236" w14:textId="77777777" w:rsidR="00ED0997" w:rsidRPr="00004070" w:rsidRDefault="00ED0997" w:rsidP="009D16B5">
            <w:pPr>
              <w:spacing w:after="50"/>
              <w:rPr>
                <w:rFonts w:eastAsia="Arial" w:cs="Arial"/>
                <w:szCs w:val="24"/>
              </w:rPr>
            </w:pPr>
            <w:r w:rsidRPr="00004070">
              <w:rPr>
                <w:rFonts w:eastAsia="Arial" w:cs="Arial"/>
                <w:b/>
                <w:bCs/>
                <w:szCs w:val="24"/>
              </w:rPr>
              <w:t xml:space="preserve">The patient should be advised to report any of the following signs or symptoms to their primary care prescriber without delay:          </w:t>
            </w:r>
          </w:p>
          <w:p w14:paraId="26E26BB8" w14:textId="77777777" w:rsidR="00ED0997" w:rsidRPr="00004070" w:rsidRDefault="00ED0997" w:rsidP="009D16B5">
            <w:pPr>
              <w:pStyle w:val="Default"/>
              <w:spacing w:after="50" w:line="360" w:lineRule="atLeast"/>
              <w:ind w:left="357" w:right="126" w:hanging="357"/>
              <w:rPr>
                <w:rFonts w:eastAsia="Arial"/>
              </w:rPr>
            </w:pPr>
            <w:r w:rsidRPr="00004070">
              <w:rPr>
                <w:rFonts w:eastAsia="Arial"/>
                <w:color w:val="000000" w:themeColor="text1"/>
              </w:rPr>
              <w:t>Signs or symptoms indicating haematological toxicity, e.g. sore throat, infection, unexplained  or abnormal bruising or bleeding.</w:t>
            </w:r>
          </w:p>
          <w:p w14:paraId="574B2D1C" w14:textId="77777777" w:rsidR="00ED0997" w:rsidRPr="00004070" w:rsidRDefault="00ED0997" w:rsidP="009D16B5">
            <w:pPr>
              <w:pStyle w:val="Default"/>
              <w:spacing w:after="50" w:line="360" w:lineRule="atLeast"/>
              <w:ind w:left="357" w:right="126" w:hanging="357"/>
              <w:rPr>
                <w:rFonts w:eastAsia="Arial"/>
              </w:rPr>
            </w:pPr>
            <w:r w:rsidRPr="00004070">
              <w:rPr>
                <w:rFonts w:eastAsia="Arial"/>
                <w:color w:val="000000" w:themeColor="text1"/>
              </w:rPr>
              <w:t>Signs or symptoms of pancreatitis, e.g. abdominal pain, nausea, or vomiting</w:t>
            </w:r>
          </w:p>
          <w:p w14:paraId="7A0E7F02" w14:textId="77777777" w:rsidR="00ED0997" w:rsidRPr="00004070" w:rsidRDefault="00ED0997" w:rsidP="009D16B5">
            <w:pPr>
              <w:pStyle w:val="Default"/>
              <w:spacing w:after="50" w:line="360" w:lineRule="atLeast"/>
              <w:ind w:left="357" w:hanging="357"/>
              <w:rPr>
                <w:rFonts w:eastAsia="Arial"/>
              </w:rPr>
            </w:pPr>
            <w:r w:rsidRPr="00004070">
              <w:rPr>
                <w:rFonts w:eastAsia="Arial"/>
                <w:color w:val="000000" w:themeColor="text1"/>
              </w:rPr>
              <w:t>Signs of symptoms of hepatic toxicity, e.g. Jaundice  (yellowing of the skin or whites of the eyes)</w:t>
            </w:r>
          </w:p>
          <w:p w14:paraId="3A6A65BA" w14:textId="3951C211" w:rsidR="002C1756" w:rsidRPr="00004070" w:rsidRDefault="002C1756" w:rsidP="009D16B5">
            <w:pPr>
              <w:keepNext/>
              <w:spacing w:after="50"/>
              <w:rPr>
                <w:rFonts w:cs="Arial"/>
                <w:b/>
                <w:bCs/>
                <w:lang w:eastAsia="en-GB"/>
              </w:rPr>
            </w:pPr>
            <w:bookmarkStart w:id="17" w:name="_Hlk103066693"/>
            <w:r w:rsidRPr="00004070">
              <w:rPr>
                <w:rFonts w:cs="Arial"/>
                <w:b/>
                <w:bCs/>
                <w:lang w:eastAsia="en-GB"/>
              </w:rPr>
              <w:lastRenderedPageBreak/>
              <w:t>The patient should be advised to:</w:t>
            </w:r>
          </w:p>
          <w:bookmarkEnd w:id="17"/>
          <w:p w14:paraId="7487903C"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During a serious infection azathioprine or mercaptopurine should be temporarily discontinued until the patient has recovered from the infection.</w:t>
            </w:r>
          </w:p>
          <w:p w14:paraId="0FB54BC1"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That vaccination in line with current national advice (e.g. for COVID-19, influenza) is safe and recommended.</w:t>
            </w:r>
          </w:p>
          <w:p w14:paraId="3927EBA1"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Tell anyone who prescribes them a medicine that they are taking azathioprine or mercaptopurine. Always ask a pharmacist before purchasing any medicines over the counter, including herbal remedies, and ask if they are safe.</w:t>
            </w:r>
          </w:p>
          <w:p w14:paraId="4B874206"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To inform their specialist or primary care prescriber promptly if pregnancy occurs or is planned.</w:t>
            </w:r>
          </w:p>
          <w:p w14:paraId="1EFCC569"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 xml:space="preserve">All women aged 25-64 years old should be encouraged to participate in national cervical cancer screening programmes. There is no need to attend more frequently than recommended. </w:t>
            </w:r>
          </w:p>
          <w:p w14:paraId="622E0FD4"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Patients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w:t>
            </w:r>
          </w:p>
          <w:p w14:paraId="1C222B2F" w14:textId="77777777" w:rsidR="00ED0997" w:rsidRPr="00004070" w:rsidRDefault="00ED0997" w:rsidP="009D16B5">
            <w:pPr>
              <w:pStyle w:val="ListParagraph"/>
              <w:numPr>
                <w:ilvl w:val="0"/>
                <w:numId w:val="11"/>
              </w:numPr>
              <w:rPr>
                <w:rFonts w:eastAsia="Arial" w:cs="Arial"/>
                <w:szCs w:val="24"/>
              </w:rPr>
            </w:pPr>
            <w:r w:rsidRPr="00004070">
              <w:rPr>
                <w:rFonts w:eastAsia="Arial" w:cs="Arial"/>
                <w:szCs w:val="24"/>
              </w:rPr>
              <w:t>Patients taking azathioprine at a dose of 3 mg/kg or more, or mercaptopurine at a dose of 1.5 mg/kg/day or more should be advised 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p>
          <w:p w14:paraId="051289AE" w14:textId="77777777" w:rsidR="00ED0997" w:rsidRPr="00004070" w:rsidRDefault="00ED0997" w:rsidP="009D16B5">
            <w:pPr>
              <w:pStyle w:val="Default"/>
              <w:spacing w:after="50" w:line="360" w:lineRule="atLeast"/>
              <w:ind w:left="1440"/>
              <w:rPr>
                <w:rFonts w:eastAsia="Arial"/>
              </w:rPr>
            </w:pPr>
            <w:r w:rsidRPr="00004070">
              <w:rPr>
                <w:rFonts w:eastAsia="Arial"/>
                <w:color w:val="000000" w:themeColor="text1"/>
              </w:rPr>
              <w:t xml:space="preserve">the </w:t>
            </w:r>
            <w:hyperlink r:id="rId58">
              <w:r w:rsidRPr="00004070">
                <w:rPr>
                  <w:rStyle w:val="Hyperlink"/>
                  <w:rFonts w:eastAsia="Arial"/>
                </w:rPr>
                <w:t>Green Book (Chapter 34)</w:t>
              </w:r>
            </w:hyperlink>
            <w:r w:rsidRPr="00004070">
              <w:rPr>
                <w:rFonts w:eastAsia="Arial"/>
                <w:color w:val="000000" w:themeColor="text1"/>
              </w:rPr>
              <w:t xml:space="preserve"> </w:t>
            </w:r>
          </w:p>
          <w:p w14:paraId="3338834C" w14:textId="38E60FF2" w:rsidR="00ED0997" w:rsidRPr="00004070" w:rsidRDefault="00BF5E44" w:rsidP="7093DCF9">
            <w:pPr>
              <w:pStyle w:val="Default"/>
              <w:spacing w:after="50" w:line="360" w:lineRule="atLeast"/>
              <w:ind w:left="1440"/>
              <w:rPr>
                <w:rFonts w:eastAsia="Arial"/>
              </w:rPr>
            </w:pPr>
            <w:r w:rsidRPr="00004070">
              <w:rPr>
                <w:rFonts w:eastAsia="Arial"/>
                <w:color w:val="000000" w:themeColor="text1"/>
              </w:rPr>
              <w:t xml:space="preserve">UKSHA </w:t>
            </w:r>
            <w:r w:rsidR="00ED0997" w:rsidRPr="00004070">
              <w:rPr>
                <w:rFonts w:eastAsia="Arial"/>
                <w:color w:val="000000" w:themeColor="text1"/>
              </w:rPr>
              <w:t>guidance:</w:t>
            </w:r>
            <w:r w:rsidRPr="00004070">
              <w:rPr>
                <w:rFonts w:eastAsia="Arial"/>
                <w:color w:val="000000" w:themeColor="text1"/>
              </w:rPr>
              <w:t xml:space="preserve"> </w:t>
            </w:r>
            <w:hyperlink r:id="rId59" w:history="1">
              <w:r w:rsidRPr="00004070">
                <w:rPr>
                  <w:rStyle w:val="Hyperlink"/>
                  <w:rFonts w:eastAsia="Arial"/>
                </w:rPr>
                <w:t xml:space="preserve">Guidelines on post exposure prophylaxis (PEP) for varicella/shingles April 2022 </w:t>
              </w:r>
            </w:hyperlink>
            <w:r w:rsidR="00ED0997" w:rsidRPr="00004070">
              <w:rPr>
                <w:rFonts w:eastAsia="Arial"/>
                <w:color w:val="000000" w:themeColor="text1"/>
              </w:rPr>
              <w:t xml:space="preserve"> </w:t>
            </w:r>
          </w:p>
          <w:p w14:paraId="35DCD64F" w14:textId="77777777" w:rsidR="00ED0997" w:rsidRPr="00004070" w:rsidRDefault="00ED0997" w:rsidP="009D16B5">
            <w:pPr>
              <w:spacing w:after="50"/>
              <w:ind w:left="360"/>
              <w:rPr>
                <w:rFonts w:eastAsia="Arial" w:cs="Arial"/>
                <w:szCs w:val="24"/>
              </w:rPr>
            </w:pPr>
          </w:p>
          <w:p w14:paraId="74165F53" w14:textId="77777777" w:rsidR="00ED0997" w:rsidRPr="00004070" w:rsidRDefault="00ED0997" w:rsidP="009D16B5">
            <w:pPr>
              <w:spacing w:after="50"/>
              <w:rPr>
                <w:rFonts w:eastAsia="Arial" w:cs="Arial"/>
                <w:szCs w:val="24"/>
              </w:rPr>
            </w:pPr>
            <w:r w:rsidRPr="00004070">
              <w:rPr>
                <w:rFonts w:eastAsia="Arial" w:cs="Arial"/>
                <w:szCs w:val="24"/>
                <w:u w:val="single"/>
              </w:rPr>
              <w:t>Patient information</w:t>
            </w:r>
            <w:r w:rsidRPr="00004070">
              <w:rPr>
                <w:rFonts w:eastAsia="Arial" w:cs="Arial"/>
                <w:szCs w:val="24"/>
              </w:rPr>
              <w:t>:</w:t>
            </w:r>
          </w:p>
          <w:p w14:paraId="1953F00F" w14:textId="77777777" w:rsidR="00ED0997" w:rsidRPr="00004070" w:rsidRDefault="00ED0997" w:rsidP="009D16B5">
            <w:pPr>
              <w:pStyle w:val="ListParagraph"/>
              <w:numPr>
                <w:ilvl w:val="0"/>
                <w:numId w:val="24"/>
              </w:numPr>
              <w:rPr>
                <w:rFonts w:eastAsia="Arial" w:cs="Arial"/>
                <w:szCs w:val="24"/>
              </w:rPr>
            </w:pPr>
            <w:r w:rsidRPr="00004070">
              <w:rPr>
                <w:rFonts w:eastAsia="Arial" w:cs="Arial"/>
                <w:szCs w:val="24"/>
              </w:rPr>
              <w:t xml:space="preserve">General information: </w:t>
            </w:r>
            <w:hyperlink r:id="rId60">
              <w:r w:rsidRPr="00004070">
                <w:rPr>
                  <w:rStyle w:val="Hyperlink"/>
                  <w:rFonts w:eastAsia="Arial" w:cs="Arial"/>
                  <w:szCs w:val="24"/>
                </w:rPr>
                <w:t>https://www.nhs.uk/medicines/azathioprine/</w:t>
              </w:r>
            </w:hyperlink>
            <w:r w:rsidRPr="00004070">
              <w:rPr>
                <w:rFonts w:eastAsia="Arial" w:cs="Arial"/>
                <w:szCs w:val="24"/>
              </w:rPr>
              <w:t xml:space="preserve"> </w:t>
            </w:r>
          </w:p>
          <w:p w14:paraId="442D417F" w14:textId="77777777" w:rsidR="00ED0997" w:rsidRPr="00004070" w:rsidRDefault="00ED0997" w:rsidP="009D16B5">
            <w:pPr>
              <w:pStyle w:val="ListParagraph"/>
              <w:numPr>
                <w:ilvl w:val="0"/>
                <w:numId w:val="24"/>
              </w:numPr>
              <w:rPr>
                <w:rFonts w:eastAsia="Arial" w:cs="Arial"/>
                <w:szCs w:val="24"/>
              </w:rPr>
            </w:pPr>
            <w:r w:rsidRPr="00004070">
              <w:rPr>
                <w:rFonts w:eastAsia="Arial" w:cs="Arial"/>
                <w:szCs w:val="24"/>
              </w:rPr>
              <w:t xml:space="preserve">General information: </w:t>
            </w:r>
            <w:hyperlink r:id="rId61">
              <w:r w:rsidRPr="00004070">
                <w:rPr>
                  <w:rStyle w:val="Hyperlink"/>
                  <w:rFonts w:eastAsia="Arial" w:cs="Arial"/>
                  <w:szCs w:val="24"/>
                </w:rPr>
                <w:t>https://patient.info/medicine/azathioprine-azapress-imuran</w:t>
              </w:r>
            </w:hyperlink>
            <w:r w:rsidRPr="00004070">
              <w:rPr>
                <w:rFonts w:eastAsia="Arial" w:cs="Arial"/>
                <w:szCs w:val="24"/>
              </w:rPr>
              <w:t xml:space="preserve"> </w:t>
            </w:r>
          </w:p>
          <w:p w14:paraId="17367B02" w14:textId="77777777" w:rsidR="00ED0997" w:rsidRPr="00004070" w:rsidRDefault="00ED0997" w:rsidP="009D16B5">
            <w:pPr>
              <w:pStyle w:val="ListParagraph"/>
              <w:numPr>
                <w:ilvl w:val="0"/>
                <w:numId w:val="24"/>
              </w:numPr>
              <w:rPr>
                <w:rFonts w:eastAsia="Arial" w:cs="Arial"/>
                <w:szCs w:val="24"/>
              </w:rPr>
            </w:pPr>
            <w:r w:rsidRPr="00004070">
              <w:rPr>
                <w:rFonts w:eastAsia="Arial" w:cs="Arial"/>
                <w:szCs w:val="24"/>
              </w:rPr>
              <w:lastRenderedPageBreak/>
              <w:t xml:space="preserve">Rheumatology: </w:t>
            </w:r>
            <w:hyperlink r:id="rId62">
              <w:r w:rsidRPr="00004070">
                <w:rPr>
                  <w:rStyle w:val="Hyperlink"/>
                  <w:rFonts w:eastAsia="Arial" w:cs="Arial"/>
                  <w:szCs w:val="24"/>
                </w:rPr>
                <w:t>https://www.versusarthritis.org/about-arthritis/treatments/drugs/azathioprine/</w:t>
              </w:r>
            </w:hyperlink>
            <w:r w:rsidRPr="00004070">
              <w:rPr>
                <w:rFonts w:eastAsia="Arial" w:cs="Arial"/>
                <w:szCs w:val="24"/>
              </w:rPr>
              <w:t xml:space="preserve"> </w:t>
            </w:r>
          </w:p>
          <w:p w14:paraId="2019B559" w14:textId="77777777" w:rsidR="00ED0997" w:rsidRPr="00004070" w:rsidRDefault="00ED0997" w:rsidP="009D16B5">
            <w:pPr>
              <w:pStyle w:val="ListParagraph"/>
              <w:numPr>
                <w:ilvl w:val="0"/>
                <w:numId w:val="24"/>
              </w:numPr>
              <w:rPr>
                <w:rFonts w:eastAsia="Arial" w:cs="Arial"/>
                <w:color w:val="000000" w:themeColor="text1"/>
                <w:szCs w:val="24"/>
              </w:rPr>
            </w:pPr>
            <w:r w:rsidRPr="00004070">
              <w:rPr>
                <w:rFonts w:eastAsia="Arial" w:cs="Arial"/>
                <w:szCs w:val="24"/>
              </w:rPr>
              <w:t xml:space="preserve">Dermatology: </w:t>
            </w:r>
            <w:hyperlink r:id="rId63">
              <w:r w:rsidRPr="00004070">
                <w:rPr>
                  <w:rStyle w:val="Hyperlink"/>
                  <w:rFonts w:eastAsia="Arial" w:cs="Arial"/>
                  <w:szCs w:val="24"/>
                </w:rPr>
                <w:t>https://www.bad.org.uk/for-the-public/patient-information-leaflets/azathioprine</w:t>
              </w:r>
            </w:hyperlink>
          </w:p>
          <w:p w14:paraId="154EE4F6" w14:textId="77777777" w:rsidR="00ED0997" w:rsidRPr="00004070" w:rsidRDefault="00ED0997" w:rsidP="009D16B5">
            <w:pPr>
              <w:pStyle w:val="ListParagraph"/>
              <w:numPr>
                <w:ilvl w:val="0"/>
                <w:numId w:val="24"/>
              </w:numPr>
              <w:rPr>
                <w:rFonts w:eastAsia="Arial" w:cs="Arial"/>
                <w:color w:val="000000" w:themeColor="text1"/>
                <w:szCs w:val="24"/>
              </w:rPr>
            </w:pPr>
            <w:r w:rsidRPr="00004070">
              <w:rPr>
                <w:rFonts w:eastAsia="Arial" w:cs="Arial"/>
                <w:color w:val="000000" w:themeColor="text1"/>
                <w:szCs w:val="24"/>
              </w:rPr>
              <w:t xml:space="preserve">Patient information leaflets are also available from </w:t>
            </w:r>
            <w:hyperlink r:id="rId64">
              <w:r w:rsidRPr="00004070">
                <w:rPr>
                  <w:rStyle w:val="Hyperlink"/>
                  <w:rFonts w:eastAsia="Arial" w:cs="Arial"/>
                  <w:szCs w:val="24"/>
                </w:rPr>
                <w:t>https://www.medicines.org.uk/emc/search?q=azathioprine</w:t>
              </w:r>
            </w:hyperlink>
            <w:r w:rsidRPr="00004070">
              <w:rPr>
                <w:rFonts w:eastAsia="Arial" w:cs="Arial"/>
                <w:color w:val="000000" w:themeColor="text1"/>
                <w:szCs w:val="24"/>
                <w:u w:val="single"/>
              </w:rPr>
              <w:t xml:space="preserve"> </w:t>
            </w:r>
          </w:p>
          <w:p w14:paraId="0EB26BBD"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u w:val="single"/>
              </w:rPr>
              <w:t>Gastroenterology:</w:t>
            </w:r>
          </w:p>
          <w:p w14:paraId="6DDBF83D" w14:textId="77777777" w:rsidR="00ED0997" w:rsidRPr="00004070" w:rsidRDefault="00ED0997" w:rsidP="009D16B5">
            <w:pPr>
              <w:pStyle w:val="ListParagraph"/>
              <w:numPr>
                <w:ilvl w:val="0"/>
                <w:numId w:val="24"/>
              </w:numPr>
              <w:rPr>
                <w:rFonts w:eastAsia="Arial" w:cs="Arial"/>
                <w:color w:val="000000" w:themeColor="text1"/>
                <w:szCs w:val="24"/>
              </w:rPr>
            </w:pPr>
            <w:hyperlink r:id="rId65">
              <w:r w:rsidRPr="00004070">
                <w:rPr>
                  <w:rStyle w:val="Hyperlink"/>
                  <w:rFonts w:eastAsia="Arial" w:cs="Arial"/>
                  <w:szCs w:val="24"/>
                </w:rPr>
                <w:t>https://www.crohnsandcolitis.org.uk/about-crohns-and-colitis/publications/azathioprine-mercaptopurine</w:t>
              </w:r>
            </w:hyperlink>
            <w:r w:rsidRPr="00004070">
              <w:rPr>
                <w:rStyle w:val="Hyperlink"/>
                <w:rFonts w:eastAsia="Arial" w:cs="Arial"/>
                <w:szCs w:val="24"/>
              </w:rPr>
              <w:t xml:space="preserve"> </w:t>
            </w:r>
          </w:p>
          <w:p w14:paraId="25DE7556" w14:textId="7D1E8DB8" w:rsidR="002C1756" w:rsidRPr="00004070" w:rsidRDefault="00ED0997" w:rsidP="7093DCF9">
            <w:pPr>
              <w:pStyle w:val="ListParagraph"/>
              <w:numPr>
                <w:ilvl w:val="0"/>
                <w:numId w:val="24"/>
              </w:numPr>
              <w:rPr>
                <w:rFonts w:eastAsia="Times New Roman" w:cs="Arial"/>
                <w:b/>
                <w:bCs/>
                <w:color w:val="000000" w:themeColor="text1"/>
                <w:u w:val="single"/>
                <w:lang w:eastAsia="en-GB"/>
              </w:rPr>
            </w:pPr>
            <w:hyperlink r:id="rId66">
              <w:r w:rsidRPr="00004070">
                <w:rPr>
                  <w:rStyle w:val="Hyperlink"/>
                  <w:rFonts w:eastAsia="Arial" w:cs="Arial"/>
                </w:rPr>
                <w:t>https://gutscharity.org.uk/advice-and-information/conditions/crohns-disease/</w:t>
              </w:r>
            </w:hyperlink>
          </w:p>
          <w:p w14:paraId="54A71DB2" w14:textId="04CFC0ED" w:rsidR="002C1756" w:rsidRPr="00004070" w:rsidRDefault="00ED0997" w:rsidP="7093DCF9">
            <w:pPr>
              <w:pStyle w:val="ListParagraph"/>
              <w:numPr>
                <w:ilvl w:val="0"/>
                <w:numId w:val="24"/>
              </w:numPr>
              <w:rPr>
                <w:rFonts w:eastAsia="Times New Roman" w:cs="Arial"/>
                <w:b/>
                <w:bCs/>
                <w:color w:val="000000"/>
                <w:u w:val="single"/>
                <w:lang w:eastAsia="en-GB"/>
              </w:rPr>
            </w:pPr>
            <w:hyperlink r:id="rId67">
              <w:r w:rsidRPr="00004070">
                <w:rPr>
                  <w:rStyle w:val="Hyperlink"/>
                  <w:rFonts w:eastAsia="Arial" w:cs="Arial"/>
                </w:rPr>
                <w:t>https://gutscharity.org.uk/advice-and-information/conditions/ulcerative-colitis/</w:t>
              </w:r>
            </w:hyperlink>
          </w:p>
        </w:tc>
      </w:tr>
      <w:tr w:rsidR="002C1756" w:rsidRPr="00004070" w14:paraId="79305DF7" w14:textId="77777777" w:rsidTr="1E7986F2">
        <w:trPr>
          <w:jc w:val="center"/>
        </w:trPr>
        <w:tc>
          <w:tcPr>
            <w:tcW w:w="10455" w:type="dxa"/>
            <w:gridSpan w:val="3"/>
            <w:tcBorders>
              <w:bottom w:val="nil"/>
            </w:tcBorders>
            <w:shd w:val="clear" w:color="auto" w:fill="F2F2F2" w:themeFill="background1" w:themeFillShade="F2"/>
          </w:tcPr>
          <w:p w14:paraId="2E2ABBD7" w14:textId="4FC17E28" w:rsidR="002C1756" w:rsidRPr="00004070" w:rsidRDefault="002C1756" w:rsidP="00487028">
            <w:pPr>
              <w:pStyle w:val="Heading1"/>
              <w:tabs>
                <w:tab w:val="right" w:pos="10240"/>
              </w:tabs>
              <w:ind w:left="599" w:hanging="599"/>
              <w:rPr>
                <w:rFonts w:cs="Arial"/>
                <w:lang w:eastAsia="en-GB"/>
              </w:rPr>
            </w:pPr>
            <w:bookmarkStart w:id="18" w:name="Twelve_pregnancy_paternity"/>
            <w:r w:rsidRPr="00004070">
              <w:rPr>
                <w:rFonts w:cs="Arial"/>
                <w:lang w:eastAsia="en-GB"/>
              </w:rPr>
              <w:lastRenderedPageBreak/>
              <w:t>Pregnancy, paternal exposure and breast feeding</w:t>
            </w:r>
            <w:bookmarkEnd w:id="18"/>
            <w:r w:rsidRPr="00004070">
              <w:rPr>
                <w:rFonts w:cs="Arial"/>
                <w:lang w:eastAsia="en-GB"/>
              </w:rPr>
              <w:tab/>
            </w:r>
            <w:hyperlink w:anchor="Responsibilities" w:history="1">
              <w:r w:rsidRPr="00004070">
                <w:rPr>
                  <w:rStyle w:val="Hyperlink"/>
                  <w:rFonts w:eastAsia="Times New Roman" w:cs="Arial"/>
                  <w:b w:val="0"/>
                  <w:bCs w:val="0"/>
                  <w:sz w:val="24"/>
                  <w:szCs w:val="24"/>
                  <w:lang w:eastAsia="en-GB"/>
                </w:rPr>
                <w:t>Back to top</w:t>
              </w:r>
            </w:hyperlink>
          </w:p>
          <w:p w14:paraId="5B7A2D80" w14:textId="3874F34F" w:rsidR="002C1756" w:rsidRPr="00004070" w:rsidRDefault="002C1756" w:rsidP="00487028">
            <w:pPr>
              <w:rPr>
                <w:rFonts w:cs="Arial"/>
                <w:color w:val="000000"/>
                <w:lang w:eastAsia="en-GB"/>
              </w:rPr>
            </w:pPr>
            <w:r w:rsidRPr="00004070">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ED0997" w:rsidRPr="00004070" w14:paraId="24C2F939" w14:textId="77777777" w:rsidTr="1E7986F2">
        <w:trPr>
          <w:jc w:val="center"/>
        </w:trPr>
        <w:tc>
          <w:tcPr>
            <w:tcW w:w="10455" w:type="dxa"/>
            <w:gridSpan w:val="3"/>
            <w:tcBorders>
              <w:top w:val="nil"/>
              <w:bottom w:val="single" w:sz="4" w:space="0" w:color="auto"/>
            </w:tcBorders>
          </w:tcPr>
          <w:p w14:paraId="07DB657A" w14:textId="77777777" w:rsidR="00ED0997" w:rsidRPr="00004070" w:rsidRDefault="00ED0997" w:rsidP="009D16B5">
            <w:pPr>
              <w:spacing w:after="50"/>
              <w:rPr>
                <w:rFonts w:eastAsia="Arial" w:cs="Arial"/>
                <w:color w:val="000000" w:themeColor="text1"/>
                <w:szCs w:val="24"/>
              </w:rPr>
            </w:pPr>
            <w:r w:rsidRPr="00004070">
              <w:rPr>
                <w:rFonts w:eastAsia="Arial" w:cs="Arial"/>
                <w:b/>
                <w:bCs/>
                <w:color w:val="000000" w:themeColor="text1"/>
                <w:szCs w:val="24"/>
              </w:rPr>
              <w:t>All patients should be informed of the risks and benefits of taking this medicine during pregnancy and breastfeeding. The specialist team should be contacted if a patient becomes pregnant or is planning to become pregnant or breastfeed.</w:t>
            </w:r>
          </w:p>
          <w:p w14:paraId="06D0A229"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the following:</w:t>
            </w:r>
          </w:p>
          <w:p w14:paraId="0CE9B226" w14:textId="77777777" w:rsidR="00ED0997" w:rsidRPr="00004070" w:rsidRDefault="00ED0997" w:rsidP="009D16B5">
            <w:pPr>
              <w:spacing w:after="50"/>
              <w:rPr>
                <w:rFonts w:eastAsia="Arial" w:cs="Arial"/>
                <w:color w:val="000000" w:themeColor="text1"/>
                <w:szCs w:val="24"/>
              </w:rPr>
            </w:pPr>
            <w:r w:rsidRPr="00004070">
              <w:rPr>
                <w:rFonts w:eastAsia="Arial" w:cs="Arial"/>
                <w:b/>
                <w:bCs/>
                <w:color w:val="000000" w:themeColor="text1"/>
                <w:szCs w:val="24"/>
                <w:u w:val="single"/>
              </w:rPr>
              <w:t>Pregnancy</w:t>
            </w:r>
            <w:r w:rsidRPr="00004070">
              <w:rPr>
                <w:rFonts w:eastAsia="Arial" w:cs="Arial"/>
                <w:b/>
                <w:bCs/>
                <w:color w:val="000000" w:themeColor="text1"/>
                <w:szCs w:val="24"/>
              </w:rPr>
              <w:t>:</w:t>
            </w:r>
          </w:p>
          <w:p w14:paraId="7C641891"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 xml:space="preserve">The </w:t>
            </w:r>
            <w:hyperlink r:id="rId68" w:anchor="90343097">
              <w:r w:rsidRPr="00004070">
                <w:rPr>
                  <w:rStyle w:val="Hyperlink"/>
                  <w:rFonts w:eastAsia="Arial" w:cs="Arial"/>
                  <w:szCs w:val="24"/>
                </w:rPr>
                <w:t>BSR and BHPR guideline on prescribing DMARDs in pregnancy and breastfeeding</w:t>
              </w:r>
            </w:hyperlink>
            <w:r w:rsidRPr="00004070">
              <w:rPr>
                <w:rFonts w:eastAsia="Arial" w:cs="Arial"/>
                <w:color w:val="000000" w:themeColor="text1"/>
                <w:szCs w:val="24"/>
              </w:rPr>
              <w:t xml:space="preserve"> advises that azathioprine is compatible throughout pregnancy at doses ≤2mg/kg/day. </w:t>
            </w:r>
          </w:p>
          <w:p w14:paraId="270F7ECB"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Current available data do not suggest that mercaptopurine exposure during pregnancy increases the risk of miscarriage, congenital malformation, intrauterine death, fetal growth restriction, or preterm delivery but the data are limited for some outcomes. A careful assessment of risk versus benefit should be made before mercaptopurine is prescribed to patients who are pregnant.</w:t>
            </w:r>
          </w:p>
          <w:p w14:paraId="187FFF00"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lastRenderedPageBreak/>
              <w:t xml:space="preserve">The </w:t>
            </w:r>
            <w:hyperlink r:id="rId69">
              <w:r w:rsidRPr="00004070">
                <w:rPr>
                  <w:rStyle w:val="Hyperlink"/>
                  <w:rFonts w:eastAsia="Arial" w:cs="Arial"/>
                  <w:szCs w:val="24"/>
                </w:rPr>
                <w:t>British Society of Gastroenterology consensus guidelines on the management of inflammatory bowel disease</w:t>
              </w:r>
            </w:hyperlink>
            <w:r w:rsidRPr="00004070">
              <w:rPr>
                <w:rFonts w:eastAsia="Arial" w:cs="Arial"/>
                <w:color w:val="000000" w:themeColor="text1"/>
                <w:szCs w:val="24"/>
              </w:rPr>
              <w:t xml:space="preserve"> advises that both maintenance and flares can be treated as normal with thiopurines (azathioprine and mercaptopurine) during pregnancy. </w:t>
            </w:r>
          </w:p>
          <w:p w14:paraId="016660E5" w14:textId="77777777" w:rsidR="00ED0997" w:rsidRPr="00004070" w:rsidRDefault="00ED0997" w:rsidP="009D16B5">
            <w:pPr>
              <w:spacing w:after="50"/>
              <w:rPr>
                <w:rFonts w:eastAsia="Arial" w:cs="Arial"/>
                <w:color w:val="000000" w:themeColor="text1"/>
                <w:szCs w:val="24"/>
              </w:rPr>
            </w:pPr>
          </w:p>
          <w:p w14:paraId="4F9FE604" w14:textId="77777777" w:rsidR="00ED0997" w:rsidRPr="00004070" w:rsidRDefault="00ED0997" w:rsidP="009D16B5">
            <w:pPr>
              <w:spacing w:after="50"/>
              <w:rPr>
                <w:rFonts w:eastAsia="Arial" w:cs="Arial"/>
                <w:color w:val="FF0000"/>
                <w:szCs w:val="24"/>
              </w:rPr>
            </w:pPr>
            <w:r w:rsidRPr="00004070">
              <w:rPr>
                <w:rFonts w:eastAsia="Arial" w:cs="Arial"/>
                <w:color w:val="000000" w:themeColor="text1"/>
                <w:szCs w:val="24"/>
              </w:rPr>
              <w:t xml:space="preserve">Information for healthcare professionals: </w:t>
            </w:r>
            <w:hyperlink r:id="rId70">
              <w:r w:rsidRPr="00004070">
                <w:rPr>
                  <w:rStyle w:val="Hyperlink"/>
                  <w:rFonts w:eastAsia="Arial" w:cs="Arial"/>
                  <w:szCs w:val="24"/>
                </w:rPr>
                <w:t>https://www.medicinesinpregnancy.org/bumps/monographs/USE-OF-AZATHIOPRINE-OR-MERCAPTOPURINE-IN-PREGNANCY/</w:t>
              </w:r>
            </w:hyperlink>
            <w:r w:rsidRPr="00004070">
              <w:rPr>
                <w:rFonts w:eastAsia="Arial" w:cs="Arial"/>
                <w:color w:val="FF0000"/>
                <w:szCs w:val="24"/>
              </w:rPr>
              <w:t xml:space="preserve"> </w:t>
            </w:r>
          </w:p>
          <w:p w14:paraId="44480377" w14:textId="77777777" w:rsidR="00ED0997" w:rsidRPr="00004070" w:rsidRDefault="00ED0997" w:rsidP="009D16B5">
            <w:pPr>
              <w:spacing w:after="50"/>
              <w:rPr>
                <w:rFonts w:eastAsia="Arial" w:cs="Arial"/>
                <w:szCs w:val="24"/>
              </w:rPr>
            </w:pPr>
            <w:r w:rsidRPr="00004070">
              <w:rPr>
                <w:rFonts w:eastAsia="Arial" w:cs="Arial"/>
                <w:color w:val="000000" w:themeColor="text1"/>
                <w:szCs w:val="24"/>
              </w:rPr>
              <w:t xml:space="preserve">Information for patients and carers: </w:t>
            </w:r>
            <w:hyperlink r:id="rId71">
              <w:r w:rsidRPr="00004070">
                <w:rPr>
                  <w:rStyle w:val="Hyperlink"/>
                  <w:rFonts w:eastAsia="Arial" w:cs="Arial"/>
                  <w:szCs w:val="24"/>
                </w:rPr>
                <w:t>https://www.medicinesinpregnancy.org/Medicine--pregnancy/Azathioprinemercaptopurine/</w:t>
              </w:r>
            </w:hyperlink>
            <w:r w:rsidRPr="00004070">
              <w:rPr>
                <w:rFonts w:eastAsia="Arial" w:cs="Arial"/>
                <w:szCs w:val="24"/>
              </w:rPr>
              <w:t xml:space="preserve"> </w:t>
            </w:r>
          </w:p>
          <w:p w14:paraId="19B9D3A2" w14:textId="77777777" w:rsidR="00ED0997" w:rsidRPr="00004070" w:rsidRDefault="00ED0997" w:rsidP="009D16B5">
            <w:pPr>
              <w:spacing w:after="50"/>
              <w:rPr>
                <w:rFonts w:eastAsia="Arial" w:cs="Arial"/>
                <w:color w:val="000000" w:themeColor="text1"/>
                <w:szCs w:val="24"/>
              </w:rPr>
            </w:pPr>
          </w:p>
          <w:p w14:paraId="08F8BACE" w14:textId="77777777" w:rsidR="00ED0997" w:rsidRPr="00004070" w:rsidRDefault="00ED0997" w:rsidP="009D16B5">
            <w:pPr>
              <w:spacing w:after="50"/>
              <w:rPr>
                <w:rFonts w:eastAsia="Arial" w:cs="Arial"/>
                <w:color w:val="000000" w:themeColor="text1"/>
                <w:szCs w:val="24"/>
              </w:rPr>
            </w:pPr>
            <w:r w:rsidRPr="00004070">
              <w:rPr>
                <w:rFonts w:eastAsia="Arial" w:cs="Arial"/>
                <w:b/>
                <w:bCs/>
                <w:color w:val="000000" w:themeColor="text1"/>
                <w:szCs w:val="24"/>
                <w:u w:val="single"/>
              </w:rPr>
              <w:t>Breastfeeding</w:t>
            </w:r>
            <w:r w:rsidRPr="00004070">
              <w:rPr>
                <w:rFonts w:eastAsia="Arial" w:cs="Arial"/>
                <w:b/>
                <w:bCs/>
                <w:color w:val="000000" w:themeColor="text1"/>
                <w:szCs w:val="24"/>
              </w:rPr>
              <w:t>:</w:t>
            </w:r>
          </w:p>
          <w:p w14:paraId="49233937"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Azathioprine is compatible with breastfeeding, although the active metabolite mercaptopurine is present in breast milk.</w:t>
            </w:r>
            <w:r w:rsidRPr="00004070">
              <w:rPr>
                <w:rFonts w:eastAsia="Arial" w:cs="Arial"/>
                <w:szCs w:val="24"/>
              </w:rPr>
              <w:t xml:space="preserve"> </w:t>
            </w:r>
            <w:r w:rsidRPr="00004070">
              <w:rPr>
                <w:rFonts w:eastAsia="Arial" w:cs="Arial"/>
                <w:color w:val="000000" w:themeColor="text1"/>
                <w:szCs w:val="24"/>
              </w:rPr>
              <w:t xml:space="preserve">A risk versus benefit assessment is advised.  If used during breastfeeding, monitor for signs of infection or immunosuppression. If high doses of azathioprine are used, monitor infant blood counts. If mercaptopurine is used, monitor infant’s blood count and liver function. </w:t>
            </w:r>
          </w:p>
          <w:p w14:paraId="6756DEA6" w14:textId="77777777" w:rsidR="00ED0997" w:rsidRPr="00004070" w:rsidRDefault="00ED0997" w:rsidP="009D16B5">
            <w:pPr>
              <w:spacing w:after="50"/>
              <w:rPr>
                <w:rFonts w:eastAsia="Arial" w:cs="Arial"/>
                <w:color w:val="000000" w:themeColor="text1"/>
                <w:szCs w:val="24"/>
              </w:rPr>
            </w:pPr>
          </w:p>
          <w:p w14:paraId="0AA8872F" w14:textId="77777777" w:rsidR="00ED0997" w:rsidRPr="00004070" w:rsidRDefault="00ED0997" w:rsidP="009D16B5">
            <w:pPr>
              <w:spacing w:after="50"/>
              <w:rPr>
                <w:rFonts w:eastAsia="Arial" w:cs="Arial"/>
                <w:color w:val="FF0000"/>
                <w:szCs w:val="24"/>
              </w:rPr>
            </w:pPr>
            <w:r w:rsidRPr="00004070">
              <w:rPr>
                <w:rFonts w:eastAsia="Arial" w:cs="Arial"/>
                <w:color w:val="000000" w:themeColor="text1"/>
                <w:szCs w:val="24"/>
              </w:rPr>
              <w:t>Information for healthcare professionals:</w:t>
            </w:r>
            <w:r w:rsidRPr="00004070">
              <w:rPr>
                <w:rFonts w:eastAsia="Arial" w:cs="Arial"/>
                <w:color w:val="FF0000"/>
                <w:szCs w:val="24"/>
              </w:rPr>
              <w:t xml:space="preserve"> </w:t>
            </w:r>
          </w:p>
          <w:p w14:paraId="7E56D9BB" w14:textId="77777777" w:rsidR="00ED0997" w:rsidRPr="00004070" w:rsidRDefault="00ED0997" w:rsidP="009D16B5">
            <w:pPr>
              <w:pStyle w:val="ListParagraph"/>
              <w:numPr>
                <w:ilvl w:val="0"/>
                <w:numId w:val="25"/>
              </w:numPr>
              <w:rPr>
                <w:rFonts w:eastAsia="Arial" w:cs="Arial"/>
                <w:color w:val="FF0000"/>
                <w:szCs w:val="24"/>
              </w:rPr>
            </w:pPr>
            <w:hyperlink r:id="rId72">
              <w:r w:rsidRPr="00004070">
                <w:rPr>
                  <w:rStyle w:val="Hyperlink"/>
                  <w:rFonts w:eastAsia="Arial" w:cs="Arial"/>
                  <w:szCs w:val="24"/>
                </w:rPr>
                <w:t>https://www.sps.nhs.uk/medicines/azathioprine/</w:t>
              </w:r>
            </w:hyperlink>
            <w:r w:rsidRPr="00004070">
              <w:rPr>
                <w:rFonts w:eastAsia="Arial" w:cs="Arial"/>
                <w:color w:val="FF0000"/>
                <w:szCs w:val="24"/>
              </w:rPr>
              <w:t xml:space="preserve"> </w:t>
            </w:r>
          </w:p>
          <w:p w14:paraId="64EBDBF5" w14:textId="77777777" w:rsidR="00ED0997" w:rsidRPr="00004070" w:rsidRDefault="00ED0997" w:rsidP="009D16B5">
            <w:pPr>
              <w:pStyle w:val="ListParagraph"/>
              <w:numPr>
                <w:ilvl w:val="0"/>
                <w:numId w:val="25"/>
              </w:numPr>
              <w:rPr>
                <w:rFonts w:eastAsia="Arial" w:cs="Arial"/>
                <w:color w:val="FF0000"/>
                <w:szCs w:val="24"/>
              </w:rPr>
            </w:pPr>
            <w:hyperlink r:id="rId73">
              <w:r w:rsidRPr="00004070">
                <w:rPr>
                  <w:rStyle w:val="Hyperlink"/>
                  <w:rFonts w:eastAsia="Arial" w:cs="Arial"/>
                  <w:szCs w:val="24"/>
                </w:rPr>
                <w:t>https://www.sps.nhs.uk/medicines/mercaptopurine/</w:t>
              </w:r>
            </w:hyperlink>
            <w:r w:rsidRPr="00004070">
              <w:rPr>
                <w:rFonts w:eastAsia="Arial" w:cs="Arial"/>
                <w:color w:val="FF0000"/>
                <w:szCs w:val="24"/>
              </w:rPr>
              <w:t xml:space="preserve"> </w:t>
            </w:r>
          </w:p>
          <w:p w14:paraId="47623E1D" w14:textId="77777777" w:rsidR="00ED0997" w:rsidRPr="00004070" w:rsidRDefault="00ED0997" w:rsidP="009D16B5">
            <w:pPr>
              <w:spacing w:after="50"/>
              <w:rPr>
                <w:rFonts w:eastAsia="Arial" w:cs="Arial"/>
                <w:color w:val="000000" w:themeColor="text1"/>
                <w:szCs w:val="24"/>
              </w:rPr>
            </w:pPr>
          </w:p>
          <w:p w14:paraId="1EF5BEE5" w14:textId="77777777" w:rsidR="00ED0997" w:rsidRPr="00004070" w:rsidRDefault="00ED0997" w:rsidP="009D16B5">
            <w:pPr>
              <w:spacing w:after="50"/>
              <w:rPr>
                <w:rFonts w:eastAsia="Arial" w:cs="Arial"/>
                <w:color w:val="000000" w:themeColor="text1"/>
                <w:szCs w:val="24"/>
              </w:rPr>
            </w:pPr>
            <w:r w:rsidRPr="00004070">
              <w:rPr>
                <w:rFonts w:eastAsia="Arial" w:cs="Arial"/>
                <w:b/>
                <w:bCs/>
                <w:color w:val="000000" w:themeColor="text1"/>
                <w:szCs w:val="24"/>
                <w:u w:val="single"/>
              </w:rPr>
              <w:t>Paternal exposure</w:t>
            </w:r>
            <w:r w:rsidRPr="00004070">
              <w:rPr>
                <w:rFonts w:eastAsia="Arial" w:cs="Arial"/>
                <w:color w:val="000000" w:themeColor="text1"/>
                <w:szCs w:val="24"/>
              </w:rPr>
              <w:t>:</w:t>
            </w:r>
          </w:p>
          <w:p w14:paraId="54A9214B" w14:textId="77777777" w:rsidR="00ED0997" w:rsidRPr="00004070" w:rsidRDefault="00ED0997" w:rsidP="009D16B5">
            <w:pPr>
              <w:spacing w:after="50"/>
              <w:rPr>
                <w:rFonts w:eastAsia="Arial" w:cs="Arial"/>
                <w:color w:val="000000" w:themeColor="text1"/>
                <w:szCs w:val="24"/>
              </w:rPr>
            </w:pPr>
            <w:r w:rsidRPr="00004070">
              <w:rPr>
                <w:rFonts w:eastAsia="Arial" w:cs="Arial"/>
                <w:color w:val="000000" w:themeColor="text1"/>
                <w:szCs w:val="24"/>
              </w:rPr>
              <w:t>Azathioprine and mercaptopurine are compatible with paternal exposure.</w:t>
            </w:r>
            <w:r w:rsidRPr="00004070">
              <w:rPr>
                <w:rFonts w:eastAsia="Arial" w:cs="Arial"/>
                <w:szCs w:val="24"/>
              </w:rPr>
              <w:t xml:space="preserve"> </w:t>
            </w:r>
            <w:r w:rsidRPr="00004070">
              <w:rPr>
                <w:rFonts w:eastAsia="Arial" w:cs="Arial"/>
                <w:color w:val="000000" w:themeColor="text1"/>
                <w:szCs w:val="24"/>
              </w:rPr>
              <w:t>There is currently no evidence of adverse fetal effects relating to paternal use.</w:t>
            </w:r>
          </w:p>
          <w:p w14:paraId="776F2CBC" w14:textId="77777777" w:rsidR="00ED0997" w:rsidRPr="00004070" w:rsidRDefault="00ED0997" w:rsidP="009D16B5">
            <w:pPr>
              <w:spacing w:after="50"/>
              <w:rPr>
                <w:rFonts w:eastAsia="Arial" w:cs="Arial"/>
                <w:color w:val="000000" w:themeColor="text1"/>
                <w:szCs w:val="24"/>
              </w:rPr>
            </w:pPr>
          </w:p>
          <w:p w14:paraId="28BE39FA" w14:textId="7F14171D" w:rsidR="00ED0997" w:rsidRPr="00004070" w:rsidRDefault="00ED0997" w:rsidP="009D16B5">
            <w:pPr>
              <w:pStyle w:val="ListParagraph"/>
              <w:numPr>
                <w:ilvl w:val="0"/>
                <w:numId w:val="9"/>
              </w:numPr>
              <w:autoSpaceDE w:val="0"/>
              <w:autoSpaceDN w:val="0"/>
              <w:adjustRightInd w:val="0"/>
              <w:rPr>
                <w:rFonts w:eastAsia="Times New Roman" w:cs="Arial"/>
                <w:color w:val="000000"/>
                <w:lang w:eastAsia="en-GB"/>
              </w:rPr>
            </w:pPr>
            <w:r w:rsidRPr="00004070">
              <w:rPr>
                <w:rFonts w:eastAsia="Arial" w:cs="Arial"/>
                <w:color w:val="000000" w:themeColor="text1"/>
                <w:szCs w:val="24"/>
              </w:rPr>
              <w:t xml:space="preserve">Information for healthcare professionals: </w:t>
            </w:r>
            <w:hyperlink r:id="rId74">
              <w:r w:rsidRPr="00004070">
                <w:rPr>
                  <w:rStyle w:val="Hyperlink"/>
                  <w:rFonts w:eastAsia="Arial" w:cs="Arial"/>
                  <w:szCs w:val="24"/>
                </w:rPr>
                <w:t>https://www.medicinesinpregnancy.org/bumps/monographs/PATERNAL-USE-OF-AZATHIOPRINE-OR-MERCAPTOPURINE/</w:t>
              </w:r>
            </w:hyperlink>
            <w:r w:rsidRPr="00004070">
              <w:rPr>
                <w:rStyle w:val="Hyperlink"/>
                <w:rFonts w:eastAsia="Arial" w:cs="Arial"/>
                <w:szCs w:val="24"/>
              </w:rPr>
              <w:t xml:space="preserve"> </w:t>
            </w:r>
          </w:p>
        </w:tc>
      </w:tr>
    </w:tbl>
    <w:p w14:paraId="73A4DAE7" w14:textId="5D90A318" w:rsidR="00846A4A" w:rsidRPr="00004070" w:rsidRDefault="00846A4A">
      <w:bookmarkStart w:id="19"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004070" w14:paraId="3A78E10C" w14:textId="77777777" w:rsidTr="7093DCF9">
        <w:trPr>
          <w:jc w:val="center"/>
        </w:trPr>
        <w:tc>
          <w:tcPr>
            <w:tcW w:w="10455" w:type="dxa"/>
            <w:tcBorders>
              <w:bottom w:val="nil"/>
            </w:tcBorders>
            <w:shd w:val="clear" w:color="auto" w:fill="F2F2F2" w:themeFill="background1" w:themeFillShade="F2"/>
          </w:tcPr>
          <w:p w14:paraId="2536982E" w14:textId="5A651A0A" w:rsidR="002C1756" w:rsidRPr="00004070" w:rsidRDefault="002C1756" w:rsidP="007F3977">
            <w:pPr>
              <w:pStyle w:val="Heading1"/>
              <w:tabs>
                <w:tab w:val="right" w:pos="10238"/>
              </w:tabs>
              <w:ind w:left="599" w:hanging="599"/>
              <w:rPr>
                <w:lang w:eastAsia="en-GB"/>
              </w:rPr>
            </w:pPr>
            <w:r w:rsidRPr="00004070">
              <w:rPr>
                <w:lang w:eastAsia="en-GB"/>
              </w:rPr>
              <w:lastRenderedPageBreak/>
              <w:t>Specialist contact information</w:t>
            </w:r>
            <w:bookmarkEnd w:id="19"/>
            <w:r w:rsidRPr="00004070">
              <w:rPr>
                <w:lang w:eastAsia="en-GB"/>
              </w:rPr>
              <w:tab/>
            </w:r>
            <w:hyperlink w:anchor="Responsibilities" w:history="1">
              <w:r w:rsidRPr="00004070">
                <w:rPr>
                  <w:rStyle w:val="Hyperlink"/>
                  <w:rFonts w:eastAsia="Times New Roman" w:cs="Arial"/>
                  <w:b w:val="0"/>
                  <w:bCs w:val="0"/>
                  <w:sz w:val="24"/>
                  <w:szCs w:val="24"/>
                  <w:lang w:eastAsia="en-GB"/>
                </w:rPr>
                <w:t>Back to top</w:t>
              </w:r>
            </w:hyperlink>
          </w:p>
        </w:tc>
      </w:tr>
      <w:tr w:rsidR="002C1756" w:rsidRPr="00004070" w14:paraId="4CD4F732" w14:textId="77777777" w:rsidTr="7093DCF9">
        <w:trPr>
          <w:jc w:val="center"/>
        </w:trPr>
        <w:tc>
          <w:tcPr>
            <w:tcW w:w="10455" w:type="dxa"/>
            <w:tcBorders>
              <w:top w:val="nil"/>
              <w:bottom w:val="single" w:sz="4" w:space="0" w:color="auto"/>
            </w:tcBorders>
          </w:tcPr>
          <w:p w14:paraId="198A966A" w14:textId="77777777" w:rsidR="0028315B" w:rsidRPr="008F7C65" w:rsidRDefault="0028315B" w:rsidP="0028315B">
            <w:pPr>
              <w:spacing w:before="60" w:after="60"/>
              <w:rPr>
                <w:rFonts w:eastAsia="Times New Roman" w:cstheme="minorHAnsi"/>
              </w:rPr>
            </w:pPr>
            <w:r w:rsidRPr="008F7C65">
              <w:rPr>
                <w:rFonts w:eastAsia="Times New Roman" w:cstheme="minorHAnsi"/>
              </w:rPr>
              <w:t xml:space="preserve">Name: </w:t>
            </w:r>
            <w:permStart w:id="1144073847" w:edGrp="everyone"/>
            <w:r w:rsidRPr="00FF7EC3">
              <w:rPr>
                <w:rFonts w:eastAsia="Times New Roman" w:cstheme="minorHAnsi"/>
                <w:i/>
                <w:iCs/>
              </w:rPr>
              <w:t>insert name</w:t>
            </w:r>
            <w:r w:rsidRPr="008F7C65">
              <w:rPr>
                <w:rFonts w:eastAsia="Times New Roman" w:cstheme="minorHAnsi"/>
              </w:rPr>
              <w:t xml:space="preserve">    </w:t>
            </w:r>
            <w:permEnd w:id="1144073847"/>
          </w:p>
          <w:p w14:paraId="74B91D1F" w14:textId="77777777" w:rsidR="0028315B" w:rsidRPr="008F7C65" w:rsidRDefault="0028315B" w:rsidP="0028315B">
            <w:pPr>
              <w:spacing w:before="60" w:after="60"/>
              <w:rPr>
                <w:rFonts w:eastAsia="Times New Roman" w:cstheme="minorHAnsi"/>
              </w:rPr>
            </w:pPr>
            <w:r w:rsidRPr="008F7C65">
              <w:rPr>
                <w:rFonts w:eastAsia="Times New Roman" w:cstheme="minorHAnsi"/>
              </w:rPr>
              <w:t xml:space="preserve">Role and specialty: </w:t>
            </w:r>
            <w:permStart w:id="2123577790" w:edGrp="everyone"/>
            <w:r w:rsidRPr="00FF7EC3">
              <w:rPr>
                <w:rFonts w:eastAsia="Times New Roman" w:cstheme="minorHAnsi"/>
                <w:i/>
                <w:iCs/>
              </w:rPr>
              <w:t>insert role and speciality</w:t>
            </w:r>
            <w:r w:rsidRPr="008F7C65">
              <w:rPr>
                <w:rFonts w:eastAsia="Times New Roman" w:cstheme="minorHAnsi"/>
              </w:rPr>
              <w:t xml:space="preserve"> </w:t>
            </w:r>
            <w:permEnd w:id="2123577790"/>
          </w:p>
          <w:p w14:paraId="7C9F2C70" w14:textId="77777777" w:rsidR="0028315B" w:rsidRPr="008F7C65" w:rsidRDefault="0028315B" w:rsidP="0028315B">
            <w:pPr>
              <w:spacing w:before="60" w:after="60"/>
              <w:rPr>
                <w:rFonts w:eastAsia="Times New Roman" w:cstheme="minorHAnsi"/>
              </w:rPr>
            </w:pPr>
            <w:r w:rsidRPr="008F7C65">
              <w:rPr>
                <w:rFonts w:eastAsia="Times New Roman" w:cstheme="minorHAnsi"/>
              </w:rPr>
              <w:t xml:space="preserve">Daytime telephone number: </w:t>
            </w:r>
            <w:permStart w:id="1103702043" w:edGrp="everyone"/>
            <w:r w:rsidRPr="00FF7EC3">
              <w:rPr>
                <w:rFonts w:eastAsia="Times New Roman" w:cstheme="minorHAnsi"/>
                <w:i/>
                <w:iCs/>
              </w:rPr>
              <w:t>insert daytime telephone number</w:t>
            </w:r>
            <w:r w:rsidRPr="008F7C65">
              <w:rPr>
                <w:rFonts w:eastAsia="Times New Roman" w:cstheme="minorHAnsi"/>
              </w:rPr>
              <w:t xml:space="preserve"> </w:t>
            </w:r>
            <w:permEnd w:id="1103702043"/>
          </w:p>
          <w:p w14:paraId="0178C066" w14:textId="77777777" w:rsidR="0028315B" w:rsidRPr="008F7C65" w:rsidRDefault="0028315B" w:rsidP="0028315B">
            <w:pPr>
              <w:spacing w:before="60" w:after="60"/>
              <w:rPr>
                <w:rFonts w:eastAsia="Times New Roman" w:cstheme="minorHAnsi"/>
              </w:rPr>
            </w:pPr>
            <w:r w:rsidRPr="008F7C65">
              <w:rPr>
                <w:rFonts w:eastAsia="Times New Roman" w:cstheme="minorHAnsi"/>
              </w:rPr>
              <w:t xml:space="preserve">Email address: </w:t>
            </w:r>
            <w:permStart w:id="1111371683" w:edGrp="everyone"/>
            <w:r w:rsidRPr="00FF7EC3">
              <w:rPr>
                <w:rFonts w:eastAsia="Times New Roman" w:cstheme="minorHAnsi"/>
                <w:i/>
                <w:iCs/>
              </w:rPr>
              <w:t>insert email address</w:t>
            </w:r>
            <w:r w:rsidRPr="008F7C65">
              <w:rPr>
                <w:rFonts w:eastAsia="Times New Roman" w:cstheme="minorHAnsi"/>
              </w:rPr>
              <w:t xml:space="preserve"> </w:t>
            </w:r>
          </w:p>
          <w:permEnd w:id="1111371683"/>
          <w:p w14:paraId="1079B856" w14:textId="77777777" w:rsidR="0028315B" w:rsidRPr="008F7C65" w:rsidRDefault="0028315B" w:rsidP="0028315B">
            <w:pPr>
              <w:spacing w:before="60" w:after="60"/>
              <w:rPr>
                <w:rFonts w:eastAsia="Times New Roman" w:cstheme="minorHAnsi"/>
              </w:rPr>
            </w:pPr>
            <w:r w:rsidRPr="008F7C65">
              <w:rPr>
                <w:rFonts w:eastAsia="Times New Roman" w:cstheme="minorHAnsi"/>
              </w:rPr>
              <w:t xml:space="preserve">Alternative contact: </w:t>
            </w:r>
            <w:permStart w:id="1711434528" w:edGrp="everyone"/>
            <w:r w:rsidRPr="00FF7EC3">
              <w:rPr>
                <w:rFonts w:eastAsia="Times New Roman" w:cstheme="minorHAnsi"/>
                <w:i/>
                <w:iCs/>
              </w:rPr>
              <w:t>insert contact information, e.g. for clinic or specialist nurse</w:t>
            </w:r>
            <w:r w:rsidRPr="008F7C65">
              <w:rPr>
                <w:rFonts w:eastAsia="Times New Roman" w:cstheme="minorHAnsi"/>
              </w:rPr>
              <w:t xml:space="preserve">  </w:t>
            </w:r>
            <w:permEnd w:id="1711434528"/>
          </w:p>
          <w:p w14:paraId="28A18653" w14:textId="77777777" w:rsidR="0028315B" w:rsidRDefault="0028315B" w:rsidP="0028315B">
            <w:pPr>
              <w:spacing w:after="0"/>
              <w:rPr>
                <w:rFonts w:eastAsia="Times New Roman" w:cstheme="minorHAnsi"/>
              </w:rPr>
            </w:pPr>
            <w:r w:rsidRPr="008F7C65">
              <w:rPr>
                <w:rFonts w:eastAsia="Times New Roman" w:cstheme="minorHAnsi"/>
              </w:rPr>
              <w:t>Out of hours contact details:</w:t>
            </w:r>
            <w:r w:rsidRPr="00FF7EC3">
              <w:rPr>
                <w:rFonts w:eastAsia="Times New Roman" w:cstheme="minorHAnsi"/>
                <w:i/>
                <w:iCs/>
              </w:rPr>
              <w:t xml:space="preserve"> </w:t>
            </w:r>
            <w:permStart w:id="1114392735" w:edGrp="everyone"/>
            <w:r w:rsidRPr="00FF7EC3">
              <w:rPr>
                <w:rFonts w:eastAsia="Times New Roman" w:cstheme="minorHAnsi"/>
                <w:i/>
                <w:iCs/>
              </w:rPr>
              <w:t>insert contact information, e.g. for duty doctor</w:t>
            </w:r>
            <w:permEnd w:id="1114392735"/>
          </w:p>
          <w:p w14:paraId="68E5A417" w14:textId="131F1CC4" w:rsidR="002C1756" w:rsidRPr="00004070" w:rsidRDefault="002C1756" w:rsidP="002C1756">
            <w:pPr>
              <w:spacing w:before="60" w:after="60" w:line="240" w:lineRule="auto"/>
              <w:rPr>
                <w:rFonts w:eastAsia="Times New Roman" w:cs="Arial"/>
              </w:rPr>
            </w:pPr>
          </w:p>
        </w:tc>
      </w:tr>
      <w:tr w:rsidR="002C1756" w:rsidRPr="00004070" w14:paraId="1AD14A2A" w14:textId="77777777" w:rsidTr="7093DCF9">
        <w:trPr>
          <w:jc w:val="center"/>
        </w:trPr>
        <w:tc>
          <w:tcPr>
            <w:tcW w:w="10455" w:type="dxa"/>
            <w:tcBorders>
              <w:bottom w:val="nil"/>
            </w:tcBorders>
            <w:shd w:val="clear" w:color="auto" w:fill="F2F2F2" w:themeFill="background1" w:themeFillShade="F2"/>
          </w:tcPr>
          <w:p w14:paraId="201683F6" w14:textId="41E7CC27" w:rsidR="002C1756" w:rsidRPr="00004070" w:rsidRDefault="002C1756" w:rsidP="007F3977">
            <w:pPr>
              <w:pStyle w:val="Heading1"/>
              <w:tabs>
                <w:tab w:val="right" w:pos="10238"/>
              </w:tabs>
              <w:ind w:left="599" w:hanging="599"/>
              <w:rPr>
                <w:sz w:val="20"/>
                <w:lang w:val="en-US" w:eastAsia="en-GB"/>
              </w:rPr>
            </w:pPr>
            <w:bookmarkStart w:id="20" w:name="Fourteen_additional_info"/>
            <w:r w:rsidRPr="00004070">
              <w:rPr>
                <w:lang w:eastAsia="en-GB"/>
              </w:rPr>
              <w:t>Additional information</w:t>
            </w:r>
            <w:bookmarkEnd w:id="20"/>
            <w:r w:rsidRPr="00004070">
              <w:rPr>
                <w:lang w:eastAsia="en-GB"/>
              </w:rPr>
              <w:tab/>
            </w:r>
            <w:hyperlink w:anchor="Responsibilities" w:history="1">
              <w:r w:rsidRPr="00004070">
                <w:rPr>
                  <w:rStyle w:val="Hyperlink"/>
                  <w:rFonts w:eastAsia="Times New Roman" w:cs="Arial"/>
                  <w:b w:val="0"/>
                  <w:bCs w:val="0"/>
                  <w:sz w:val="24"/>
                  <w:szCs w:val="24"/>
                  <w:lang w:eastAsia="en-GB"/>
                </w:rPr>
                <w:t>Back to top</w:t>
              </w:r>
            </w:hyperlink>
          </w:p>
        </w:tc>
      </w:tr>
      <w:tr w:rsidR="002C1756" w:rsidRPr="00004070" w14:paraId="0650CF87" w14:textId="77777777" w:rsidTr="7093DCF9">
        <w:trPr>
          <w:jc w:val="center"/>
        </w:trPr>
        <w:tc>
          <w:tcPr>
            <w:tcW w:w="10455" w:type="dxa"/>
            <w:tcBorders>
              <w:top w:val="nil"/>
              <w:bottom w:val="single" w:sz="4" w:space="0" w:color="auto"/>
            </w:tcBorders>
          </w:tcPr>
          <w:p w14:paraId="6F1EA946" w14:textId="5CF1ABA8" w:rsidR="002C1756" w:rsidRPr="00004070" w:rsidRDefault="002C1756" w:rsidP="007F3977">
            <w:pPr>
              <w:rPr>
                <w:lang w:eastAsia="en-GB"/>
              </w:rPr>
            </w:pPr>
            <w:r w:rsidRPr="00004070">
              <w:rPr>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004070" w14:paraId="40A4CE02" w14:textId="77777777" w:rsidTr="7093DCF9">
        <w:trPr>
          <w:jc w:val="center"/>
        </w:trPr>
        <w:tc>
          <w:tcPr>
            <w:tcW w:w="10455" w:type="dxa"/>
            <w:tcBorders>
              <w:bottom w:val="nil"/>
            </w:tcBorders>
            <w:shd w:val="clear" w:color="auto" w:fill="F2F2F2" w:themeFill="background1" w:themeFillShade="F2"/>
          </w:tcPr>
          <w:p w14:paraId="469E4408" w14:textId="3AC79B0D" w:rsidR="002C1756" w:rsidRPr="00004070" w:rsidRDefault="002C1756" w:rsidP="007F3977">
            <w:pPr>
              <w:pStyle w:val="Heading1"/>
              <w:tabs>
                <w:tab w:val="right" w:pos="10240"/>
              </w:tabs>
              <w:ind w:left="599" w:hanging="599"/>
              <w:rPr>
                <w:lang w:eastAsia="en-GB"/>
              </w:rPr>
            </w:pPr>
            <w:bookmarkStart w:id="21" w:name="Fifteen_references"/>
            <w:r w:rsidRPr="00004070">
              <w:rPr>
                <w:lang w:eastAsia="en-GB"/>
              </w:rPr>
              <w:t>References</w:t>
            </w:r>
            <w:bookmarkEnd w:id="21"/>
            <w:r w:rsidRPr="00004070">
              <w:rPr>
                <w:lang w:eastAsia="en-GB"/>
              </w:rPr>
              <w:tab/>
            </w:r>
            <w:hyperlink w:anchor="Responsibilities" w:history="1">
              <w:r w:rsidRPr="00004070">
                <w:rPr>
                  <w:rStyle w:val="Hyperlink"/>
                  <w:rFonts w:eastAsia="Times New Roman" w:cs="Arial"/>
                  <w:b w:val="0"/>
                  <w:bCs w:val="0"/>
                  <w:sz w:val="24"/>
                  <w:szCs w:val="24"/>
                  <w:lang w:eastAsia="en-GB"/>
                </w:rPr>
                <w:t>Back to top</w:t>
              </w:r>
            </w:hyperlink>
          </w:p>
        </w:tc>
      </w:tr>
      <w:tr w:rsidR="002C1756" w:rsidRPr="00004070" w14:paraId="583AE708" w14:textId="77777777" w:rsidTr="7093DCF9">
        <w:trPr>
          <w:jc w:val="center"/>
        </w:trPr>
        <w:tc>
          <w:tcPr>
            <w:tcW w:w="10455" w:type="dxa"/>
            <w:tcBorders>
              <w:top w:val="nil"/>
              <w:bottom w:val="single" w:sz="4" w:space="0" w:color="auto"/>
            </w:tcBorders>
          </w:tcPr>
          <w:p w14:paraId="416FDA7C"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eBNF accessed via </w:t>
            </w:r>
            <w:hyperlink r:id="rId75">
              <w:r w:rsidRPr="00004070">
                <w:rPr>
                  <w:rStyle w:val="Hyperlink"/>
                  <w:rFonts w:eastAsia="Arial" w:cs="Arial"/>
                  <w:szCs w:val="24"/>
                </w:rPr>
                <w:t>https://bnf.nice.org.uk/</w:t>
              </w:r>
            </w:hyperlink>
            <w:r w:rsidRPr="00004070">
              <w:rPr>
                <w:rFonts w:eastAsia="Arial" w:cs="Arial"/>
                <w:szCs w:val="24"/>
              </w:rPr>
              <w:t xml:space="preserve"> on 05/10/2021.</w:t>
            </w:r>
          </w:p>
          <w:p w14:paraId="7B1DA23B"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Azathioprine 50mg tablets (Imuran®). Aspen. Date of revision of the text: April 2021. Accessed via </w:t>
            </w:r>
            <w:hyperlink r:id="rId76">
              <w:r w:rsidRPr="00004070">
                <w:rPr>
                  <w:rStyle w:val="Hyperlink"/>
                  <w:rFonts w:eastAsia="Arial" w:cs="Arial"/>
                  <w:szCs w:val="24"/>
                </w:rPr>
                <w:t>https://www.medicines.org.uk/emc/product/3823</w:t>
              </w:r>
            </w:hyperlink>
            <w:r w:rsidRPr="00004070">
              <w:rPr>
                <w:rFonts w:eastAsia="Arial" w:cs="Arial"/>
                <w:szCs w:val="24"/>
              </w:rPr>
              <w:t xml:space="preserve">  on 08/07/2021.</w:t>
            </w:r>
          </w:p>
          <w:p w14:paraId="3AE5B3CF" w14:textId="0A374F44" w:rsidR="00ED0997" w:rsidRPr="00004070" w:rsidRDefault="00ED0997" w:rsidP="7093DCF9">
            <w:pPr>
              <w:pStyle w:val="ListParagraph"/>
              <w:numPr>
                <w:ilvl w:val="0"/>
                <w:numId w:val="2"/>
              </w:numPr>
              <w:ind w:left="357" w:hanging="357"/>
              <w:rPr>
                <w:rFonts w:eastAsia="Arial" w:cs="Arial"/>
              </w:rPr>
            </w:pPr>
            <w:r w:rsidRPr="00004070">
              <w:rPr>
                <w:rFonts w:eastAsia="Arial" w:cs="Arial"/>
              </w:rPr>
              <w:t xml:space="preserve">Azathioprine 50mg tablets (Azapress®). Ennogen. Date of revision of the text: 29/06/2016. Accessed via </w:t>
            </w:r>
            <w:hyperlink r:id="rId77">
              <w:r w:rsidRPr="00004070">
                <w:rPr>
                  <w:rStyle w:val="Hyperlink"/>
                  <w:rFonts w:eastAsia="Arial" w:cs="Arial"/>
                </w:rPr>
                <w:t>www.medicines.org.uk/emc</w:t>
              </w:r>
            </w:hyperlink>
            <w:r w:rsidRPr="00004070">
              <w:rPr>
                <w:rFonts w:eastAsia="Arial" w:cs="Arial"/>
              </w:rPr>
              <w:t xml:space="preserve">    on 01/10/2020.</w:t>
            </w:r>
          </w:p>
          <w:p w14:paraId="192FE824" w14:textId="77777777" w:rsidR="00ED0997" w:rsidRPr="00004070" w:rsidRDefault="00ED0997" w:rsidP="009D16B5">
            <w:pPr>
              <w:pStyle w:val="ListParagraph"/>
              <w:numPr>
                <w:ilvl w:val="0"/>
                <w:numId w:val="2"/>
              </w:numPr>
              <w:ind w:left="357" w:hanging="357"/>
              <w:rPr>
                <w:rFonts w:cs="Arial"/>
                <w:szCs w:val="24"/>
              </w:rPr>
            </w:pPr>
            <w:r w:rsidRPr="00004070">
              <w:rPr>
                <w:rFonts w:eastAsia="Arial" w:cs="Arial"/>
                <w:szCs w:val="24"/>
              </w:rPr>
              <w:t xml:space="preserve">Mercaptopurine 50mg tablets. Aspen. Date of revision of the text: August 2019. Accessed via </w:t>
            </w:r>
            <w:hyperlink r:id="rId78">
              <w:r w:rsidRPr="00004070">
                <w:rPr>
                  <w:rStyle w:val="Hyperlink"/>
                  <w:rFonts w:eastAsia="Arial" w:cs="Arial"/>
                  <w:szCs w:val="24"/>
                </w:rPr>
                <w:t>https://www.medicines.org.uk/emc/product/4655/smpc</w:t>
              </w:r>
            </w:hyperlink>
            <w:r w:rsidRPr="00004070">
              <w:rPr>
                <w:rFonts w:eastAsia="Arial" w:cs="Arial"/>
                <w:szCs w:val="24"/>
              </w:rPr>
              <w:t xml:space="preserve"> on 06/10/2021.</w:t>
            </w:r>
          </w:p>
          <w:p w14:paraId="5DE95BAF" w14:textId="77777777" w:rsidR="00ED0997" w:rsidRPr="00004070" w:rsidRDefault="00ED0997" w:rsidP="009D16B5">
            <w:pPr>
              <w:pStyle w:val="ListParagraph"/>
              <w:numPr>
                <w:ilvl w:val="0"/>
                <w:numId w:val="2"/>
              </w:numPr>
              <w:ind w:left="357" w:hanging="357"/>
              <w:rPr>
                <w:rFonts w:cs="Arial"/>
                <w:szCs w:val="24"/>
              </w:rPr>
            </w:pPr>
            <w:r w:rsidRPr="00004070">
              <w:rPr>
                <w:rFonts w:eastAsia="Arial" w:cs="Arial"/>
                <w:szCs w:val="24"/>
              </w:rPr>
              <w:t xml:space="preserve">Mercaptopurine 20mg/ml oral suspension (Xaluprine®). Nova Laboratories Ltd. Date of revision of the text: January 2021. Accessed via </w:t>
            </w:r>
            <w:hyperlink r:id="rId79">
              <w:r w:rsidRPr="00004070">
                <w:rPr>
                  <w:rStyle w:val="Hyperlink"/>
                  <w:rFonts w:eastAsia="Arial" w:cs="Arial"/>
                  <w:szCs w:val="24"/>
                </w:rPr>
                <w:t>https://www.medicines.org.uk/emc/product/2949/smpc</w:t>
              </w:r>
            </w:hyperlink>
            <w:r w:rsidRPr="00004070">
              <w:rPr>
                <w:rFonts w:eastAsia="Arial" w:cs="Arial"/>
                <w:szCs w:val="24"/>
              </w:rPr>
              <w:t xml:space="preserve"> on 06/10/2021.</w:t>
            </w:r>
          </w:p>
          <w:p w14:paraId="5C6F21AA"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Society of Rheumatology and British Health Professionals in Rheumatology. 2017. </w:t>
            </w:r>
            <w:hyperlink r:id="rId80">
              <w:r w:rsidRPr="00004070">
                <w:rPr>
                  <w:rStyle w:val="Hyperlink"/>
                  <w:rFonts w:eastAsia="Arial" w:cs="Arial"/>
                  <w:szCs w:val="24"/>
                </w:rPr>
                <w:t>Guidelines for the prescription and monitoring of non-biologic disease-modifying anti-rheumatic drugs</w:t>
              </w:r>
            </w:hyperlink>
            <w:r w:rsidRPr="00004070">
              <w:rPr>
                <w:rFonts w:eastAsia="Arial" w:cs="Arial"/>
                <w:szCs w:val="24"/>
              </w:rPr>
              <w:t>. Accessed 01/10/2020.</w:t>
            </w:r>
          </w:p>
          <w:p w14:paraId="2E6B4F79"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lastRenderedPageBreak/>
              <w:t xml:space="preserve">British Society of Rheumatology and British Health Professionals in Rheumatology. 2016. </w:t>
            </w:r>
            <w:hyperlink r:id="rId81">
              <w:r w:rsidRPr="00004070">
                <w:rPr>
                  <w:rStyle w:val="Hyperlink"/>
                  <w:rFonts w:eastAsia="Arial" w:cs="Arial"/>
                  <w:szCs w:val="24"/>
                </w:rPr>
                <w:t>Guideline on prescribing drugs in pregnancy and breastfeeding – Part I: standard and biologic disease modifying anti-rheumatic drugs and corticosteroids</w:t>
              </w:r>
            </w:hyperlink>
            <w:r w:rsidRPr="00004070">
              <w:rPr>
                <w:rFonts w:eastAsia="Arial" w:cs="Arial"/>
                <w:szCs w:val="24"/>
              </w:rPr>
              <w:t>. Accessed 01/10/2020.</w:t>
            </w:r>
          </w:p>
          <w:p w14:paraId="65D4B131"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Association of Dermatologists. 2011. </w:t>
            </w:r>
            <w:hyperlink r:id="rId82">
              <w:r w:rsidRPr="00004070">
                <w:rPr>
                  <w:rStyle w:val="Hyperlink"/>
                  <w:rFonts w:eastAsia="Arial" w:cs="Arial"/>
                  <w:szCs w:val="24"/>
                </w:rPr>
                <w:t>Guidelines for the safe and effective prescribing of azathioprine</w:t>
              </w:r>
            </w:hyperlink>
            <w:r w:rsidRPr="00004070">
              <w:rPr>
                <w:rFonts w:eastAsia="Arial" w:cs="Arial"/>
                <w:szCs w:val="24"/>
              </w:rPr>
              <w:t xml:space="preserve"> (update in progress). Accessed 01/10/2020.</w:t>
            </w:r>
          </w:p>
          <w:p w14:paraId="2B9E95A5"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Association of Dermatologists. 2007 (updated 2016). </w:t>
            </w:r>
            <w:hyperlink r:id="rId83">
              <w:r w:rsidRPr="00004070">
                <w:rPr>
                  <w:rStyle w:val="Hyperlink"/>
                  <w:rFonts w:eastAsia="Arial" w:cs="Arial"/>
                  <w:szCs w:val="24"/>
                </w:rPr>
                <w:t>Patient information leaflet: azathioprine</w:t>
              </w:r>
            </w:hyperlink>
            <w:r w:rsidRPr="00004070">
              <w:rPr>
                <w:rFonts w:eastAsia="Arial" w:cs="Arial"/>
                <w:szCs w:val="24"/>
              </w:rPr>
              <w:t>.  Accessed 01/10/2020.</w:t>
            </w:r>
          </w:p>
          <w:p w14:paraId="7DDFA38B"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Thoracic Society in collaboration with the Thoracic Society of Australia and New Zealand and the Irish Thoracic Society. 2008. </w:t>
            </w:r>
            <w:hyperlink r:id="rId84">
              <w:r w:rsidRPr="00004070">
                <w:rPr>
                  <w:rStyle w:val="Hyperlink"/>
                  <w:rFonts w:eastAsia="Arial" w:cs="Arial"/>
                  <w:szCs w:val="24"/>
                </w:rPr>
                <w:t>Interstitial lung disease guideline</w:t>
              </w:r>
            </w:hyperlink>
            <w:r w:rsidRPr="00004070">
              <w:rPr>
                <w:rFonts w:eastAsia="Arial" w:cs="Arial"/>
                <w:szCs w:val="24"/>
              </w:rPr>
              <w:t xml:space="preserve"> (archived). Accessed 01/10/2020.</w:t>
            </w:r>
          </w:p>
          <w:p w14:paraId="4416FA85"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Society of Gastroenterology. 2019. </w:t>
            </w:r>
            <w:hyperlink r:id="rId85">
              <w:r w:rsidRPr="00004070">
                <w:rPr>
                  <w:rStyle w:val="Hyperlink"/>
                  <w:rFonts w:eastAsia="Arial" w:cs="Arial"/>
                  <w:szCs w:val="24"/>
                </w:rPr>
                <w:t>Consensus guidelines on the management of inflammatory bowel disease in adults</w:t>
              </w:r>
            </w:hyperlink>
            <w:r w:rsidRPr="00004070">
              <w:rPr>
                <w:rFonts w:eastAsia="Arial" w:cs="Arial"/>
                <w:szCs w:val="24"/>
              </w:rPr>
              <w:t>.  Accessed 01/10/2020.</w:t>
            </w:r>
          </w:p>
          <w:p w14:paraId="4095A5FF"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British Society of Gastroenterology. 2011. </w:t>
            </w:r>
            <w:hyperlink r:id="rId86">
              <w:r w:rsidRPr="00004070">
                <w:rPr>
                  <w:rStyle w:val="Hyperlink"/>
                  <w:rFonts w:eastAsia="Arial" w:cs="Arial"/>
                  <w:szCs w:val="24"/>
                </w:rPr>
                <w:t>Guidelines on the management of autoimmune hepatitis</w:t>
              </w:r>
            </w:hyperlink>
            <w:r w:rsidRPr="00004070">
              <w:rPr>
                <w:rFonts w:eastAsia="Arial" w:cs="Arial"/>
                <w:szCs w:val="24"/>
              </w:rPr>
              <w:t>. Accessed 01/10/2020.</w:t>
            </w:r>
          </w:p>
          <w:p w14:paraId="480DEDC5"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Association of British Neurologists. 2015. </w:t>
            </w:r>
            <w:hyperlink r:id="rId87">
              <w:r w:rsidRPr="00004070">
                <w:rPr>
                  <w:rStyle w:val="Hyperlink"/>
                  <w:rFonts w:eastAsia="Arial" w:cs="Arial"/>
                  <w:szCs w:val="24"/>
                </w:rPr>
                <w:t>Myasthenia gravis: management guidelines</w:t>
              </w:r>
            </w:hyperlink>
            <w:r w:rsidRPr="00004070">
              <w:rPr>
                <w:rFonts w:eastAsia="Arial" w:cs="Arial"/>
                <w:szCs w:val="24"/>
              </w:rPr>
              <w:t>. Accessed 01/10/2020.</w:t>
            </w:r>
          </w:p>
          <w:p w14:paraId="59677901"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Public Health England. </w:t>
            </w:r>
            <w:hyperlink r:id="rId88">
              <w:r w:rsidRPr="00004070">
                <w:rPr>
                  <w:rStyle w:val="Hyperlink"/>
                  <w:rFonts w:eastAsia="Arial" w:cs="Arial"/>
                  <w:szCs w:val="24"/>
                </w:rPr>
                <w:t>Immunisation against infections disease: The Green Book</w:t>
              </w:r>
            </w:hyperlink>
            <w:r w:rsidRPr="00004070">
              <w:rPr>
                <w:rFonts w:eastAsia="Arial" w:cs="Arial"/>
                <w:szCs w:val="24"/>
              </w:rPr>
              <w:t>. Accessed 01/10/2020.</w:t>
            </w:r>
          </w:p>
          <w:p w14:paraId="7199FE6A" w14:textId="31FFCAF3" w:rsidR="00ED0997" w:rsidRPr="00004070" w:rsidRDefault="00ED0997" w:rsidP="7093DCF9">
            <w:pPr>
              <w:pStyle w:val="ListParagraph"/>
              <w:numPr>
                <w:ilvl w:val="0"/>
                <w:numId w:val="2"/>
              </w:numPr>
              <w:ind w:left="357" w:hanging="357"/>
              <w:rPr>
                <w:rFonts w:eastAsia="Arial" w:cs="Arial"/>
              </w:rPr>
            </w:pPr>
            <w:r w:rsidRPr="00004070">
              <w:rPr>
                <w:rFonts w:eastAsia="Arial" w:cs="Arial"/>
              </w:rPr>
              <w:t xml:space="preserve">Specialist Pharmacy Service. Lactation Safety Information: azathioprine. Reviewed September 2020. Accessed via </w:t>
            </w:r>
            <w:hyperlink r:id="rId89">
              <w:r w:rsidRPr="00004070">
                <w:rPr>
                  <w:rStyle w:val="Hyperlink"/>
                  <w:rFonts w:eastAsia="Arial" w:cs="Arial"/>
                </w:rPr>
                <w:t>https://www.sps.nhs.uk/medicines/</w:t>
              </w:r>
            </w:hyperlink>
            <w:r w:rsidRPr="00004070">
              <w:rPr>
                <w:rFonts w:eastAsia="Arial" w:cs="Arial"/>
              </w:rPr>
              <w:t xml:space="preserve"> on 08/07/2021.</w:t>
            </w:r>
          </w:p>
          <w:p w14:paraId="3BC22DA8"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Specialist Pharmacy Service. Lactation Safety Information: mercaptopurine. Reviewed September 2020. Accessed via </w:t>
            </w:r>
            <w:hyperlink r:id="rId90">
              <w:r w:rsidRPr="00004070">
                <w:rPr>
                  <w:rStyle w:val="Hyperlink"/>
                  <w:rFonts w:eastAsia="Arial" w:cs="Arial"/>
                  <w:szCs w:val="24"/>
                </w:rPr>
                <w:t>https://www.sps.nhs.uk/medicines/mercaptopurine/</w:t>
              </w:r>
            </w:hyperlink>
            <w:r w:rsidRPr="00004070">
              <w:rPr>
                <w:rFonts w:eastAsia="Arial" w:cs="Arial"/>
                <w:szCs w:val="24"/>
              </w:rPr>
              <w:t xml:space="preserve"> on 06/10/2021.</w:t>
            </w:r>
          </w:p>
          <w:p w14:paraId="235E5755"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UK Teratology Information Service. Toxbase monograph: Azathioprine or mercaptopurine in pregnancy. December 2019. Accessed via </w:t>
            </w:r>
            <w:hyperlink r:id="rId91">
              <w:r w:rsidRPr="00004070">
                <w:rPr>
                  <w:rStyle w:val="Hyperlink"/>
                  <w:rFonts w:eastAsia="Arial" w:cs="Arial"/>
                  <w:szCs w:val="24"/>
                </w:rPr>
                <w:t>www.toxbase.org</w:t>
              </w:r>
            </w:hyperlink>
            <w:r w:rsidRPr="00004070">
              <w:rPr>
                <w:rFonts w:eastAsia="Arial" w:cs="Arial"/>
                <w:szCs w:val="24"/>
              </w:rPr>
              <w:t xml:space="preserve"> on 06/10/2021.</w:t>
            </w:r>
          </w:p>
          <w:p w14:paraId="75490E6C"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UK Teratology Information Service. Toxbase monograph: Paternal use of azathioprine or mercaptopurine. December 2019. Accessed via </w:t>
            </w:r>
            <w:hyperlink r:id="rId92">
              <w:r w:rsidRPr="00004070">
                <w:rPr>
                  <w:rStyle w:val="Hyperlink"/>
                  <w:rFonts w:eastAsia="Arial" w:cs="Arial"/>
                  <w:szCs w:val="24"/>
                </w:rPr>
                <w:t>www.toxbase.org</w:t>
              </w:r>
            </w:hyperlink>
            <w:r w:rsidRPr="00004070">
              <w:rPr>
                <w:rFonts w:eastAsia="Arial" w:cs="Arial"/>
                <w:szCs w:val="24"/>
              </w:rPr>
              <w:t xml:space="preserve"> on 06/10/2021.</w:t>
            </w:r>
          </w:p>
          <w:p w14:paraId="0EBB4E6E"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The Renal Drug Database. Mercaptopurine monograph. Accessed via: </w:t>
            </w:r>
            <w:hyperlink r:id="rId93">
              <w:r w:rsidRPr="00004070">
                <w:rPr>
                  <w:rStyle w:val="Hyperlink"/>
                  <w:rFonts w:eastAsia="Arial" w:cs="Arial"/>
                  <w:szCs w:val="24"/>
                </w:rPr>
                <w:t>https://renaldrugdatabase.com/monographs/mercaptopurine</w:t>
              </w:r>
            </w:hyperlink>
            <w:r w:rsidRPr="00004070">
              <w:rPr>
                <w:rFonts w:eastAsia="Arial" w:cs="Arial"/>
                <w:szCs w:val="24"/>
              </w:rPr>
              <w:t xml:space="preserve"> on 09/12/21 </w:t>
            </w:r>
          </w:p>
          <w:p w14:paraId="42BC9BEA" w14:textId="77777777" w:rsidR="00ED0997" w:rsidRPr="00004070" w:rsidRDefault="00ED0997" w:rsidP="009D16B5">
            <w:pPr>
              <w:pStyle w:val="ListParagraph"/>
              <w:numPr>
                <w:ilvl w:val="0"/>
                <w:numId w:val="2"/>
              </w:numPr>
              <w:ind w:left="357" w:hanging="357"/>
              <w:rPr>
                <w:rFonts w:eastAsia="Arial" w:cs="Arial"/>
                <w:szCs w:val="24"/>
              </w:rPr>
            </w:pPr>
            <w:r w:rsidRPr="00004070">
              <w:rPr>
                <w:rFonts w:eastAsia="Arial" w:cs="Arial"/>
                <w:szCs w:val="24"/>
              </w:rPr>
              <w:t xml:space="preserve">NICE Guidance: Crohn’s disease: management (NG129) May 2019. Accessed via: </w:t>
            </w:r>
            <w:hyperlink r:id="rId94">
              <w:r w:rsidRPr="00004070">
                <w:rPr>
                  <w:rStyle w:val="Hyperlink"/>
                  <w:rFonts w:eastAsia="Arial" w:cs="Arial"/>
                  <w:szCs w:val="24"/>
                </w:rPr>
                <w:t>https://www.nice.org.uk/guidance/ng129</w:t>
              </w:r>
            </w:hyperlink>
            <w:r w:rsidRPr="00004070">
              <w:rPr>
                <w:rFonts w:eastAsia="Arial" w:cs="Arial"/>
                <w:szCs w:val="24"/>
              </w:rPr>
              <w:t xml:space="preserve"> on 09/12/21</w:t>
            </w:r>
          </w:p>
          <w:p w14:paraId="79414682" w14:textId="58B6448F" w:rsidR="001E3E2A" w:rsidRPr="00004070" w:rsidRDefault="00ED0997" w:rsidP="009D16B5">
            <w:pPr>
              <w:pStyle w:val="ListParagraph"/>
              <w:numPr>
                <w:ilvl w:val="0"/>
                <w:numId w:val="2"/>
              </w:numPr>
              <w:ind w:left="357" w:hanging="357"/>
              <w:rPr>
                <w:rFonts w:eastAsia="Times New Roman" w:cs="Arial"/>
                <w:szCs w:val="24"/>
                <w:lang w:eastAsia="en-GB"/>
              </w:rPr>
            </w:pPr>
            <w:r w:rsidRPr="00004070">
              <w:rPr>
                <w:rFonts w:eastAsia="Arial" w:cs="Arial"/>
                <w:szCs w:val="24"/>
              </w:rPr>
              <w:lastRenderedPageBreak/>
              <w:t xml:space="preserve">NICE Guidance: Ulcerative colitis: management (NG130) May 2019. Accessed via: </w:t>
            </w:r>
            <w:hyperlink r:id="rId95">
              <w:r w:rsidRPr="00004070">
                <w:rPr>
                  <w:rStyle w:val="Hyperlink"/>
                  <w:rFonts w:eastAsia="Arial" w:cs="Arial"/>
                  <w:szCs w:val="24"/>
                </w:rPr>
                <w:t>https://www.nice.org.uk/guidance/ng130</w:t>
              </w:r>
            </w:hyperlink>
            <w:r w:rsidRPr="00004070">
              <w:rPr>
                <w:rStyle w:val="Hyperlink"/>
                <w:rFonts w:eastAsia="Arial" w:cs="Arial"/>
                <w:szCs w:val="24"/>
              </w:rPr>
              <w:t xml:space="preserve"> on 09/12/21</w:t>
            </w:r>
          </w:p>
        </w:tc>
      </w:tr>
      <w:tr w:rsidR="002C1756" w:rsidRPr="00004070" w14:paraId="42F50346" w14:textId="77777777" w:rsidTr="7093DCF9">
        <w:trPr>
          <w:jc w:val="center"/>
        </w:trPr>
        <w:tc>
          <w:tcPr>
            <w:tcW w:w="10455" w:type="dxa"/>
            <w:tcBorders>
              <w:bottom w:val="nil"/>
            </w:tcBorders>
            <w:shd w:val="clear" w:color="auto" w:fill="F2F2F2" w:themeFill="background1" w:themeFillShade="F2"/>
          </w:tcPr>
          <w:p w14:paraId="24F76BF3" w14:textId="4C261A28" w:rsidR="002C1756" w:rsidRPr="00004070" w:rsidRDefault="002C1756" w:rsidP="007F3977">
            <w:pPr>
              <w:pStyle w:val="Heading1"/>
              <w:tabs>
                <w:tab w:val="right" w:pos="10240"/>
              </w:tabs>
              <w:ind w:left="599" w:hanging="599"/>
              <w:rPr>
                <w:lang w:eastAsia="en-GB"/>
              </w:rPr>
            </w:pPr>
            <w:bookmarkStart w:id="22" w:name="Sixteen_relevant_guidance"/>
            <w:r w:rsidRPr="00004070">
              <w:rPr>
                <w:lang w:eastAsia="en-GB"/>
              </w:rPr>
              <w:lastRenderedPageBreak/>
              <w:t>Other relevant national guidance</w:t>
            </w:r>
            <w:bookmarkEnd w:id="22"/>
            <w:r w:rsidR="007F3977" w:rsidRPr="00004070">
              <w:rPr>
                <w:lang w:eastAsia="en-GB"/>
              </w:rPr>
              <w:t xml:space="preserve"> </w:t>
            </w:r>
            <w:r w:rsidR="007F3977" w:rsidRPr="00004070">
              <w:rPr>
                <w:lang w:eastAsia="en-GB"/>
              </w:rPr>
              <w:tab/>
            </w:r>
            <w:hyperlink w:anchor="Responsibilities" w:history="1">
              <w:r w:rsidR="007F3977" w:rsidRPr="00004070">
                <w:rPr>
                  <w:rStyle w:val="Hyperlink"/>
                  <w:rFonts w:eastAsia="Times New Roman" w:cs="Arial"/>
                  <w:b w:val="0"/>
                  <w:bCs w:val="0"/>
                  <w:sz w:val="24"/>
                  <w:szCs w:val="24"/>
                  <w:lang w:eastAsia="en-GB"/>
                </w:rPr>
                <w:t>Back to top</w:t>
              </w:r>
            </w:hyperlink>
          </w:p>
        </w:tc>
      </w:tr>
      <w:tr w:rsidR="002C1756" w:rsidRPr="00004070" w14:paraId="4CE5A668" w14:textId="77777777" w:rsidTr="7093DCF9">
        <w:trPr>
          <w:jc w:val="center"/>
        </w:trPr>
        <w:tc>
          <w:tcPr>
            <w:tcW w:w="10455" w:type="dxa"/>
            <w:tcBorders>
              <w:top w:val="nil"/>
              <w:bottom w:val="single" w:sz="4" w:space="0" w:color="auto"/>
            </w:tcBorders>
          </w:tcPr>
          <w:p w14:paraId="64A40A61" w14:textId="77777777" w:rsidR="00ED0997" w:rsidRPr="00004070" w:rsidRDefault="00ED0997" w:rsidP="009D16B5">
            <w:pPr>
              <w:pStyle w:val="ListParagraph"/>
              <w:numPr>
                <w:ilvl w:val="0"/>
                <w:numId w:val="3"/>
              </w:numPr>
              <w:spacing w:afterLines="50" w:after="120"/>
              <w:ind w:left="357" w:hanging="357"/>
              <w:contextualSpacing/>
              <w:rPr>
                <w:rFonts w:eastAsia="Arial" w:cs="Arial"/>
                <w:szCs w:val="24"/>
              </w:rPr>
            </w:pPr>
            <w:r w:rsidRPr="00004070">
              <w:rPr>
                <w:rFonts w:eastAsia="Arial" w:cs="Arial"/>
                <w:szCs w:val="24"/>
              </w:rPr>
              <w:t xml:space="preserve">Shared Care for Medicines Guidance – A Standard Approach (RMOC). Available from </w:t>
            </w:r>
            <w:hyperlink r:id="rId96">
              <w:r w:rsidRPr="00004070">
                <w:rPr>
                  <w:rStyle w:val="Hyperlink"/>
                  <w:rFonts w:eastAsia="Arial" w:cs="Arial"/>
                  <w:szCs w:val="24"/>
                </w:rPr>
                <w:t>https://www.sps.nhs.uk/articles/rmoc-shared-care-guidance/</w:t>
              </w:r>
            </w:hyperlink>
            <w:r w:rsidRPr="00004070">
              <w:rPr>
                <w:rFonts w:eastAsia="Arial" w:cs="Arial"/>
                <w:szCs w:val="24"/>
              </w:rPr>
              <w:t xml:space="preserve"> </w:t>
            </w:r>
          </w:p>
          <w:p w14:paraId="042F29A5" w14:textId="77777777" w:rsidR="00ED0997" w:rsidRPr="00004070" w:rsidRDefault="00ED0997" w:rsidP="009D16B5">
            <w:pPr>
              <w:pStyle w:val="ListParagraph"/>
              <w:numPr>
                <w:ilvl w:val="0"/>
                <w:numId w:val="3"/>
              </w:numPr>
              <w:spacing w:afterLines="50" w:after="120"/>
              <w:ind w:left="357" w:hanging="357"/>
              <w:contextualSpacing/>
              <w:rPr>
                <w:rFonts w:eastAsia="Arial" w:cs="Arial"/>
                <w:szCs w:val="24"/>
              </w:rPr>
            </w:pPr>
            <w:r w:rsidRPr="00004070">
              <w:rPr>
                <w:rFonts w:eastAsia="Arial" w:cs="Arial"/>
                <w:szCs w:val="24"/>
              </w:rPr>
              <w:t xml:space="preserve">NHSE guidance – Responsibility for prescribing between primary &amp; secondary/tertiary care. Available from </w:t>
            </w:r>
            <w:hyperlink r:id="rId97">
              <w:r w:rsidRPr="00004070">
                <w:rPr>
                  <w:rStyle w:val="Hyperlink"/>
                  <w:rFonts w:eastAsia="Arial" w:cs="Arial"/>
                  <w:szCs w:val="24"/>
                </w:rPr>
                <w:t>https://www.england.nhs.uk/publication/responsibility-for-prescribing-between-primary-and-secondary-tertiary-care/</w:t>
              </w:r>
            </w:hyperlink>
            <w:r w:rsidRPr="00004070">
              <w:rPr>
                <w:rFonts w:eastAsia="Arial" w:cs="Arial"/>
                <w:szCs w:val="24"/>
              </w:rPr>
              <w:t xml:space="preserve"> </w:t>
            </w:r>
          </w:p>
          <w:p w14:paraId="205D62D4" w14:textId="77777777" w:rsidR="00ED0997" w:rsidRPr="00004070" w:rsidRDefault="00ED0997" w:rsidP="009D16B5">
            <w:pPr>
              <w:pStyle w:val="ListParagraph"/>
              <w:numPr>
                <w:ilvl w:val="0"/>
                <w:numId w:val="3"/>
              </w:numPr>
              <w:spacing w:afterLines="50" w:after="120"/>
              <w:ind w:left="357" w:hanging="357"/>
              <w:contextualSpacing/>
              <w:rPr>
                <w:rFonts w:eastAsia="Arial" w:cs="Arial"/>
                <w:szCs w:val="24"/>
              </w:rPr>
            </w:pPr>
            <w:r w:rsidRPr="00004070">
              <w:rPr>
                <w:rFonts w:eastAsia="Arial" w:cs="Arial"/>
                <w:szCs w:val="24"/>
              </w:rPr>
              <w:t xml:space="preserve">General Medical Council. Good practice in prescribing and managing medicines and devices. Shared care. Available from </w:t>
            </w:r>
            <w:hyperlink r:id="rId98">
              <w:r w:rsidRPr="00004070">
                <w:rPr>
                  <w:rStyle w:val="Hyperlink"/>
                  <w:rFonts w:eastAsia="Arial" w:cs="Arial"/>
                  <w:szCs w:val="24"/>
                </w:rPr>
                <w:t>https://www.gmc-uk.org/ethical-guidance/ethical-guidance-for-doctors/good-practice-in-prescribing-and-managing-medicines-and-devices/shared-care</w:t>
              </w:r>
            </w:hyperlink>
            <w:r w:rsidRPr="00004070">
              <w:rPr>
                <w:rFonts w:eastAsia="Arial" w:cs="Arial"/>
                <w:szCs w:val="24"/>
              </w:rPr>
              <w:t xml:space="preserve"> </w:t>
            </w:r>
          </w:p>
          <w:p w14:paraId="17D120D7" w14:textId="39A52839" w:rsidR="002C1756" w:rsidRPr="00004070" w:rsidRDefault="00ED0997" w:rsidP="009D16B5">
            <w:pPr>
              <w:pStyle w:val="ListParagraph"/>
              <w:numPr>
                <w:ilvl w:val="0"/>
                <w:numId w:val="3"/>
              </w:numPr>
              <w:spacing w:afterLines="50" w:after="120"/>
              <w:ind w:left="357" w:hanging="357"/>
              <w:rPr>
                <w:rFonts w:eastAsia="Times New Roman" w:cs="Arial"/>
                <w:lang w:eastAsia="en-GB"/>
              </w:rPr>
            </w:pPr>
            <w:r w:rsidRPr="00004070">
              <w:rPr>
                <w:rFonts w:eastAsia="Arial" w:cs="Arial"/>
                <w:szCs w:val="24"/>
              </w:rPr>
              <w:t xml:space="preserve">NICE NG197: Shared decision making. Last updated June 2021. </w:t>
            </w:r>
            <w:hyperlink r:id="rId99">
              <w:r w:rsidRPr="00004070">
                <w:rPr>
                  <w:rStyle w:val="Hyperlink"/>
                  <w:rFonts w:eastAsia="Arial" w:cs="Arial"/>
                  <w:szCs w:val="24"/>
                </w:rPr>
                <w:t>https://www.nice.org.uk/guidance/ng197/</w:t>
              </w:r>
            </w:hyperlink>
            <w:r w:rsidRPr="00004070">
              <w:rPr>
                <w:rFonts w:eastAsia="Arial" w:cs="Arial"/>
                <w:szCs w:val="24"/>
              </w:rPr>
              <w:t>.</w:t>
            </w:r>
          </w:p>
        </w:tc>
      </w:tr>
      <w:tr w:rsidR="00B92DDF" w:rsidRPr="00004070" w14:paraId="47C81485" w14:textId="77777777" w:rsidTr="7093DCF9">
        <w:trPr>
          <w:jc w:val="center"/>
        </w:trPr>
        <w:tc>
          <w:tcPr>
            <w:tcW w:w="10455" w:type="dxa"/>
            <w:tcBorders>
              <w:bottom w:val="nil"/>
            </w:tcBorders>
            <w:shd w:val="clear" w:color="auto" w:fill="F2F2F2" w:themeFill="background1" w:themeFillShade="F2"/>
          </w:tcPr>
          <w:p w14:paraId="24773817" w14:textId="201B7BAE" w:rsidR="00B92DDF" w:rsidRPr="00004070" w:rsidRDefault="00B92DDF" w:rsidP="00846A4A">
            <w:pPr>
              <w:pStyle w:val="Heading1"/>
              <w:tabs>
                <w:tab w:val="right" w:pos="10240"/>
              </w:tabs>
              <w:ind w:left="599" w:hanging="599"/>
              <w:rPr>
                <w:lang w:eastAsia="en-GB"/>
              </w:rPr>
            </w:pPr>
            <w:r w:rsidRPr="00004070">
              <w:rPr>
                <w:lang w:eastAsia="en-GB"/>
              </w:rPr>
              <w:t xml:space="preserve">Local arrangements for referral </w:t>
            </w:r>
            <w:r w:rsidRPr="00004070">
              <w:rPr>
                <w:lang w:eastAsia="en-GB"/>
              </w:rPr>
              <w:tab/>
            </w:r>
            <w:hyperlink w:anchor="Responsibilities" w:history="1">
              <w:r w:rsidRPr="00004070">
                <w:rPr>
                  <w:rStyle w:val="Hyperlink"/>
                  <w:rFonts w:eastAsia="Times New Roman" w:cs="Arial"/>
                  <w:b w:val="0"/>
                  <w:bCs w:val="0"/>
                  <w:sz w:val="24"/>
                  <w:szCs w:val="24"/>
                  <w:lang w:eastAsia="en-GB"/>
                </w:rPr>
                <w:t>Back to top</w:t>
              </w:r>
            </w:hyperlink>
          </w:p>
          <w:p w14:paraId="0CAF9A88" w14:textId="77777777" w:rsidR="00B92DDF" w:rsidRPr="00004070" w:rsidRDefault="00B92DDF" w:rsidP="00B92DDF">
            <w:pPr>
              <w:spacing w:before="60" w:after="60" w:line="240" w:lineRule="auto"/>
              <w:rPr>
                <w:rFonts w:eastAsia="Times New Roman" w:cs="Arial"/>
                <w:lang w:eastAsia="en-GB"/>
              </w:rPr>
            </w:pPr>
            <w:r w:rsidRPr="00004070">
              <w:rPr>
                <w:rFonts w:eastAsia="Times New Roman" w:cs="Arial"/>
                <w:bCs/>
                <w:lang w:eastAsia="en-GB"/>
              </w:rPr>
              <w:t>Define the referral procedure from hospital to primary care prescriber &amp; route of return should the patient’s condition change.</w:t>
            </w:r>
          </w:p>
        </w:tc>
      </w:tr>
      <w:tr w:rsidR="00B92DDF" w:rsidRPr="00004070" w14:paraId="1EFCF2EC" w14:textId="77777777" w:rsidTr="7093DCF9">
        <w:trPr>
          <w:jc w:val="center"/>
        </w:trPr>
        <w:tc>
          <w:tcPr>
            <w:tcW w:w="10455" w:type="dxa"/>
            <w:tcBorders>
              <w:top w:val="nil"/>
            </w:tcBorders>
          </w:tcPr>
          <w:p w14:paraId="51A4166B" w14:textId="10BCA819" w:rsidR="00B92DDF" w:rsidRPr="00004070" w:rsidRDefault="00000000" w:rsidP="00B92DDF">
            <w:pPr>
              <w:spacing w:before="60" w:after="60" w:line="240" w:lineRule="auto"/>
              <w:rPr>
                <w:rFonts w:eastAsia="Times New Roman" w:cs="Arial"/>
                <w:color w:val="000000"/>
                <w:lang w:val="en" w:eastAsia="en-GB"/>
              </w:rPr>
            </w:pPr>
            <w:sdt>
              <w:sdtPr>
                <w:rPr>
                  <w:rFonts w:eastAsia="Times New Roman" w:cs="Arial"/>
                  <w:color w:val="000000"/>
                  <w:lang w:val="en" w:eastAsia="en-GB"/>
                </w:rPr>
                <w:id w:val="-231777724"/>
              </w:sdtPr>
              <w:sdtEndPr>
                <w:rPr>
                  <w:rFonts w:eastAsiaTheme="minorHAnsi" w:cstheme="minorBidi"/>
                  <w:color w:val="auto"/>
                  <w:lang w:val="en-GB" w:eastAsia="en-US"/>
                </w:rPr>
              </w:sdtEndPr>
              <w:sdtContent/>
            </w:sdt>
            <w:r w:rsidR="00C23329">
              <w:t>Follow Place based processes</w:t>
            </w:r>
            <w:r w:rsidR="00B92DDF" w:rsidRPr="00004070">
              <w:rPr>
                <w:rFonts w:eastAsia="Times New Roman" w:cs="Arial"/>
                <w:lang w:eastAsia="en-GB"/>
              </w:rPr>
              <w:t xml:space="preserve"> </w:t>
            </w:r>
          </w:p>
        </w:tc>
      </w:tr>
    </w:tbl>
    <w:p w14:paraId="4F3763D2" w14:textId="0DE927B2" w:rsidR="0087662D" w:rsidRPr="00004070"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004070" w:rsidRDefault="00A063A1" w:rsidP="00877E1D">
      <w:pPr>
        <w:rPr>
          <w:rFonts w:ascii="Calibri" w:hAnsi="Calibri" w:cs="Calibri"/>
          <w:b/>
          <w:u w:val="single"/>
        </w:rPr>
      </w:pPr>
    </w:p>
    <w:p w14:paraId="4F2BAA2E" w14:textId="77777777" w:rsidR="005F6358" w:rsidRPr="00004070" w:rsidRDefault="005F6358" w:rsidP="005F6358">
      <w:pPr>
        <w:rPr>
          <w:rFonts w:cstheme="minorHAnsi"/>
        </w:rPr>
      </w:pPr>
      <w:r w:rsidRPr="00004070">
        <w:rPr>
          <w:rFonts w:cstheme="minorHAnsi"/>
        </w:rPr>
        <w:br w:type="page"/>
      </w:r>
    </w:p>
    <w:p w14:paraId="26748AFE" w14:textId="77777777" w:rsidR="0061214D" w:rsidRDefault="0061214D" w:rsidP="00F13240">
      <w:pPr>
        <w:pStyle w:val="Heading1"/>
        <w:numPr>
          <w:ilvl w:val="0"/>
          <w:numId w:val="0"/>
        </w:numPr>
      </w:pPr>
      <w:bookmarkStart w:id="23" w:name="_Toc64632334"/>
    </w:p>
    <w:p w14:paraId="71734134" w14:textId="77777777" w:rsidR="0061214D" w:rsidRDefault="0061214D" w:rsidP="00F13240">
      <w:pPr>
        <w:pStyle w:val="Heading1"/>
        <w:numPr>
          <w:ilvl w:val="0"/>
          <w:numId w:val="0"/>
        </w:numPr>
      </w:pPr>
    </w:p>
    <w:p w14:paraId="592C80B3" w14:textId="25F98BC1" w:rsidR="005F6358" w:rsidRPr="00004070" w:rsidRDefault="005F6358" w:rsidP="00F13240">
      <w:pPr>
        <w:pStyle w:val="Heading1"/>
        <w:numPr>
          <w:ilvl w:val="0"/>
          <w:numId w:val="0"/>
        </w:numPr>
      </w:pPr>
      <w:r w:rsidRPr="00004070">
        <w:t>Appendix 1: Shared Care Request letter (Specialist to Primary Care Prescriber)</w:t>
      </w:r>
      <w:bookmarkEnd w:id="23"/>
    </w:p>
    <w:p w14:paraId="066112BE" w14:textId="77777777" w:rsidR="0061214D" w:rsidRPr="006C3BBB" w:rsidRDefault="0061214D" w:rsidP="0061214D">
      <w:pPr>
        <w:spacing w:after="120"/>
        <w:rPr>
          <w:rFonts w:eastAsia="Times New Roman" w:cs="Calibri"/>
          <w:szCs w:val="24"/>
        </w:rPr>
      </w:pPr>
      <w:bookmarkStart w:id="24" w:name="_Hlk193882015"/>
      <w:bookmarkStart w:id="25" w:name="_Hlk193792059"/>
      <w:r w:rsidRPr="006C3BBB">
        <w:rPr>
          <w:rFonts w:eastAsia="Times New Roman" w:cs="Calibri"/>
          <w:szCs w:val="24"/>
        </w:rPr>
        <w:t xml:space="preserve">Dear </w:t>
      </w:r>
      <w:permStart w:id="798496089" w:edGrp="everyone"/>
      <w:r w:rsidRPr="006C3BBB">
        <w:rPr>
          <w:rFonts w:eastAsia="Times New Roman" w:cs="Calibri"/>
          <w:i/>
          <w:iCs/>
          <w:szCs w:val="24"/>
        </w:rPr>
        <w:t>insert Primary Care Prescriber's name</w:t>
      </w:r>
      <w:permEnd w:id="798496089"/>
    </w:p>
    <w:p w14:paraId="5518B201" w14:textId="77777777" w:rsidR="0061214D" w:rsidRPr="006C3BBB" w:rsidRDefault="0061214D" w:rsidP="0061214D">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59052549" w:edGrp="everyone"/>
      <w:r w:rsidRPr="006C3BBB">
        <w:rPr>
          <w:rFonts w:eastAsia="Times New Roman" w:cs="Calibri"/>
          <w:i/>
          <w:iCs/>
          <w:szCs w:val="24"/>
        </w:rPr>
        <w:t>insert patient's name</w:t>
      </w:r>
      <w:permEnd w:id="59052549"/>
    </w:p>
    <w:p w14:paraId="2F71A5EF" w14:textId="77777777" w:rsidR="0061214D" w:rsidRPr="006C3BBB" w:rsidRDefault="0061214D" w:rsidP="0061214D">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871468148" w:edGrp="everyone"/>
      <w:r w:rsidRPr="006C3BBB">
        <w:rPr>
          <w:rFonts w:eastAsia="Times New Roman" w:cs="Calibri"/>
          <w:i/>
          <w:iCs/>
          <w:szCs w:val="24"/>
        </w:rPr>
        <w:t>insert date of birth</w:t>
      </w:r>
      <w:permEnd w:id="1871468148"/>
    </w:p>
    <w:p w14:paraId="35F785EF" w14:textId="77777777" w:rsidR="0061214D" w:rsidRPr="006C3BBB" w:rsidRDefault="0061214D" w:rsidP="0061214D">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1544233751" w:edGrp="everyone"/>
      <w:r w:rsidRPr="006C3BBB">
        <w:rPr>
          <w:rFonts w:eastAsia="Times New Roman" w:cs="Calibri"/>
          <w:i/>
          <w:szCs w:val="24"/>
        </w:rPr>
        <w:t>insert NHS Number</w:t>
      </w:r>
      <w:permEnd w:id="1544233751"/>
    </w:p>
    <w:p w14:paraId="73D9FFEE" w14:textId="77777777" w:rsidR="0061214D" w:rsidRPr="006C3BBB" w:rsidRDefault="0061214D" w:rsidP="0061214D">
      <w:pPr>
        <w:spacing w:after="120"/>
        <w:rPr>
          <w:rFonts w:eastAsia="Times New Roman" w:cs="Calibri"/>
          <w:i/>
          <w:szCs w:val="24"/>
        </w:rPr>
      </w:pPr>
      <w:r w:rsidRPr="006C3BBB">
        <w:rPr>
          <w:rFonts w:eastAsia="Times New Roman" w:cs="Calibri"/>
          <w:szCs w:val="24"/>
        </w:rPr>
        <w:t xml:space="preserve">Diagnosis: </w:t>
      </w:r>
      <w:permStart w:id="1606115413" w:edGrp="everyone"/>
      <w:r w:rsidRPr="006C3BBB">
        <w:rPr>
          <w:rFonts w:eastAsia="Times New Roman" w:cs="Calibri"/>
          <w:i/>
          <w:iCs/>
          <w:szCs w:val="24"/>
        </w:rPr>
        <w:t>insert diagnosis</w:t>
      </w:r>
      <w:permEnd w:id="1606115413"/>
    </w:p>
    <w:p w14:paraId="0D3C5310" w14:textId="77777777" w:rsidR="0061214D" w:rsidRDefault="0061214D" w:rsidP="00075F33">
      <w:pPr>
        <w:spacing w:after="120" w:line="240" w:lineRule="auto"/>
        <w:rPr>
          <w:rFonts w:eastAsia="Calibri" w:cs="Times New Roman"/>
          <w:szCs w:val="24"/>
        </w:rPr>
      </w:pPr>
    </w:p>
    <w:p w14:paraId="4BA0920C" w14:textId="3E2166C0" w:rsidR="005F6358" w:rsidRDefault="0061214D" w:rsidP="00075F33">
      <w:pPr>
        <w:spacing w:after="0"/>
        <w:rPr>
          <w:rFonts w:eastAsia="Calibri" w:cs="Times New Roman"/>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266566734" w:edGrp="everyone" w:colFirst="1" w:colLast="1"/>
      <w:permStart w:id="1372198247" w:edGrp="everyone"/>
      <w:permStart w:id="983180171" w:edGrp="everyone" w:colFirst="1" w:colLast="1"/>
      <w:r w:rsidRPr="006C3BBB">
        <w:rPr>
          <w:rFonts w:eastAsia="Calibri" w:cs="Times New Roman"/>
          <w:i/>
          <w:iCs/>
          <w:szCs w:val="24"/>
        </w:rPr>
        <w:t>insert medicine name</w:t>
      </w:r>
      <w:permEnd w:id="266566734"/>
      <w:permEnd w:id="1372198247"/>
      <w:r>
        <w:rPr>
          <w:rFonts w:eastAsia="Calibri" w:cs="Times New Roman"/>
          <w:i/>
          <w:iCs/>
          <w:szCs w:val="24"/>
        </w:rPr>
        <w:t xml:space="preserve"> </w:t>
      </w:r>
      <w:permEnd w:id="983180171"/>
      <w:r w:rsidRPr="006C3BBB">
        <w:rPr>
          <w:rFonts w:eastAsia="Calibri" w:cs="Times New Roman"/>
          <w:szCs w:val="24"/>
        </w:rPr>
        <w:t xml:space="preserve">for the treatment of </w:t>
      </w:r>
      <w:permStart w:id="653683573" w:edGrp="everyone" w:colFirst="1" w:colLast="1"/>
      <w:permStart w:id="1286144281" w:edGrp="everyone" w:colFirst="1" w:colLast="1"/>
      <w:permStart w:id="888371869" w:edGrp="everyone"/>
      <w:r w:rsidRPr="006C3BBB">
        <w:rPr>
          <w:rFonts w:eastAsia="Calibri" w:cs="Times New Roman"/>
          <w:i/>
          <w:iCs/>
          <w:szCs w:val="24"/>
        </w:rPr>
        <w:t>insert indication</w:t>
      </w:r>
      <w:permEnd w:id="653683573"/>
      <w:permEnd w:id="1286144281"/>
      <w:permEnd w:id="888371869"/>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bookmarkEnd w:id="24"/>
      <w:r w:rsidRPr="006C3BBB">
        <w:rPr>
          <w:rFonts w:eastAsia="Calibri" w:cs="Times New Roman"/>
          <w:szCs w:val="24"/>
        </w:rPr>
        <w:t>.</w:t>
      </w:r>
      <w:bookmarkEnd w:id="25"/>
    </w:p>
    <w:p w14:paraId="2E1A275E" w14:textId="77777777" w:rsidR="00075F33" w:rsidRPr="00246A5F" w:rsidRDefault="00075F33" w:rsidP="00075F33">
      <w:pPr>
        <w:spacing w:after="0" w:line="240" w:lineRule="auto"/>
        <w:rPr>
          <w:rFonts w:eastAsia="Calibri" w:cs="Times New Roman"/>
          <w:i/>
          <w:iCs/>
          <w:szCs w:val="24"/>
        </w:rPr>
      </w:pPr>
    </w:p>
    <w:p w14:paraId="2093DFBA" w14:textId="1BEE152D" w:rsidR="005F6358" w:rsidRPr="00004070" w:rsidRDefault="005F6358" w:rsidP="00075F33">
      <w:pPr>
        <w:spacing w:after="0"/>
      </w:pPr>
      <w:r w:rsidRPr="00004070">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004070" w:rsidRDefault="005F6358" w:rsidP="00F13240">
      <w:r w:rsidRPr="00004070">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004070" w14:paraId="0B8EECC0" w14:textId="77777777" w:rsidTr="00F13240">
        <w:tc>
          <w:tcPr>
            <w:tcW w:w="7650" w:type="dxa"/>
            <w:shd w:val="clear" w:color="auto" w:fill="D9D9D9" w:themeFill="background1" w:themeFillShade="D9"/>
            <w:vAlign w:val="center"/>
          </w:tcPr>
          <w:p w14:paraId="230FB15B" w14:textId="77777777" w:rsidR="005F6358" w:rsidRPr="00004070"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004070" w:rsidRDefault="005F6358" w:rsidP="00F13240">
            <w:pPr>
              <w:spacing w:before="60" w:after="60" w:line="276" w:lineRule="auto"/>
              <w:jc w:val="center"/>
              <w:rPr>
                <w:rFonts w:eastAsia="Times New Roman" w:cstheme="minorHAnsi"/>
                <w:b/>
                <w:sz w:val="18"/>
              </w:rPr>
            </w:pPr>
            <w:r w:rsidRPr="00004070">
              <w:rPr>
                <w:rFonts w:eastAsia="Times New Roman" w:cstheme="minorHAnsi"/>
                <w:b/>
                <w:sz w:val="18"/>
              </w:rPr>
              <w:t>Specialist to complete</w:t>
            </w:r>
          </w:p>
        </w:tc>
      </w:tr>
      <w:tr w:rsidR="005F6358" w:rsidRPr="00004070" w14:paraId="36312264" w14:textId="77777777" w:rsidTr="00F13240">
        <w:tc>
          <w:tcPr>
            <w:tcW w:w="7650" w:type="dxa"/>
            <w:vAlign w:val="center"/>
          </w:tcPr>
          <w:p w14:paraId="051D4244" w14:textId="77777777" w:rsidR="005F6358" w:rsidRPr="00004070" w:rsidRDefault="005F6358" w:rsidP="00F13240">
            <w:pPr>
              <w:spacing w:before="60" w:after="60" w:line="276" w:lineRule="auto"/>
              <w:jc w:val="right"/>
              <w:rPr>
                <w:rFonts w:eastAsia="Times New Roman" w:cstheme="minorHAnsi"/>
                <w:i/>
                <w:sz w:val="18"/>
              </w:rPr>
            </w:pPr>
            <w:permStart w:id="1739921308" w:edGrp="everyone" w:colFirst="1" w:colLast="1"/>
            <w:r w:rsidRPr="00004070">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004070" w:rsidRDefault="005F6358" w:rsidP="00F13240">
            <w:pPr>
              <w:spacing w:before="60" w:after="60" w:line="276" w:lineRule="auto"/>
              <w:rPr>
                <w:rFonts w:eastAsia="Times New Roman" w:cstheme="minorHAnsi"/>
                <w:i/>
                <w:sz w:val="18"/>
              </w:rPr>
            </w:pPr>
          </w:p>
        </w:tc>
      </w:tr>
      <w:tr w:rsidR="005F6358" w:rsidRPr="00004070" w14:paraId="296A4D6C" w14:textId="77777777" w:rsidTr="00F13240">
        <w:tc>
          <w:tcPr>
            <w:tcW w:w="7650" w:type="dxa"/>
            <w:vAlign w:val="center"/>
          </w:tcPr>
          <w:p w14:paraId="16011904" w14:textId="77777777" w:rsidR="005F6358" w:rsidRPr="00004070" w:rsidRDefault="005F6358" w:rsidP="00F13240">
            <w:pPr>
              <w:spacing w:before="60" w:after="60" w:line="276" w:lineRule="auto"/>
              <w:jc w:val="right"/>
              <w:rPr>
                <w:rFonts w:eastAsia="Times New Roman" w:cstheme="minorHAnsi"/>
                <w:i/>
                <w:sz w:val="18"/>
              </w:rPr>
            </w:pPr>
            <w:permStart w:id="1676887517" w:edGrp="everyone" w:colFirst="1" w:colLast="1"/>
            <w:permEnd w:id="1739921308"/>
            <w:r w:rsidRPr="00004070">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004070" w:rsidRDefault="005F6358" w:rsidP="00F13240">
            <w:pPr>
              <w:spacing w:before="60" w:after="60" w:line="276" w:lineRule="auto"/>
              <w:jc w:val="center"/>
              <w:rPr>
                <w:rFonts w:eastAsia="Times New Roman" w:cstheme="minorHAnsi"/>
                <w:i/>
                <w:sz w:val="18"/>
              </w:rPr>
            </w:pPr>
            <w:proofErr w:type="gramStart"/>
            <w:r w:rsidRPr="00004070">
              <w:rPr>
                <w:rFonts w:eastAsia="Times New Roman" w:cstheme="minorHAnsi"/>
                <w:i/>
                <w:sz w:val="18"/>
              </w:rPr>
              <w:t>Yes  /</w:t>
            </w:r>
            <w:proofErr w:type="gramEnd"/>
            <w:r w:rsidRPr="00004070">
              <w:rPr>
                <w:rFonts w:eastAsia="Times New Roman" w:cstheme="minorHAnsi"/>
                <w:i/>
                <w:sz w:val="18"/>
              </w:rPr>
              <w:t xml:space="preserve">  No</w:t>
            </w:r>
          </w:p>
        </w:tc>
      </w:tr>
      <w:tr w:rsidR="005F6358" w:rsidRPr="00004070" w14:paraId="60A05EDF" w14:textId="77777777" w:rsidTr="00F13240">
        <w:tc>
          <w:tcPr>
            <w:tcW w:w="7650" w:type="dxa"/>
            <w:vAlign w:val="center"/>
          </w:tcPr>
          <w:p w14:paraId="6E28F5C8" w14:textId="77777777" w:rsidR="005F6358" w:rsidRPr="00004070" w:rsidRDefault="005F6358" w:rsidP="00F13240">
            <w:pPr>
              <w:spacing w:before="60" w:after="60" w:line="276" w:lineRule="auto"/>
              <w:jc w:val="right"/>
              <w:rPr>
                <w:rFonts w:eastAsia="Times New Roman" w:cstheme="minorHAnsi"/>
                <w:i/>
                <w:sz w:val="18"/>
              </w:rPr>
            </w:pPr>
            <w:permStart w:id="1568289944" w:edGrp="everyone" w:colFirst="1" w:colLast="1"/>
            <w:permEnd w:id="1676887517"/>
            <w:r w:rsidRPr="00004070">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004070" w:rsidRDefault="005F6358" w:rsidP="00F13240">
            <w:pPr>
              <w:spacing w:before="60" w:after="60" w:line="276" w:lineRule="auto"/>
              <w:jc w:val="center"/>
              <w:rPr>
                <w:rFonts w:eastAsia="Times New Roman" w:cstheme="minorHAnsi"/>
                <w:i/>
                <w:sz w:val="18"/>
              </w:rPr>
            </w:pPr>
            <w:proofErr w:type="gramStart"/>
            <w:r w:rsidRPr="00004070">
              <w:rPr>
                <w:rFonts w:eastAsia="Times New Roman" w:cstheme="minorHAnsi"/>
                <w:i/>
                <w:sz w:val="18"/>
              </w:rPr>
              <w:t>Yes  /</w:t>
            </w:r>
            <w:proofErr w:type="gramEnd"/>
            <w:r w:rsidRPr="00004070">
              <w:rPr>
                <w:rFonts w:eastAsia="Times New Roman" w:cstheme="minorHAnsi"/>
                <w:i/>
                <w:sz w:val="18"/>
              </w:rPr>
              <w:t xml:space="preserve">  No</w:t>
            </w:r>
          </w:p>
        </w:tc>
      </w:tr>
      <w:tr w:rsidR="005F6358" w:rsidRPr="00004070" w14:paraId="57D89858" w14:textId="77777777" w:rsidTr="00F13240">
        <w:tc>
          <w:tcPr>
            <w:tcW w:w="7650" w:type="dxa"/>
            <w:vAlign w:val="center"/>
          </w:tcPr>
          <w:p w14:paraId="03647C77" w14:textId="77777777" w:rsidR="005F6358" w:rsidRPr="00004070" w:rsidRDefault="005F6358" w:rsidP="00F13240">
            <w:pPr>
              <w:spacing w:before="60" w:after="60" w:line="276" w:lineRule="auto"/>
              <w:jc w:val="right"/>
              <w:rPr>
                <w:rFonts w:eastAsia="Times New Roman" w:cstheme="minorHAnsi"/>
                <w:i/>
                <w:sz w:val="18"/>
              </w:rPr>
            </w:pPr>
            <w:permStart w:id="945512312" w:edGrp="everyone" w:colFirst="1" w:colLast="1"/>
            <w:permEnd w:id="1568289944"/>
            <w:r w:rsidRPr="00004070">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004070" w:rsidRDefault="005F6358" w:rsidP="00F13240">
            <w:pPr>
              <w:spacing w:before="60" w:after="60" w:line="276" w:lineRule="auto"/>
              <w:jc w:val="center"/>
              <w:rPr>
                <w:i/>
                <w:sz w:val="18"/>
              </w:rPr>
            </w:pPr>
            <w:proofErr w:type="gramStart"/>
            <w:r w:rsidRPr="00004070">
              <w:rPr>
                <w:i/>
                <w:sz w:val="18"/>
              </w:rPr>
              <w:t>Yes  /</w:t>
            </w:r>
            <w:proofErr w:type="gramEnd"/>
            <w:r w:rsidRPr="00004070">
              <w:rPr>
                <w:i/>
                <w:sz w:val="18"/>
              </w:rPr>
              <w:t xml:space="preserve">  No</w:t>
            </w:r>
          </w:p>
        </w:tc>
      </w:tr>
      <w:tr w:rsidR="005F6358" w:rsidRPr="00004070" w14:paraId="2FD663D7" w14:textId="77777777" w:rsidTr="00F13240">
        <w:tc>
          <w:tcPr>
            <w:tcW w:w="7650" w:type="dxa"/>
            <w:vAlign w:val="center"/>
          </w:tcPr>
          <w:p w14:paraId="2B594182" w14:textId="77777777" w:rsidR="005F6358" w:rsidRPr="00004070" w:rsidRDefault="005F6358" w:rsidP="00F13240">
            <w:pPr>
              <w:spacing w:before="60" w:after="60" w:line="276" w:lineRule="auto"/>
              <w:jc w:val="right"/>
              <w:rPr>
                <w:rFonts w:eastAsia="Times New Roman" w:cstheme="minorHAnsi"/>
                <w:i/>
                <w:sz w:val="18"/>
              </w:rPr>
            </w:pPr>
            <w:permStart w:id="920208776" w:edGrp="everyone" w:colFirst="1" w:colLast="1"/>
            <w:permEnd w:id="945512312"/>
            <w:r w:rsidRPr="00004070">
              <w:rPr>
                <w:rFonts w:eastAsia="Times New Roman" w:cstheme="minorHAnsi"/>
                <w:i/>
                <w:sz w:val="18"/>
              </w:rPr>
              <w:t>The roles of the specialist/specialist team/</w:t>
            </w:r>
            <w:r w:rsidRPr="00004070">
              <w:t xml:space="preserve"> </w:t>
            </w:r>
            <w:r w:rsidRPr="00004070">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004070" w:rsidRDefault="005F6358" w:rsidP="00F13240">
            <w:pPr>
              <w:spacing w:before="60" w:after="60" w:line="276" w:lineRule="auto"/>
              <w:jc w:val="center"/>
              <w:rPr>
                <w:i/>
                <w:sz w:val="18"/>
              </w:rPr>
            </w:pPr>
            <w:proofErr w:type="gramStart"/>
            <w:r w:rsidRPr="00004070">
              <w:rPr>
                <w:i/>
                <w:sz w:val="18"/>
              </w:rPr>
              <w:t>Yes  /</w:t>
            </w:r>
            <w:proofErr w:type="gramEnd"/>
            <w:r w:rsidRPr="00004070">
              <w:rPr>
                <w:i/>
                <w:sz w:val="18"/>
              </w:rPr>
              <w:t xml:space="preserve">  No</w:t>
            </w:r>
          </w:p>
        </w:tc>
      </w:tr>
      <w:tr w:rsidR="005F6358" w:rsidRPr="00004070" w14:paraId="336ADA04" w14:textId="77777777" w:rsidTr="00F13240">
        <w:tc>
          <w:tcPr>
            <w:tcW w:w="7650" w:type="dxa"/>
            <w:vAlign w:val="center"/>
          </w:tcPr>
          <w:p w14:paraId="4EC0FBD5" w14:textId="77777777" w:rsidR="005F6358" w:rsidRPr="00004070" w:rsidRDefault="005F6358" w:rsidP="00F13240">
            <w:pPr>
              <w:spacing w:before="60" w:after="60" w:line="276" w:lineRule="auto"/>
              <w:jc w:val="right"/>
              <w:rPr>
                <w:rFonts w:eastAsia="Times New Roman" w:cstheme="minorHAnsi"/>
                <w:i/>
                <w:sz w:val="18"/>
              </w:rPr>
            </w:pPr>
            <w:permStart w:id="1864587132" w:edGrp="everyone" w:colFirst="1" w:colLast="1"/>
            <w:permEnd w:id="920208776"/>
            <w:r w:rsidRPr="00004070">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004070" w:rsidRDefault="005F6358" w:rsidP="00F13240">
            <w:pPr>
              <w:spacing w:before="60" w:after="60" w:line="276" w:lineRule="auto"/>
              <w:jc w:val="center"/>
              <w:rPr>
                <w:i/>
                <w:sz w:val="18"/>
              </w:rPr>
            </w:pPr>
            <w:proofErr w:type="gramStart"/>
            <w:r w:rsidRPr="00004070">
              <w:rPr>
                <w:i/>
                <w:sz w:val="18"/>
              </w:rPr>
              <w:t>Yes  /</w:t>
            </w:r>
            <w:proofErr w:type="gramEnd"/>
            <w:r w:rsidRPr="00004070">
              <w:rPr>
                <w:i/>
                <w:sz w:val="18"/>
              </w:rPr>
              <w:t xml:space="preserve">  No</w:t>
            </w:r>
          </w:p>
        </w:tc>
      </w:tr>
      <w:tr w:rsidR="005F6358" w:rsidRPr="00004070" w14:paraId="1137386B" w14:textId="77777777" w:rsidTr="00F13240">
        <w:tc>
          <w:tcPr>
            <w:tcW w:w="7650" w:type="dxa"/>
            <w:vAlign w:val="center"/>
          </w:tcPr>
          <w:p w14:paraId="253AA4D8" w14:textId="77777777" w:rsidR="005F6358" w:rsidRPr="00004070" w:rsidRDefault="005F6358" w:rsidP="00F13240">
            <w:pPr>
              <w:spacing w:before="60" w:after="60" w:line="276" w:lineRule="auto"/>
              <w:jc w:val="right"/>
              <w:rPr>
                <w:rFonts w:eastAsia="Times New Roman" w:cstheme="minorHAnsi"/>
                <w:i/>
                <w:sz w:val="18"/>
              </w:rPr>
            </w:pPr>
            <w:permStart w:id="1070618043" w:edGrp="everyone" w:colFirst="1" w:colLast="1"/>
            <w:permEnd w:id="1864587132"/>
            <w:r w:rsidRPr="00004070">
              <w:rPr>
                <w:rFonts w:eastAsia="Times New Roman" w:cstheme="minorHAnsi"/>
                <w:i/>
                <w:sz w:val="18"/>
              </w:rPr>
              <w:t>I have enclosed a copy of the shared care protocol  which covers this treatment/the SCP can be found here (</w:t>
            </w:r>
            <w:permStart w:id="1700347500" w:edGrp="everyone"/>
            <w:r w:rsidRPr="00004070">
              <w:rPr>
                <w:rFonts w:eastAsia="Times New Roman" w:cstheme="minorHAnsi"/>
                <w:i/>
                <w:sz w:val="18"/>
              </w:rPr>
              <w:t>insert electronic/ web link</w:t>
            </w:r>
            <w:permEnd w:id="1700347500"/>
            <w:r w:rsidRPr="00004070">
              <w:rPr>
                <w:rFonts w:eastAsia="Times New Roman" w:cstheme="minorHAnsi"/>
                <w:i/>
                <w:sz w:val="18"/>
              </w:rPr>
              <w:t>)</w:t>
            </w:r>
          </w:p>
        </w:tc>
        <w:tc>
          <w:tcPr>
            <w:tcW w:w="2126" w:type="dxa"/>
            <w:vAlign w:val="center"/>
          </w:tcPr>
          <w:p w14:paraId="55D2C0B1" w14:textId="77777777" w:rsidR="005F6358" w:rsidRPr="00004070" w:rsidRDefault="005F6358" w:rsidP="00F13240">
            <w:pPr>
              <w:spacing w:before="60" w:after="60" w:line="276" w:lineRule="auto"/>
              <w:jc w:val="center"/>
              <w:rPr>
                <w:i/>
                <w:sz w:val="18"/>
              </w:rPr>
            </w:pPr>
            <w:proofErr w:type="gramStart"/>
            <w:r w:rsidRPr="00004070">
              <w:rPr>
                <w:i/>
                <w:sz w:val="18"/>
              </w:rPr>
              <w:t>Yes  /</w:t>
            </w:r>
            <w:proofErr w:type="gramEnd"/>
            <w:r w:rsidRPr="00004070">
              <w:rPr>
                <w:i/>
                <w:sz w:val="18"/>
              </w:rPr>
              <w:t xml:space="preserve">  No</w:t>
            </w:r>
          </w:p>
        </w:tc>
      </w:tr>
      <w:tr w:rsidR="005F6358" w:rsidRPr="00004070" w14:paraId="179E7E01" w14:textId="77777777" w:rsidTr="00F13240">
        <w:tc>
          <w:tcPr>
            <w:tcW w:w="7650" w:type="dxa"/>
            <w:vAlign w:val="center"/>
          </w:tcPr>
          <w:p w14:paraId="0E7C2CDA" w14:textId="77777777" w:rsidR="005F6358" w:rsidRPr="00004070" w:rsidRDefault="005F6358" w:rsidP="00F13240">
            <w:pPr>
              <w:spacing w:before="60" w:after="60" w:line="276" w:lineRule="auto"/>
              <w:jc w:val="right"/>
              <w:rPr>
                <w:rFonts w:eastAsia="Times New Roman" w:cstheme="minorHAnsi"/>
                <w:i/>
                <w:sz w:val="18"/>
              </w:rPr>
            </w:pPr>
            <w:permStart w:id="1451973680" w:edGrp="everyone" w:colFirst="1" w:colLast="1"/>
            <w:permEnd w:id="1070618043"/>
            <w:r w:rsidRPr="00004070">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004070" w:rsidRDefault="005F6358" w:rsidP="00F13240">
            <w:pPr>
              <w:spacing w:before="60" w:after="60" w:line="276" w:lineRule="auto"/>
              <w:jc w:val="center"/>
              <w:rPr>
                <w:i/>
                <w:sz w:val="18"/>
              </w:rPr>
            </w:pPr>
            <w:proofErr w:type="gramStart"/>
            <w:r w:rsidRPr="00004070">
              <w:rPr>
                <w:i/>
                <w:sz w:val="18"/>
              </w:rPr>
              <w:t>Yes  /</w:t>
            </w:r>
            <w:proofErr w:type="gramEnd"/>
            <w:r w:rsidRPr="00004070">
              <w:rPr>
                <w:i/>
                <w:sz w:val="18"/>
              </w:rPr>
              <w:t xml:space="preserve">  No</w:t>
            </w:r>
          </w:p>
        </w:tc>
      </w:tr>
      <w:tr w:rsidR="005F6358" w:rsidRPr="00004070" w14:paraId="4D499DCE" w14:textId="77777777" w:rsidTr="00F13240">
        <w:tc>
          <w:tcPr>
            <w:tcW w:w="7650" w:type="dxa"/>
            <w:vAlign w:val="center"/>
          </w:tcPr>
          <w:p w14:paraId="36549BA5" w14:textId="77777777" w:rsidR="005F6358" w:rsidRPr="00004070" w:rsidRDefault="005F6358" w:rsidP="00F13240">
            <w:pPr>
              <w:spacing w:before="60" w:after="60" w:line="276" w:lineRule="auto"/>
              <w:jc w:val="right"/>
              <w:rPr>
                <w:rFonts w:eastAsia="Times New Roman" w:cstheme="minorHAnsi"/>
                <w:i/>
                <w:sz w:val="18"/>
              </w:rPr>
            </w:pPr>
            <w:permStart w:id="430985471" w:edGrp="everyone" w:colFirst="1" w:colLast="1"/>
            <w:permEnd w:id="1451973680"/>
            <w:r w:rsidRPr="00004070">
              <w:rPr>
                <w:rFonts w:eastAsia="Times New Roman" w:cstheme="minorHAnsi"/>
                <w:i/>
                <w:sz w:val="18"/>
              </w:rPr>
              <w:t>I have provided the patient with sufficient medication to last until</w:t>
            </w:r>
          </w:p>
        </w:tc>
        <w:tc>
          <w:tcPr>
            <w:tcW w:w="2126" w:type="dxa"/>
          </w:tcPr>
          <w:p w14:paraId="66E3D404" w14:textId="77777777" w:rsidR="005F6358" w:rsidRPr="00004070" w:rsidRDefault="005F6358" w:rsidP="00F13240">
            <w:pPr>
              <w:spacing w:before="60" w:after="60" w:line="276" w:lineRule="auto"/>
              <w:rPr>
                <w:rFonts w:eastAsia="Times New Roman" w:cstheme="minorHAnsi"/>
                <w:i/>
                <w:sz w:val="18"/>
              </w:rPr>
            </w:pPr>
          </w:p>
        </w:tc>
      </w:tr>
      <w:tr w:rsidR="005F6358" w:rsidRPr="00004070" w14:paraId="33D9304A" w14:textId="77777777" w:rsidTr="00F13240">
        <w:tc>
          <w:tcPr>
            <w:tcW w:w="7650" w:type="dxa"/>
            <w:vAlign w:val="center"/>
          </w:tcPr>
          <w:p w14:paraId="1C37C772" w14:textId="77777777" w:rsidR="005F6358" w:rsidRPr="00004070" w:rsidRDefault="005F6358" w:rsidP="00F13240">
            <w:pPr>
              <w:spacing w:before="60" w:after="60" w:line="276" w:lineRule="auto"/>
              <w:jc w:val="right"/>
              <w:rPr>
                <w:rFonts w:eastAsia="Times New Roman" w:cstheme="minorHAnsi"/>
                <w:i/>
                <w:sz w:val="18"/>
              </w:rPr>
            </w:pPr>
            <w:permStart w:id="2124709409" w:edGrp="everyone" w:colFirst="1" w:colLast="1"/>
            <w:permEnd w:id="430985471"/>
            <w:r w:rsidRPr="00004070">
              <w:rPr>
                <w:rFonts w:eastAsia="Times New Roman" w:cstheme="minorHAnsi"/>
                <w:i/>
                <w:sz w:val="18"/>
              </w:rPr>
              <w:t>I have arranged a follow up with this patient in the following timescale</w:t>
            </w:r>
          </w:p>
        </w:tc>
        <w:tc>
          <w:tcPr>
            <w:tcW w:w="2126" w:type="dxa"/>
          </w:tcPr>
          <w:p w14:paraId="22EB3190" w14:textId="70E70702" w:rsidR="005F6358" w:rsidRPr="00004070" w:rsidRDefault="0061214D" w:rsidP="00F13240">
            <w:pPr>
              <w:spacing w:before="60" w:after="60" w:line="276" w:lineRule="auto"/>
              <w:rPr>
                <w:rFonts w:eastAsia="Times New Roman" w:cstheme="minorHAnsi"/>
                <w:i/>
                <w:sz w:val="18"/>
              </w:rPr>
            </w:pPr>
            <w:r>
              <w:rPr>
                <w:rFonts w:eastAsia="Times New Roman" w:cstheme="minorHAnsi"/>
                <w:i/>
                <w:sz w:val="18"/>
              </w:rPr>
              <w:t xml:space="preserve">                      </w:t>
            </w:r>
          </w:p>
        </w:tc>
      </w:tr>
      <w:permEnd w:id="2124709409"/>
    </w:tbl>
    <w:p w14:paraId="1E5728DE" w14:textId="77777777" w:rsidR="00246A5F" w:rsidRDefault="00246A5F" w:rsidP="00246A5F">
      <w:pPr>
        <w:spacing w:after="60"/>
        <w:rPr>
          <w:rFonts w:eastAsia="Calibri" w:cs="Times New Roman"/>
          <w:szCs w:val="24"/>
        </w:rPr>
      </w:pPr>
    </w:p>
    <w:p w14:paraId="18561801" w14:textId="77777777" w:rsidR="00246A5F" w:rsidRDefault="00246A5F" w:rsidP="00246A5F">
      <w:pPr>
        <w:spacing w:after="60"/>
        <w:rPr>
          <w:rFonts w:eastAsia="Calibri" w:cs="Times New Roman"/>
          <w:szCs w:val="24"/>
        </w:rPr>
      </w:pPr>
    </w:p>
    <w:p w14:paraId="09F9FD02" w14:textId="77777777" w:rsidR="00246A5F" w:rsidRDefault="00246A5F" w:rsidP="00246A5F">
      <w:pPr>
        <w:spacing w:after="60"/>
        <w:rPr>
          <w:rFonts w:eastAsia="Calibri" w:cs="Times New Roman"/>
          <w:szCs w:val="24"/>
        </w:rPr>
      </w:pPr>
    </w:p>
    <w:p w14:paraId="065F0577" w14:textId="5AA513EB" w:rsidR="00246A5F" w:rsidRPr="00297734" w:rsidRDefault="00246A5F" w:rsidP="00246A5F">
      <w:pPr>
        <w:spacing w:after="60"/>
        <w:rPr>
          <w:rFonts w:eastAsia="Calibri" w:cs="Times New Roman"/>
          <w:i/>
          <w:iCs/>
          <w:szCs w:val="24"/>
        </w:rPr>
      </w:pPr>
      <w:r w:rsidRPr="006C3BBB">
        <w:rPr>
          <w:rFonts w:eastAsia="Calibri" w:cs="Times New Roman"/>
          <w:szCs w:val="24"/>
        </w:rPr>
        <w:t xml:space="preserve">Treatment was started on </w:t>
      </w:r>
      <w:permStart w:id="782308087" w:edGrp="everyone"/>
      <w:r w:rsidRPr="006C3BBB">
        <w:rPr>
          <w:rFonts w:eastAsia="Calibri" w:cs="Times New Roman"/>
          <w:i/>
          <w:iCs/>
          <w:szCs w:val="24"/>
        </w:rPr>
        <w:t>insert date started</w:t>
      </w:r>
      <w:permEnd w:id="782308087"/>
      <w:r w:rsidRPr="006C3BBB">
        <w:rPr>
          <w:rFonts w:eastAsia="Calibri" w:cs="Times New Roman"/>
          <w:szCs w:val="24"/>
        </w:rPr>
        <w:t xml:space="preserve"> and the current dose is </w:t>
      </w:r>
      <w:permStart w:id="364916815" w:edGrp="everyone"/>
      <w:proofErr w:type="gramStart"/>
      <w:r w:rsidRPr="006C3BBB">
        <w:rPr>
          <w:rFonts w:eastAsia="Calibri" w:cs="Times New Roman"/>
          <w:i/>
          <w:iCs/>
          <w:szCs w:val="24"/>
        </w:rPr>
        <w:t>insert</w:t>
      </w:r>
      <w:proofErr w:type="gramEnd"/>
      <w:r w:rsidRPr="006C3BBB">
        <w:rPr>
          <w:rFonts w:eastAsia="Calibri" w:cs="Times New Roman"/>
          <w:i/>
          <w:iCs/>
          <w:szCs w:val="24"/>
        </w:rPr>
        <w:t xml:space="preserve"> dose and frequency</w:t>
      </w:r>
    </w:p>
    <w:permEnd w:id="364916815"/>
    <w:p w14:paraId="0DE4CD14" w14:textId="77777777" w:rsidR="00246A5F" w:rsidRDefault="00246A5F" w:rsidP="00246A5F">
      <w:pPr>
        <w:spacing w:after="60"/>
        <w:rPr>
          <w:rFonts w:eastAsia="Times New Roman" w:cs="Calibri"/>
          <w:szCs w:val="24"/>
        </w:rPr>
      </w:pPr>
    </w:p>
    <w:p w14:paraId="06616A1F" w14:textId="27CD6693" w:rsidR="00246A5F" w:rsidRPr="006C3BBB" w:rsidRDefault="00246A5F" w:rsidP="00246A5F">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222916101" w:edGrp="everyone"/>
      <w:r w:rsidRPr="006C3BBB">
        <w:rPr>
          <w:rFonts w:eastAsia="Times New Roman" w:cs="Calibri"/>
          <w:i/>
          <w:iCs/>
          <w:szCs w:val="24"/>
        </w:rPr>
        <w:t>insert date</w:t>
      </w:r>
      <w:r>
        <w:rPr>
          <w:rFonts w:eastAsia="Times New Roman" w:cs="Calibri"/>
          <w:i/>
          <w:iCs/>
          <w:szCs w:val="24"/>
        </w:rPr>
        <w:t xml:space="preserve"> </w:t>
      </w:r>
      <w:permEnd w:id="222916101"/>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6230CA1A" w14:textId="77777777" w:rsidR="00246A5F" w:rsidRDefault="00246A5F" w:rsidP="00246A5F">
      <w:pPr>
        <w:spacing w:after="60" w:line="276" w:lineRule="auto"/>
        <w:rPr>
          <w:rFonts w:eastAsia="Times New Roman" w:cs="Arial"/>
          <w:szCs w:val="24"/>
        </w:rPr>
      </w:pPr>
    </w:p>
    <w:p w14:paraId="04C6330C" w14:textId="77777777" w:rsidR="00246A5F" w:rsidRDefault="00246A5F" w:rsidP="00246A5F">
      <w:pPr>
        <w:spacing w:after="60"/>
        <w:rPr>
          <w:rFonts w:eastAsia="Times New Roman" w:cs="Calibri"/>
          <w:szCs w:val="24"/>
        </w:rPr>
      </w:pPr>
      <w:r w:rsidRPr="006C3BBB">
        <w:rPr>
          <w:rFonts w:eastAsia="Times New Roman" w:cs="Calibri"/>
          <w:szCs w:val="24"/>
        </w:rPr>
        <w:t xml:space="preserve">The next blood monitoring is due on </w:t>
      </w:r>
      <w:permStart w:id="1358577913" w:edGrp="everyone"/>
      <w:r w:rsidRPr="006C3BBB">
        <w:rPr>
          <w:rFonts w:eastAsia="Times New Roman" w:cs="Calibri"/>
          <w:i/>
          <w:iCs/>
          <w:szCs w:val="24"/>
        </w:rPr>
        <w:t>insert date</w:t>
      </w:r>
      <w:r w:rsidRPr="006C3BBB">
        <w:rPr>
          <w:rFonts w:eastAsia="Calibri" w:cs="Times New Roman"/>
          <w:i/>
          <w:szCs w:val="24"/>
        </w:rPr>
        <w:t xml:space="preserve"> </w:t>
      </w:r>
      <w:permEnd w:id="1358577913"/>
      <w:r w:rsidRPr="006C3BBB">
        <w:rPr>
          <w:rFonts w:eastAsia="Times New Roman" w:cs="Calibri"/>
          <w:szCs w:val="24"/>
        </w:rPr>
        <w:t>and should be continued in line with the shared care guideline.</w:t>
      </w:r>
    </w:p>
    <w:p w14:paraId="3D7F1C8D" w14:textId="77777777" w:rsidR="00075F33" w:rsidRPr="006C3BBB" w:rsidRDefault="00075F33" w:rsidP="00246A5F">
      <w:pPr>
        <w:spacing w:after="60"/>
        <w:rPr>
          <w:rFonts w:eastAsia="Times New Roman" w:cs="Calibri"/>
          <w:szCs w:val="24"/>
        </w:rPr>
      </w:pPr>
    </w:p>
    <w:p w14:paraId="7E7E76AC" w14:textId="355D44BA" w:rsidR="005F6358" w:rsidRDefault="003F53C9" w:rsidP="005F6358">
      <w:pPr>
        <w:spacing w:after="60"/>
        <w:rPr>
          <w:rFonts w:eastAsia="Times New Roman" w:cstheme="minorHAnsi"/>
        </w:rPr>
      </w:pPr>
      <w:r w:rsidRPr="00004070">
        <w:rPr>
          <w:rFonts w:eastAsia="Times New Roman" w:cstheme="minorHAnsi"/>
        </w:rPr>
        <w:t>Please respond to this request for shared care, in writing, within 14 days of the request being made where possible.</w:t>
      </w:r>
    </w:p>
    <w:p w14:paraId="464805F9" w14:textId="77777777" w:rsidR="00246A5F" w:rsidRDefault="00246A5F" w:rsidP="005F6358">
      <w:pPr>
        <w:spacing w:after="60"/>
        <w:rPr>
          <w:rFonts w:eastAsia="Times New Roman" w:cstheme="minorHAnsi"/>
        </w:rPr>
      </w:pPr>
    </w:p>
    <w:p w14:paraId="3E8E1354" w14:textId="77777777" w:rsidR="00246A5F" w:rsidRDefault="00246A5F" w:rsidP="005F6358">
      <w:pPr>
        <w:spacing w:after="60"/>
        <w:rPr>
          <w:rFonts w:eastAsia="Times New Roman" w:cstheme="minorHAnsi"/>
        </w:rPr>
      </w:pPr>
    </w:p>
    <w:p w14:paraId="6A7BCE9B" w14:textId="77777777" w:rsidR="00246A5F" w:rsidRDefault="00246A5F" w:rsidP="005F6358">
      <w:pPr>
        <w:spacing w:after="60"/>
        <w:rPr>
          <w:rFonts w:eastAsia="Times New Roman" w:cstheme="minorHAnsi"/>
        </w:rPr>
      </w:pPr>
    </w:p>
    <w:p w14:paraId="136FB989" w14:textId="77777777" w:rsidR="00246A5F" w:rsidRDefault="00246A5F" w:rsidP="005F6358">
      <w:pPr>
        <w:spacing w:after="60"/>
        <w:rPr>
          <w:rFonts w:eastAsia="Times New Roman" w:cstheme="minorHAnsi"/>
        </w:rPr>
      </w:pPr>
    </w:p>
    <w:p w14:paraId="100AF20D" w14:textId="77777777" w:rsidR="00246A5F" w:rsidRDefault="00246A5F" w:rsidP="005F6358">
      <w:pPr>
        <w:spacing w:after="60"/>
        <w:rPr>
          <w:rFonts w:eastAsia="Times New Roman" w:cstheme="minorHAnsi"/>
        </w:rPr>
      </w:pPr>
    </w:p>
    <w:p w14:paraId="7265B386" w14:textId="77777777" w:rsidR="00246A5F" w:rsidRDefault="00246A5F" w:rsidP="005F6358">
      <w:pPr>
        <w:spacing w:after="60"/>
        <w:rPr>
          <w:rFonts w:eastAsia="Times New Roman" w:cstheme="minorHAnsi"/>
        </w:rPr>
      </w:pPr>
    </w:p>
    <w:p w14:paraId="0C7B0008" w14:textId="77777777" w:rsidR="00246A5F" w:rsidRDefault="00246A5F" w:rsidP="005F6358">
      <w:pPr>
        <w:spacing w:after="60"/>
        <w:rPr>
          <w:rFonts w:eastAsia="Times New Roman" w:cstheme="minorHAnsi"/>
        </w:rPr>
      </w:pPr>
    </w:p>
    <w:p w14:paraId="12B0CAB6" w14:textId="77777777" w:rsidR="00246A5F" w:rsidRDefault="00246A5F" w:rsidP="005F6358">
      <w:pPr>
        <w:spacing w:after="60"/>
        <w:rPr>
          <w:rFonts w:eastAsia="Times New Roman" w:cstheme="minorHAnsi"/>
        </w:rPr>
      </w:pPr>
    </w:p>
    <w:p w14:paraId="664C4265" w14:textId="77777777" w:rsidR="00246A5F" w:rsidRDefault="00246A5F" w:rsidP="005F6358">
      <w:pPr>
        <w:spacing w:after="60"/>
        <w:rPr>
          <w:rFonts w:eastAsia="Times New Roman" w:cstheme="minorHAnsi"/>
        </w:rPr>
      </w:pPr>
    </w:p>
    <w:p w14:paraId="051BB47A" w14:textId="77777777" w:rsidR="00246A5F" w:rsidRDefault="00246A5F" w:rsidP="005F6358">
      <w:pPr>
        <w:spacing w:after="60"/>
        <w:rPr>
          <w:rFonts w:eastAsia="Times New Roman" w:cstheme="minorHAnsi"/>
        </w:rPr>
      </w:pPr>
    </w:p>
    <w:p w14:paraId="54F4B672" w14:textId="77777777" w:rsidR="00246A5F" w:rsidRDefault="00246A5F" w:rsidP="005F6358">
      <w:pPr>
        <w:spacing w:after="60"/>
        <w:rPr>
          <w:rFonts w:eastAsia="Times New Roman" w:cstheme="minorHAnsi"/>
        </w:rPr>
      </w:pPr>
    </w:p>
    <w:p w14:paraId="42009789" w14:textId="77777777" w:rsidR="00246A5F" w:rsidRDefault="00246A5F" w:rsidP="005F6358">
      <w:pPr>
        <w:spacing w:after="60"/>
        <w:rPr>
          <w:rFonts w:eastAsia="Times New Roman" w:cstheme="minorHAnsi"/>
        </w:rPr>
      </w:pPr>
    </w:p>
    <w:p w14:paraId="5BA2515F" w14:textId="77777777" w:rsidR="00246A5F" w:rsidRDefault="00246A5F" w:rsidP="005F6358">
      <w:pPr>
        <w:spacing w:after="60"/>
        <w:rPr>
          <w:rFonts w:eastAsia="Times New Roman" w:cstheme="minorHAnsi"/>
        </w:rPr>
      </w:pPr>
    </w:p>
    <w:p w14:paraId="2CBFC68C" w14:textId="77777777" w:rsidR="00246A5F" w:rsidRDefault="00246A5F" w:rsidP="005F6358">
      <w:pPr>
        <w:spacing w:after="60"/>
        <w:rPr>
          <w:rFonts w:eastAsia="Times New Roman" w:cstheme="minorHAnsi"/>
        </w:rPr>
      </w:pPr>
    </w:p>
    <w:p w14:paraId="58FB7886" w14:textId="77777777" w:rsidR="00246A5F" w:rsidRDefault="00246A5F" w:rsidP="005F6358">
      <w:pPr>
        <w:spacing w:after="60"/>
        <w:rPr>
          <w:rFonts w:eastAsia="Times New Roman" w:cstheme="minorHAnsi"/>
        </w:rPr>
      </w:pPr>
    </w:p>
    <w:p w14:paraId="14B9C801" w14:textId="77777777" w:rsidR="00246A5F" w:rsidRPr="00004070" w:rsidRDefault="00246A5F" w:rsidP="005F6358">
      <w:pPr>
        <w:spacing w:after="60"/>
      </w:pPr>
    </w:p>
    <w:p w14:paraId="6B2317AF" w14:textId="77777777" w:rsidR="00246A5F" w:rsidRDefault="00246A5F" w:rsidP="00F13240">
      <w:pPr>
        <w:pStyle w:val="Heading1"/>
        <w:numPr>
          <w:ilvl w:val="0"/>
          <w:numId w:val="0"/>
        </w:numPr>
      </w:pPr>
      <w:bookmarkStart w:id="26" w:name="_Appendix_3"/>
      <w:bookmarkStart w:id="27" w:name="_Toc28084478"/>
      <w:bookmarkStart w:id="28" w:name="_Toc64632335"/>
      <w:bookmarkEnd w:id="26"/>
    </w:p>
    <w:p w14:paraId="2EF3342A" w14:textId="77777777" w:rsidR="00246A5F" w:rsidRDefault="00246A5F" w:rsidP="00F13240">
      <w:pPr>
        <w:pStyle w:val="Heading1"/>
        <w:numPr>
          <w:ilvl w:val="0"/>
          <w:numId w:val="0"/>
        </w:numPr>
      </w:pPr>
    </w:p>
    <w:p w14:paraId="41BD8DEF" w14:textId="33326255" w:rsidR="005F6358" w:rsidRPr="00004070" w:rsidRDefault="005F6358" w:rsidP="00F13240">
      <w:pPr>
        <w:pStyle w:val="Heading1"/>
        <w:numPr>
          <w:ilvl w:val="0"/>
          <w:numId w:val="0"/>
        </w:numPr>
      </w:pPr>
      <w:r w:rsidRPr="00004070">
        <w:t xml:space="preserve">Appendix </w:t>
      </w:r>
      <w:bookmarkEnd w:id="27"/>
      <w:r w:rsidRPr="00004070">
        <w:t>2: Shared Care Agreement Letter (Primary Care Prescriber to Specialist)</w:t>
      </w:r>
      <w:bookmarkEnd w:id="28"/>
    </w:p>
    <w:p w14:paraId="1FFAE8B0" w14:textId="77777777" w:rsidR="005F6358" w:rsidRPr="00004070" w:rsidRDefault="005F6358" w:rsidP="005F6358">
      <w:pPr>
        <w:spacing w:after="0"/>
        <w:rPr>
          <w:rFonts w:eastAsia="Times New Roman" w:cs="Arial"/>
          <w:b/>
          <w:bCs/>
          <w:sz w:val="32"/>
          <w:szCs w:val="20"/>
        </w:rPr>
      </w:pPr>
    </w:p>
    <w:p w14:paraId="77BD59C3" w14:textId="77777777" w:rsidR="005F6358" w:rsidRPr="00004070" w:rsidRDefault="005F6358" w:rsidP="005F6358">
      <w:pPr>
        <w:rPr>
          <w:rFonts w:cs="Arial"/>
          <w:b/>
        </w:rPr>
      </w:pPr>
      <w:r w:rsidRPr="00004070">
        <w:rPr>
          <w:rFonts w:cs="Arial"/>
          <w:b/>
        </w:rPr>
        <w:t>Primary Care Prescriber Response</w:t>
      </w:r>
    </w:p>
    <w:p w14:paraId="1D0BEE31" w14:textId="77777777" w:rsidR="002A07F2" w:rsidRPr="006C3BBB" w:rsidRDefault="002A07F2" w:rsidP="002A07F2">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896079260" w:edGrp="everyone"/>
      <w:r w:rsidRPr="006C3BBB">
        <w:rPr>
          <w:rFonts w:eastAsia="Times New Roman" w:cs="Arial"/>
          <w:i/>
          <w:iCs/>
          <w:szCs w:val="24"/>
        </w:rPr>
        <w:t>insert Doctor's name</w:t>
      </w:r>
    </w:p>
    <w:permEnd w:id="896079260"/>
    <w:p w14:paraId="6DBD907C" w14:textId="77777777" w:rsidR="002A07F2" w:rsidRPr="006C3BBB" w:rsidRDefault="002A07F2" w:rsidP="002A07F2">
      <w:pPr>
        <w:spacing w:after="0"/>
        <w:rPr>
          <w:rFonts w:eastAsia="Times New Roman" w:cs="Arial"/>
          <w:i/>
          <w:szCs w:val="24"/>
        </w:rPr>
      </w:pPr>
      <w:r w:rsidRPr="006C3BBB">
        <w:rPr>
          <w:rFonts w:eastAsia="Times New Roman" w:cs="Arial"/>
          <w:szCs w:val="24"/>
        </w:rPr>
        <w:t xml:space="preserve">Patient: </w:t>
      </w:r>
      <w:permStart w:id="906903570" w:edGrp="everyone" w:colFirst="0" w:colLast="0"/>
      <w:r w:rsidRPr="006C3BBB">
        <w:rPr>
          <w:rFonts w:eastAsia="Times New Roman" w:cs="Arial"/>
          <w:i/>
          <w:iCs/>
          <w:szCs w:val="24"/>
        </w:rPr>
        <w:t>insert Patient's name</w:t>
      </w:r>
      <w:permEnd w:id="906903570"/>
    </w:p>
    <w:p w14:paraId="1C5CD837" w14:textId="77777777" w:rsidR="002A07F2" w:rsidRPr="006C3BBB" w:rsidRDefault="002A07F2" w:rsidP="002A07F2">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022628015" w:edGrp="everyone" w:colFirst="0" w:colLast="0"/>
      <w:r w:rsidRPr="006C3BBB">
        <w:rPr>
          <w:rFonts w:eastAsia="Times New Roman" w:cs="Arial"/>
          <w:i/>
          <w:iCs/>
          <w:szCs w:val="24"/>
        </w:rPr>
        <w:t>insert NHS Number</w:t>
      </w:r>
      <w:permEnd w:id="1022628015"/>
    </w:p>
    <w:p w14:paraId="30DF7080" w14:textId="77777777" w:rsidR="002A07F2" w:rsidRDefault="002A07F2" w:rsidP="002A07F2">
      <w:pPr>
        <w:spacing w:after="0"/>
        <w:rPr>
          <w:rFonts w:eastAsia="Times New Roman" w:cs="Arial"/>
          <w:i/>
          <w:iCs/>
          <w:szCs w:val="24"/>
        </w:rPr>
      </w:pPr>
      <w:r w:rsidRPr="006C3BBB">
        <w:rPr>
          <w:rFonts w:eastAsia="Times New Roman" w:cs="Arial"/>
          <w:szCs w:val="24"/>
        </w:rPr>
        <w:t xml:space="preserve">Identifier:  </w:t>
      </w:r>
      <w:permStart w:id="1738637252" w:edGrp="everyone" w:colFirst="0" w:colLast="0"/>
      <w:r w:rsidRPr="006C3BBB">
        <w:rPr>
          <w:rFonts w:eastAsia="Times New Roman" w:cs="Arial"/>
          <w:i/>
          <w:iCs/>
          <w:szCs w:val="24"/>
        </w:rPr>
        <w:t>insert patient's date of birth and/or address</w:t>
      </w:r>
    </w:p>
    <w:permEnd w:id="1738637252"/>
    <w:p w14:paraId="1462A147" w14:textId="77777777" w:rsidR="005F6358" w:rsidRPr="00004070" w:rsidRDefault="005F6358" w:rsidP="005F6358">
      <w:pPr>
        <w:spacing w:after="0"/>
        <w:rPr>
          <w:rFonts w:eastAsia="Times New Roman" w:cs="Arial"/>
          <w:i/>
          <w:iCs/>
        </w:rPr>
      </w:pPr>
    </w:p>
    <w:p w14:paraId="5BC3417C" w14:textId="77777777" w:rsidR="005F6358" w:rsidRPr="00004070" w:rsidRDefault="005F6358" w:rsidP="005F6358">
      <w:pPr>
        <w:spacing w:after="0"/>
        <w:rPr>
          <w:rFonts w:eastAsia="Times New Roman" w:cs="Arial"/>
        </w:rPr>
      </w:pPr>
      <w:r w:rsidRPr="00004070">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004070"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004070" w14:paraId="78F58A4F" w14:textId="77777777" w:rsidTr="00E3221B">
        <w:tc>
          <w:tcPr>
            <w:tcW w:w="3320" w:type="dxa"/>
            <w:shd w:val="clear" w:color="auto" w:fill="D9D9D9" w:themeFill="background1" w:themeFillShade="D9"/>
          </w:tcPr>
          <w:p w14:paraId="55EA8A96" w14:textId="77777777" w:rsidR="005F6358" w:rsidRPr="00004070" w:rsidRDefault="005F6358" w:rsidP="00E3221B">
            <w:pPr>
              <w:jc w:val="center"/>
              <w:rPr>
                <w:rFonts w:eastAsia="Times New Roman" w:cs="Arial"/>
              </w:rPr>
            </w:pPr>
            <w:r w:rsidRPr="00004070">
              <w:rPr>
                <w:rFonts w:eastAsia="Times New Roman" w:cs="Arial"/>
              </w:rPr>
              <w:t>Medicine</w:t>
            </w:r>
          </w:p>
        </w:tc>
        <w:tc>
          <w:tcPr>
            <w:tcW w:w="3321" w:type="dxa"/>
            <w:shd w:val="clear" w:color="auto" w:fill="D9D9D9" w:themeFill="background1" w:themeFillShade="D9"/>
          </w:tcPr>
          <w:p w14:paraId="21D38F36" w14:textId="77777777" w:rsidR="005F6358" w:rsidRPr="00004070" w:rsidRDefault="005F6358" w:rsidP="00E3221B">
            <w:pPr>
              <w:jc w:val="center"/>
              <w:rPr>
                <w:rFonts w:eastAsia="Times New Roman" w:cs="Arial"/>
              </w:rPr>
            </w:pPr>
            <w:r w:rsidRPr="00004070">
              <w:rPr>
                <w:rFonts w:eastAsia="Times New Roman" w:cs="Arial"/>
              </w:rPr>
              <w:t>Route</w:t>
            </w:r>
          </w:p>
        </w:tc>
        <w:tc>
          <w:tcPr>
            <w:tcW w:w="3321" w:type="dxa"/>
            <w:shd w:val="clear" w:color="auto" w:fill="D9D9D9" w:themeFill="background1" w:themeFillShade="D9"/>
          </w:tcPr>
          <w:p w14:paraId="4C29C19D" w14:textId="77777777" w:rsidR="005F6358" w:rsidRPr="00004070" w:rsidRDefault="005F6358" w:rsidP="00E3221B">
            <w:pPr>
              <w:jc w:val="center"/>
              <w:rPr>
                <w:rFonts w:eastAsia="Times New Roman" w:cs="Arial"/>
              </w:rPr>
            </w:pPr>
            <w:r w:rsidRPr="00004070">
              <w:rPr>
                <w:rFonts w:eastAsia="Times New Roman" w:cs="Arial"/>
              </w:rPr>
              <w:t>Dose &amp; frequency</w:t>
            </w:r>
          </w:p>
        </w:tc>
      </w:tr>
      <w:tr w:rsidR="005F6358" w:rsidRPr="00004070" w14:paraId="1EB3B9B3" w14:textId="77777777" w:rsidTr="00E3221B">
        <w:tc>
          <w:tcPr>
            <w:tcW w:w="3320" w:type="dxa"/>
          </w:tcPr>
          <w:p w14:paraId="7EC7F693" w14:textId="77777777" w:rsidR="005F6358" w:rsidRPr="00004070" w:rsidRDefault="005F6358" w:rsidP="00E3221B">
            <w:pPr>
              <w:rPr>
                <w:rFonts w:eastAsia="Times New Roman" w:cs="Arial"/>
              </w:rPr>
            </w:pPr>
            <w:permStart w:id="280451448" w:edGrp="everyone" w:colFirst="0" w:colLast="0"/>
            <w:permStart w:id="456615939" w:edGrp="everyone" w:colFirst="1" w:colLast="1"/>
            <w:permStart w:id="1070543566" w:edGrp="everyone" w:colFirst="2" w:colLast="2"/>
          </w:p>
        </w:tc>
        <w:tc>
          <w:tcPr>
            <w:tcW w:w="3321" w:type="dxa"/>
          </w:tcPr>
          <w:p w14:paraId="584B6B99" w14:textId="77777777" w:rsidR="005F6358" w:rsidRPr="00004070" w:rsidRDefault="005F6358" w:rsidP="00E3221B">
            <w:pPr>
              <w:rPr>
                <w:rFonts w:eastAsia="Times New Roman" w:cs="Arial"/>
              </w:rPr>
            </w:pPr>
          </w:p>
        </w:tc>
        <w:tc>
          <w:tcPr>
            <w:tcW w:w="3321" w:type="dxa"/>
          </w:tcPr>
          <w:p w14:paraId="606BB2B5" w14:textId="77777777" w:rsidR="005F6358" w:rsidRPr="00004070" w:rsidRDefault="005F6358" w:rsidP="00E3221B">
            <w:pPr>
              <w:rPr>
                <w:rFonts w:eastAsia="Times New Roman" w:cs="Arial"/>
              </w:rPr>
            </w:pPr>
          </w:p>
        </w:tc>
      </w:tr>
      <w:permEnd w:id="280451448"/>
      <w:permEnd w:id="456615939"/>
      <w:permEnd w:id="1070543566"/>
    </w:tbl>
    <w:p w14:paraId="6FE7C9BD" w14:textId="77777777" w:rsidR="005F6358" w:rsidRPr="00004070" w:rsidRDefault="005F6358" w:rsidP="005F6358">
      <w:pPr>
        <w:spacing w:after="0"/>
        <w:rPr>
          <w:rFonts w:eastAsia="Times New Roman" w:cs="Arial"/>
        </w:rPr>
      </w:pPr>
    </w:p>
    <w:p w14:paraId="709F084E" w14:textId="77777777" w:rsidR="007A11FF" w:rsidRPr="006C3BBB" w:rsidRDefault="007A11FF" w:rsidP="007A11FF">
      <w:pPr>
        <w:spacing w:after="0"/>
        <w:rPr>
          <w:rFonts w:eastAsia="Times New Roman" w:cs="Arial"/>
          <w:bCs/>
          <w:szCs w:val="24"/>
        </w:rPr>
      </w:pPr>
      <w:bookmarkStart w:id="29" w:name="_Hlk193883100"/>
      <w:r w:rsidRPr="006C3BBB">
        <w:rPr>
          <w:rFonts w:eastAsia="Times New Roman" w:cs="Arial"/>
          <w:bCs/>
          <w:szCs w:val="24"/>
        </w:rPr>
        <w:t xml:space="preserve">I can confirm that I am willing to take on this responsibility from </w:t>
      </w:r>
      <w:permStart w:id="979517728" w:edGrp="everyone"/>
      <w:r w:rsidRPr="006C3BBB">
        <w:rPr>
          <w:rFonts w:eastAsia="Times New Roman" w:cs="Arial"/>
          <w:bCs/>
          <w:i/>
          <w:iCs/>
          <w:szCs w:val="24"/>
        </w:rPr>
        <w:t>insert date</w:t>
      </w:r>
      <w:r>
        <w:rPr>
          <w:rFonts w:eastAsia="Times New Roman" w:cs="Arial"/>
          <w:bCs/>
          <w:i/>
          <w:iCs/>
          <w:szCs w:val="24"/>
        </w:rPr>
        <w:t xml:space="preserve"> </w:t>
      </w:r>
      <w:permEnd w:id="979517728"/>
      <w:r w:rsidRPr="006C3BBB">
        <w:rPr>
          <w:rFonts w:eastAsia="Times New Roman" w:cs="Arial"/>
          <w:bCs/>
          <w:szCs w:val="24"/>
        </w:rPr>
        <w:t>and will complete the monitoring as set out in the shared care protocol for this medicine/condition.</w:t>
      </w:r>
    </w:p>
    <w:bookmarkEnd w:id="29"/>
    <w:p w14:paraId="1A2733A6" w14:textId="77777777" w:rsidR="005F6358" w:rsidRPr="00004070" w:rsidRDefault="005F6358" w:rsidP="005F6358">
      <w:pPr>
        <w:spacing w:after="0"/>
        <w:ind w:left="720"/>
        <w:rPr>
          <w:rFonts w:eastAsia="Times New Roman" w:cs="Arial"/>
          <w:bCs/>
        </w:rPr>
      </w:pPr>
    </w:p>
    <w:p w14:paraId="67ADB3D0" w14:textId="77777777" w:rsidR="007A11FF" w:rsidRDefault="005F6358" w:rsidP="005F6358">
      <w:pPr>
        <w:spacing w:after="0"/>
        <w:rPr>
          <w:rFonts w:eastAsia="Times New Roman" w:cs="Arial"/>
          <w:bCs/>
        </w:rPr>
      </w:pPr>
      <w:r w:rsidRPr="00004070">
        <w:rPr>
          <w:rFonts w:eastAsia="Times New Roman" w:cs="Arial"/>
          <w:bCs/>
        </w:rPr>
        <w:t xml:space="preserve">Primary Care Prescriber signature: </w:t>
      </w:r>
      <w:permStart w:id="699489049" w:edGrp="everyone"/>
      <w:permEnd w:id="699489049"/>
      <w:r w:rsidRPr="00004070">
        <w:rPr>
          <w:rFonts w:eastAsia="Times New Roman" w:cs="Arial"/>
          <w:bCs/>
        </w:rPr>
        <w:t>_______________________________</w:t>
      </w:r>
      <w:r w:rsidRPr="00004070">
        <w:rPr>
          <w:rFonts w:eastAsia="Times New Roman" w:cs="Arial"/>
          <w:bCs/>
        </w:rPr>
        <w:tab/>
      </w:r>
    </w:p>
    <w:p w14:paraId="6CF5221F" w14:textId="45BFBC75" w:rsidR="005F6358" w:rsidRPr="00004070" w:rsidRDefault="005F6358" w:rsidP="005F6358">
      <w:pPr>
        <w:spacing w:after="0"/>
        <w:rPr>
          <w:rFonts w:eastAsia="Times New Roman" w:cs="Arial"/>
          <w:bCs/>
        </w:rPr>
      </w:pPr>
      <w:r w:rsidRPr="00004070">
        <w:rPr>
          <w:rFonts w:eastAsia="Times New Roman" w:cs="Arial"/>
          <w:bCs/>
        </w:rPr>
        <w:t xml:space="preserve">Date: </w:t>
      </w:r>
      <w:permStart w:id="236263572" w:edGrp="everyone"/>
      <w:permEnd w:id="236263572"/>
      <w:r w:rsidRPr="00004070">
        <w:rPr>
          <w:rFonts w:eastAsia="Times New Roman" w:cs="Arial"/>
          <w:bCs/>
        </w:rPr>
        <w:t xml:space="preserve">____________ </w:t>
      </w:r>
    </w:p>
    <w:p w14:paraId="132AEFA8" w14:textId="77777777" w:rsidR="005F6358" w:rsidRPr="00004070" w:rsidRDefault="005F6358" w:rsidP="005F6358">
      <w:pPr>
        <w:spacing w:after="0"/>
        <w:ind w:left="720"/>
        <w:rPr>
          <w:rFonts w:eastAsia="Times New Roman" w:cs="Arial"/>
          <w:bCs/>
        </w:rPr>
      </w:pPr>
    </w:p>
    <w:p w14:paraId="7138C530" w14:textId="77777777" w:rsidR="005F6358" w:rsidRPr="00004070" w:rsidRDefault="005F6358" w:rsidP="005F6358">
      <w:pPr>
        <w:spacing w:after="0"/>
        <w:ind w:left="720"/>
        <w:rPr>
          <w:rFonts w:eastAsia="Times New Roman" w:cs="Arial"/>
          <w:bCs/>
        </w:rPr>
      </w:pPr>
    </w:p>
    <w:p w14:paraId="29F1B561" w14:textId="77777777" w:rsidR="005F6358" w:rsidRPr="00004070" w:rsidRDefault="005F6358" w:rsidP="005F6358">
      <w:pPr>
        <w:spacing w:after="0"/>
        <w:ind w:left="720"/>
        <w:rPr>
          <w:rFonts w:eastAsia="Times New Roman" w:cs="Arial"/>
          <w:bCs/>
        </w:rPr>
      </w:pPr>
    </w:p>
    <w:p w14:paraId="38C8164B" w14:textId="77777777" w:rsidR="005F6358" w:rsidRPr="00004070" w:rsidRDefault="005F6358" w:rsidP="005F6358">
      <w:pPr>
        <w:spacing w:after="0"/>
        <w:rPr>
          <w:rFonts w:eastAsia="Times New Roman" w:cs="Arial"/>
          <w:bCs/>
        </w:rPr>
      </w:pPr>
      <w:r w:rsidRPr="00004070">
        <w:rPr>
          <w:rFonts w:eastAsia="Times New Roman" w:cs="Arial"/>
          <w:bCs/>
        </w:rPr>
        <w:t>Primary Care Prescriber address/practice stamp</w:t>
      </w:r>
    </w:p>
    <w:p w14:paraId="6F0BFCBB" w14:textId="77777777" w:rsidR="005F6358" w:rsidRPr="00004070" w:rsidRDefault="005F6358" w:rsidP="005F6358">
      <w:pPr>
        <w:rPr>
          <w:rFonts w:eastAsia="Times New Roman" w:cs="Arial"/>
          <w:bCs/>
        </w:rPr>
      </w:pPr>
      <w:r w:rsidRPr="00004070">
        <w:rPr>
          <w:rFonts w:eastAsia="Times New Roman" w:cs="Arial"/>
          <w:bCs/>
        </w:rPr>
        <w:br w:type="page"/>
      </w:r>
    </w:p>
    <w:p w14:paraId="3A0AC315" w14:textId="77777777" w:rsidR="00393C31" w:rsidRDefault="00393C31" w:rsidP="00F13240">
      <w:pPr>
        <w:pStyle w:val="Heading1"/>
        <w:numPr>
          <w:ilvl w:val="0"/>
          <w:numId w:val="0"/>
        </w:numPr>
      </w:pPr>
      <w:bookmarkStart w:id="30" w:name="_Appendix_4"/>
      <w:bookmarkStart w:id="31" w:name="_Toc28084479"/>
      <w:bookmarkStart w:id="32" w:name="_Toc64632336"/>
      <w:bookmarkEnd w:id="30"/>
    </w:p>
    <w:p w14:paraId="1F46B0DA" w14:textId="77777777" w:rsidR="00393C31" w:rsidRDefault="00393C31" w:rsidP="00F13240">
      <w:pPr>
        <w:pStyle w:val="Heading1"/>
        <w:numPr>
          <w:ilvl w:val="0"/>
          <w:numId w:val="0"/>
        </w:numPr>
      </w:pPr>
    </w:p>
    <w:p w14:paraId="39EB88B2" w14:textId="1E0E224D" w:rsidR="005F6358" w:rsidRPr="00004070" w:rsidRDefault="005F6358" w:rsidP="00F13240">
      <w:pPr>
        <w:pStyle w:val="Heading1"/>
        <w:numPr>
          <w:ilvl w:val="0"/>
          <w:numId w:val="0"/>
        </w:numPr>
      </w:pPr>
      <w:r w:rsidRPr="00004070">
        <w:t xml:space="preserve">Appendix </w:t>
      </w:r>
      <w:bookmarkEnd w:id="31"/>
      <w:r w:rsidRPr="00004070">
        <w:t>3: Shared Care Refusal Letter (Primary Care Prescriber to Specialist)</w:t>
      </w:r>
      <w:bookmarkEnd w:id="32"/>
    </w:p>
    <w:p w14:paraId="1BE7EAC2" w14:textId="77777777" w:rsidR="005F6358" w:rsidRPr="00004070" w:rsidRDefault="005F6358" w:rsidP="005F6358">
      <w:pPr>
        <w:autoSpaceDE w:val="0"/>
        <w:autoSpaceDN w:val="0"/>
        <w:adjustRightInd w:val="0"/>
        <w:spacing w:after="0"/>
        <w:rPr>
          <w:rFonts w:eastAsia="Times New Roman" w:cs="Arial"/>
          <w:lang w:eastAsia="en-GB"/>
        </w:rPr>
      </w:pPr>
    </w:p>
    <w:p w14:paraId="2B25E301" w14:textId="77777777" w:rsidR="005F6358" w:rsidRPr="00004070" w:rsidRDefault="005F6358" w:rsidP="005F6358">
      <w:pPr>
        <w:autoSpaceDE w:val="0"/>
        <w:autoSpaceDN w:val="0"/>
        <w:adjustRightInd w:val="0"/>
        <w:spacing w:after="0"/>
        <w:rPr>
          <w:rFonts w:eastAsia="Times New Roman" w:cs="Arial"/>
          <w:b/>
          <w:lang w:eastAsia="en-GB"/>
        </w:rPr>
      </w:pPr>
      <w:r w:rsidRPr="00004070">
        <w:rPr>
          <w:rFonts w:eastAsia="Times New Roman" w:cs="Arial"/>
          <w:b/>
          <w:lang w:eastAsia="en-GB"/>
        </w:rPr>
        <w:t xml:space="preserve">Re: </w:t>
      </w:r>
    </w:p>
    <w:p w14:paraId="759896F7" w14:textId="77777777" w:rsidR="00393C31" w:rsidRPr="006C3BBB" w:rsidRDefault="00393C31" w:rsidP="00393C31">
      <w:pPr>
        <w:spacing w:after="0"/>
        <w:rPr>
          <w:rFonts w:eastAsia="Times New Roman" w:cs="Arial"/>
          <w:i/>
          <w:szCs w:val="24"/>
        </w:rPr>
      </w:pPr>
      <w:r w:rsidRPr="006C3BBB">
        <w:rPr>
          <w:rFonts w:eastAsia="Times New Roman" w:cs="Arial"/>
          <w:szCs w:val="24"/>
        </w:rPr>
        <w:t xml:space="preserve">Patient:  </w:t>
      </w:r>
      <w:permStart w:id="1743793487" w:edGrp="everyone"/>
      <w:r w:rsidRPr="006C3BBB">
        <w:rPr>
          <w:rFonts w:eastAsia="Times New Roman" w:cs="Arial"/>
          <w:i/>
          <w:iCs/>
          <w:szCs w:val="24"/>
        </w:rPr>
        <w:t>insert Patient's name</w:t>
      </w:r>
      <w:permEnd w:id="1743793487"/>
    </w:p>
    <w:p w14:paraId="79E47D0F" w14:textId="77777777" w:rsidR="00393C31" w:rsidRPr="006C3BBB" w:rsidRDefault="00393C31" w:rsidP="00393C31">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538223800" w:edGrp="everyone"/>
      <w:r w:rsidRPr="006C3BBB">
        <w:rPr>
          <w:rFonts w:eastAsia="Times New Roman" w:cs="Arial"/>
          <w:i/>
          <w:iCs/>
          <w:szCs w:val="24"/>
        </w:rPr>
        <w:t>insert NHS Number</w:t>
      </w:r>
      <w:permEnd w:id="1538223800"/>
    </w:p>
    <w:p w14:paraId="4D9EA80D" w14:textId="77777777" w:rsidR="00393C31" w:rsidRPr="006C3BBB" w:rsidRDefault="00393C31" w:rsidP="00393C31">
      <w:pPr>
        <w:spacing w:after="0"/>
        <w:rPr>
          <w:rFonts w:eastAsia="Times New Roman" w:cs="Arial"/>
          <w:i/>
          <w:szCs w:val="24"/>
        </w:rPr>
      </w:pPr>
      <w:r w:rsidRPr="006C3BBB">
        <w:rPr>
          <w:rFonts w:eastAsia="Times New Roman" w:cs="Arial"/>
          <w:szCs w:val="24"/>
        </w:rPr>
        <w:t xml:space="preserve">Identifier:  </w:t>
      </w:r>
      <w:permStart w:id="684602538" w:edGrp="everyone" w:colFirst="2" w:colLast="2"/>
      <w:permStart w:id="786633436" w:edGrp="everyone"/>
      <w:permStart w:id="929846098" w:edGrp="everyone" w:colFirst="2" w:colLast="2"/>
      <w:r w:rsidRPr="006C3BBB">
        <w:rPr>
          <w:rFonts w:eastAsia="Times New Roman" w:cs="Arial"/>
          <w:i/>
          <w:iCs/>
          <w:szCs w:val="24"/>
        </w:rPr>
        <w:t>insert patient's date of birth and/or address</w:t>
      </w:r>
      <w:r w:rsidRPr="006C3BBB">
        <w:rPr>
          <w:rFonts w:eastAsia="Times New Roman" w:cs="Arial"/>
          <w:i/>
          <w:szCs w:val="24"/>
        </w:rPr>
        <w:t xml:space="preserve"> </w:t>
      </w:r>
      <w:permEnd w:id="684602538"/>
      <w:permEnd w:id="786633436"/>
    </w:p>
    <w:permEnd w:id="929846098"/>
    <w:p w14:paraId="5AA1E173" w14:textId="77777777" w:rsidR="00393C31" w:rsidRPr="006C3BBB" w:rsidRDefault="00393C31" w:rsidP="00393C31">
      <w:pPr>
        <w:spacing w:after="0"/>
        <w:rPr>
          <w:rFonts w:eastAsia="Times New Roman" w:cs="Arial"/>
          <w:i/>
          <w:iCs/>
          <w:szCs w:val="24"/>
        </w:rPr>
      </w:pPr>
    </w:p>
    <w:p w14:paraId="0F52D3BE" w14:textId="77777777" w:rsidR="00393C31" w:rsidRPr="006C3BBB" w:rsidRDefault="00393C31" w:rsidP="00393C31">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7791E721" w14:textId="77777777" w:rsidR="00393C31" w:rsidRPr="009E33B5" w:rsidRDefault="00393C31" w:rsidP="00393C31">
      <w:pPr>
        <w:autoSpaceDE w:val="0"/>
        <w:autoSpaceDN w:val="0"/>
        <w:adjustRightInd w:val="0"/>
        <w:spacing w:after="0" w:line="276" w:lineRule="auto"/>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561216721" w:edGrp="everyone"/>
      <w:permStart w:id="2146834739" w:edGrp="everyone" w:colFirst="2" w:colLast="2"/>
      <w:permStart w:id="1791050255" w:edGrp="everyone" w:colFirst="2" w:colLast="2"/>
      <w:r w:rsidRPr="006C3BBB">
        <w:rPr>
          <w:rFonts w:eastAsia="Times New Roman" w:cs="Arial"/>
          <w:i/>
          <w:iCs/>
          <w:szCs w:val="24"/>
          <w:lang w:eastAsia="en-GB"/>
        </w:rPr>
        <w:t>insert medicine nam</w:t>
      </w:r>
      <w:r>
        <w:rPr>
          <w:rFonts w:eastAsia="Times New Roman" w:cs="Arial"/>
          <w:i/>
          <w:iCs/>
          <w:szCs w:val="24"/>
          <w:lang w:eastAsia="en-GB"/>
        </w:rPr>
        <w:t>e</w:t>
      </w:r>
      <w:permEnd w:id="561216721"/>
      <w:r w:rsidRPr="006C3BBB">
        <w:rPr>
          <w:rFonts w:eastAsia="Times New Roman" w:cs="Arial"/>
          <w:bCs/>
          <w:szCs w:val="24"/>
          <w:lang w:eastAsia="en-GB"/>
        </w:rPr>
        <w:t xml:space="preserve"> </w:t>
      </w:r>
      <w:permEnd w:id="2146834739"/>
      <w:permEnd w:id="1791050255"/>
      <w:r w:rsidRPr="006C3BBB">
        <w:rPr>
          <w:rFonts w:eastAsia="Times New Roman" w:cs="Arial"/>
          <w:bCs/>
          <w:szCs w:val="24"/>
          <w:lang w:eastAsia="en-GB"/>
        </w:rPr>
        <w:t>as a Shared Care drug and requires a number of conditions to be met before transfer can be made to primary care</w:t>
      </w:r>
    </w:p>
    <w:p w14:paraId="442D194A" w14:textId="77777777" w:rsidR="005F6358" w:rsidRPr="00004070" w:rsidRDefault="005F6358" w:rsidP="00F13240">
      <w:pPr>
        <w:autoSpaceDE w:val="0"/>
        <w:autoSpaceDN w:val="0"/>
        <w:adjustRightInd w:val="0"/>
        <w:spacing w:after="240"/>
        <w:rPr>
          <w:rFonts w:eastAsia="Times New Roman" w:cs="Arial"/>
          <w:b/>
          <w:bCs/>
          <w:sz w:val="20"/>
          <w:szCs w:val="20"/>
          <w:lang w:eastAsia="en-GB"/>
        </w:rPr>
      </w:pPr>
      <w:r w:rsidRPr="00004070">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004070" w14:paraId="65190CF4" w14:textId="77777777" w:rsidTr="00F13240">
        <w:trPr>
          <w:cantSplit/>
        </w:trPr>
        <w:tc>
          <w:tcPr>
            <w:tcW w:w="211" w:type="pct"/>
          </w:tcPr>
          <w:p w14:paraId="1130104A" w14:textId="77777777" w:rsidR="005F6358" w:rsidRPr="00004070" w:rsidRDefault="005F6358" w:rsidP="00F13240">
            <w:pPr>
              <w:autoSpaceDE w:val="0"/>
              <w:autoSpaceDN w:val="0"/>
              <w:adjustRightInd w:val="0"/>
              <w:spacing w:after="0" w:line="276" w:lineRule="auto"/>
              <w:jc w:val="center"/>
              <w:rPr>
                <w:rFonts w:eastAsia="Times New Roman" w:cs="Arial"/>
                <w:b/>
                <w:bCs/>
                <w:lang w:eastAsia="en-GB"/>
              </w:rPr>
            </w:pPr>
            <w:r w:rsidRPr="00004070">
              <w:rPr>
                <w:rFonts w:eastAsia="Times New Roman" w:cs="Arial"/>
                <w:b/>
                <w:bCs/>
                <w:lang w:eastAsia="en-GB"/>
              </w:rPr>
              <w:t xml:space="preserve">   </w:t>
            </w:r>
          </w:p>
        </w:tc>
        <w:tc>
          <w:tcPr>
            <w:tcW w:w="4183" w:type="pct"/>
          </w:tcPr>
          <w:p w14:paraId="7BEDA9A4" w14:textId="77777777" w:rsidR="005F6358" w:rsidRPr="00004070"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004070" w:rsidRDefault="005F6358" w:rsidP="00F13240">
            <w:pPr>
              <w:autoSpaceDE w:val="0"/>
              <w:autoSpaceDN w:val="0"/>
              <w:adjustRightInd w:val="0"/>
              <w:spacing w:after="0" w:line="276" w:lineRule="auto"/>
              <w:jc w:val="center"/>
              <w:rPr>
                <w:rFonts w:eastAsia="Times New Roman" w:cs="Arial"/>
                <w:b/>
                <w:bCs/>
                <w:sz w:val="18"/>
                <w:lang w:eastAsia="en-GB"/>
              </w:rPr>
            </w:pPr>
            <w:r w:rsidRPr="00004070">
              <w:rPr>
                <w:rFonts w:eastAsia="Times New Roman" w:cs="Arial"/>
                <w:b/>
                <w:bCs/>
                <w:sz w:val="18"/>
                <w:lang w:eastAsia="en-GB"/>
              </w:rPr>
              <w:t>Tick which apply</w:t>
            </w:r>
          </w:p>
        </w:tc>
      </w:tr>
      <w:tr w:rsidR="005F6358" w:rsidRPr="00004070" w14:paraId="06E31781" w14:textId="77777777" w:rsidTr="00F13240">
        <w:trPr>
          <w:cantSplit/>
        </w:trPr>
        <w:tc>
          <w:tcPr>
            <w:tcW w:w="211" w:type="pct"/>
          </w:tcPr>
          <w:p w14:paraId="0D12C882"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1704869003" w:edGrp="everyone" w:colFirst="2" w:colLast="2"/>
            <w:r w:rsidRPr="00004070">
              <w:rPr>
                <w:rFonts w:eastAsia="Times New Roman" w:cs="Arial"/>
                <w:b/>
                <w:bCs/>
                <w:sz w:val="20"/>
                <w:szCs w:val="20"/>
                <w:lang w:eastAsia="en-GB"/>
              </w:rPr>
              <w:t>1.</w:t>
            </w:r>
          </w:p>
        </w:tc>
        <w:tc>
          <w:tcPr>
            <w:tcW w:w="4183" w:type="pct"/>
          </w:tcPr>
          <w:p w14:paraId="24A2CADE" w14:textId="77777777" w:rsidR="005F6358" w:rsidRPr="00004070" w:rsidRDefault="005F6358" w:rsidP="00F13240">
            <w:pPr>
              <w:autoSpaceDE w:val="0"/>
              <w:autoSpaceDN w:val="0"/>
              <w:adjustRightInd w:val="0"/>
              <w:spacing w:after="120" w:line="276" w:lineRule="auto"/>
              <w:rPr>
                <w:rFonts w:eastAsia="Times New Roman" w:cs="Arial"/>
                <w:b/>
                <w:bCs/>
                <w:sz w:val="20"/>
                <w:szCs w:val="20"/>
                <w:lang w:eastAsia="en-GB"/>
              </w:rPr>
            </w:pPr>
            <w:r w:rsidRPr="00004070">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1D24F164" w:rsidR="005F6358" w:rsidRPr="00004070" w:rsidRDefault="005F6358" w:rsidP="00F13240">
            <w:pPr>
              <w:autoSpaceDE w:val="0"/>
              <w:autoSpaceDN w:val="0"/>
              <w:adjustRightInd w:val="0"/>
              <w:spacing w:after="120" w:line="276" w:lineRule="auto"/>
              <w:rPr>
                <w:rFonts w:eastAsia="Times New Roman" w:cs="Arial"/>
                <w:bCs/>
                <w:sz w:val="20"/>
                <w:szCs w:val="20"/>
                <w:lang w:eastAsia="en-GB"/>
              </w:rPr>
            </w:pPr>
            <w:r w:rsidRPr="00004070">
              <w:rPr>
                <w:rFonts w:eastAsia="Times New Roman" w:cs="Arial"/>
                <w:bCs/>
                <w:sz w:val="20"/>
                <w:szCs w:val="20"/>
                <w:lang w:eastAsia="en-GB"/>
              </w:rPr>
              <w:t xml:space="preserve">As the </w:t>
            </w:r>
            <w:r w:rsidR="00393C31" w:rsidRPr="00004070">
              <w:rPr>
                <w:rFonts w:eastAsia="Times New Roman" w:cs="Arial"/>
                <w:bCs/>
                <w:sz w:val="20"/>
                <w:szCs w:val="20"/>
                <w:lang w:eastAsia="en-GB"/>
              </w:rPr>
              <w:t>patient’s</w:t>
            </w:r>
            <w:r w:rsidRPr="00004070">
              <w:rPr>
                <w:rFonts w:eastAsia="Times New Roman" w:cs="Arial"/>
                <w:bCs/>
                <w:sz w:val="20"/>
                <w:szCs w:val="20"/>
                <w:lang w:eastAsia="en-GB"/>
              </w:rPr>
              <w:t xml:space="preserve"> primary care prescriber I do not feel clinically confident to manage this patient’s condition because</w:t>
            </w:r>
            <w:r w:rsidR="00393C31">
              <w:rPr>
                <w:rFonts w:eastAsia="Times New Roman" w:cs="Arial"/>
                <w:i/>
                <w:sz w:val="20"/>
                <w:szCs w:val="20"/>
              </w:rPr>
              <w:t xml:space="preserve"> </w:t>
            </w:r>
            <w:permStart w:id="278224755" w:edGrp="everyone"/>
            <w:permStart w:id="1995536715" w:edGrp="everyone" w:colFirst="2" w:colLast="2"/>
            <w:permStart w:id="2012035602" w:edGrp="everyone" w:colFirst="2" w:colLast="2"/>
            <w:r w:rsidR="00393C31">
              <w:rPr>
                <w:rFonts w:eastAsia="Times New Roman" w:cs="Arial"/>
                <w:i/>
                <w:sz w:val="20"/>
                <w:szCs w:val="20"/>
              </w:rPr>
              <w:t>insert reason</w:t>
            </w:r>
            <w:permEnd w:id="278224755"/>
            <w:r w:rsidRPr="00004070">
              <w:rPr>
                <w:rFonts w:eastAsia="Times New Roman" w:cs="Arial"/>
                <w:bCs/>
                <w:sz w:val="20"/>
                <w:szCs w:val="20"/>
                <w:lang w:eastAsia="en-GB"/>
              </w:rPr>
              <w:t xml:space="preserve">. </w:t>
            </w:r>
            <w:permEnd w:id="1995536715"/>
            <w:permEnd w:id="2012035602"/>
            <w:r w:rsidRPr="00004070">
              <w:rPr>
                <w:rFonts w:eastAsia="Times New Roman" w:cs="Arial"/>
                <w:bCs/>
                <w:sz w:val="20"/>
                <w:szCs w:val="20"/>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004070" w:rsidRDefault="005F6358" w:rsidP="00F13240">
            <w:pPr>
              <w:autoSpaceDE w:val="0"/>
              <w:autoSpaceDN w:val="0"/>
              <w:adjustRightInd w:val="0"/>
              <w:spacing w:after="120" w:line="276" w:lineRule="auto"/>
              <w:rPr>
                <w:rFonts w:eastAsia="Times New Roman" w:cs="Arial"/>
                <w:b/>
                <w:bCs/>
                <w:sz w:val="20"/>
                <w:szCs w:val="20"/>
                <w:lang w:eastAsia="en-GB"/>
              </w:rPr>
            </w:pPr>
            <w:r w:rsidRPr="00004070">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tr w:rsidR="005F6358" w:rsidRPr="00004070" w14:paraId="6095A7DF" w14:textId="77777777" w:rsidTr="00F13240">
        <w:trPr>
          <w:cantSplit/>
        </w:trPr>
        <w:tc>
          <w:tcPr>
            <w:tcW w:w="211" w:type="pct"/>
          </w:tcPr>
          <w:p w14:paraId="51095E2B"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1724323893" w:edGrp="everyone" w:colFirst="2" w:colLast="2"/>
            <w:permEnd w:id="1704869003"/>
            <w:r w:rsidRPr="00004070">
              <w:rPr>
                <w:rFonts w:eastAsia="Times New Roman" w:cs="Arial"/>
                <w:b/>
                <w:bCs/>
                <w:sz w:val="20"/>
                <w:szCs w:val="20"/>
                <w:lang w:eastAsia="en-GB"/>
              </w:rPr>
              <w:lastRenderedPageBreak/>
              <w:t>2.</w:t>
            </w:r>
          </w:p>
        </w:tc>
        <w:tc>
          <w:tcPr>
            <w:tcW w:w="4183" w:type="pct"/>
          </w:tcPr>
          <w:p w14:paraId="6F6E7B33" w14:textId="77777777" w:rsidR="005F6358" w:rsidRPr="00004070" w:rsidRDefault="005F6358" w:rsidP="00F13240">
            <w:pPr>
              <w:autoSpaceDE w:val="0"/>
              <w:autoSpaceDN w:val="0"/>
              <w:adjustRightInd w:val="0"/>
              <w:spacing w:after="120" w:line="276" w:lineRule="auto"/>
              <w:rPr>
                <w:rFonts w:eastAsia="Times New Roman" w:cs="Arial"/>
                <w:b/>
                <w:bCs/>
                <w:sz w:val="20"/>
                <w:szCs w:val="20"/>
                <w:lang w:eastAsia="en-GB"/>
              </w:rPr>
            </w:pPr>
            <w:r w:rsidRPr="00004070">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004070" w:rsidRDefault="005F6358" w:rsidP="00F13240">
            <w:pPr>
              <w:autoSpaceDE w:val="0"/>
              <w:autoSpaceDN w:val="0"/>
              <w:adjustRightInd w:val="0"/>
              <w:spacing w:after="120" w:line="276" w:lineRule="auto"/>
              <w:rPr>
                <w:rFonts w:eastAsia="Times New Roman" w:cs="Arial"/>
                <w:bCs/>
                <w:sz w:val="20"/>
                <w:szCs w:val="20"/>
                <w:lang w:eastAsia="en-GB"/>
              </w:rPr>
            </w:pPr>
            <w:r w:rsidRPr="00004070">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004070" w:rsidRDefault="005F6358" w:rsidP="00F13240">
            <w:pPr>
              <w:autoSpaceDE w:val="0"/>
              <w:autoSpaceDN w:val="0"/>
              <w:adjustRightInd w:val="0"/>
              <w:spacing w:after="120" w:line="276" w:lineRule="auto"/>
              <w:rPr>
                <w:rFonts w:eastAsia="Times New Roman" w:cs="Arial"/>
                <w:b/>
                <w:bCs/>
                <w:sz w:val="20"/>
                <w:szCs w:val="20"/>
                <w:lang w:eastAsia="en-GB"/>
              </w:rPr>
            </w:pPr>
            <w:r w:rsidRPr="00004070">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tr w:rsidR="005F6358" w:rsidRPr="00004070" w14:paraId="51D5B5F5" w14:textId="77777777" w:rsidTr="00F13240">
        <w:trPr>
          <w:cantSplit/>
        </w:trPr>
        <w:tc>
          <w:tcPr>
            <w:tcW w:w="211" w:type="pct"/>
          </w:tcPr>
          <w:p w14:paraId="68560AF9"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474753056" w:edGrp="everyone" w:colFirst="2" w:colLast="2"/>
            <w:permEnd w:id="1724323893"/>
            <w:r w:rsidRPr="00004070">
              <w:rPr>
                <w:rFonts w:eastAsia="Times New Roman" w:cs="Arial"/>
                <w:b/>
                <w:bCs/>
                <w:sz w:val="20"/>
                <w:szCs w:val="20"/>
                <w:lang w:eastAsia="en-GB"/>
              </w:rPr>
              <w:t>3.</w:t>
            </w:r>
          </w:p>
        </w:tc>
        <w:tc>
          <w:tcPr>
            <w:tcW w:w="4183" w:type="pct"/>
          </w:tcPr>
          <w:p w14:paraId="47EFE10D" w14:textId="77777777" w:rsidR="005F6358" w:rsidRPr="00004070" w:rsidRDefault="005F6358" w:rsidP="00F13240">
            <w:pPr>
              <w:autoSpaceDE w:val="0"/>
              <w:autoSpaceDN w:val="0"/>
              <w:adjustRightInd w:val="0"/>
              <w:spacing w:after="120" w:line="276" w:lineRule="auto"/>
              <w:rPr>
                <w:rFonts w:eastAsia="Times New Roman" w:cs="Arial"/>
                <w:b/>
                <w:bCs/>
                <w:sz w:val="20"/>
                <w:szCs w:val="20"/>
                <w:lang w:eastAsia="en-GB"/>
              </w:rPr>
            </w:pPr>
            <w:r w:rsidRPr="00004070">
              <w:rPr>
                <w:rFonts w:eastAsia="Times New Roman" w:cs="Arial"/>
                <w:b/>
                <w:bCs/>
                <w:sz w:val="20"/>
                <w:szCs w:val="20"/>
                <w:lang w:eastAsia="en-GB"/>
              </w:rPr>
              <w:t>A minimum duration of supply by the initiating clinician</w:t>
            </w:r>
          </w:p>
          <w:p w14:paraId="58998D75" w14:textId="77777777" w:rsidR="005F6358" w:rsidRPr="00004070" w:rsidRDefault="005F6358" w:rsidP="00F13240">
            <w:pPr>
              <w:autoSpaceDE w:val="0"/>
              <w:autoSpaceDN w:val="0"/>
              <w:adjustRightInd w:val="0"/>
              <w:spacing w:after="120" w:line="276" w:lineRule="auto"/>
              <w:rPr>
                <w:rFonts w:eastAsia="Times New Roman" w:cs="Arial"/>
                <w:b/>
                <w:i/>
                <w:sz w:val="20"/>
                <w:szCs w:val="20"/>
                <w:lang w:eastAsia="en-GB"/>
              </w:rPr>
            </w:pPr>
            <w:r w:rsidRPr="00004070">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004070" w:rsidRDefault="005F6358" w:rsidP="00F13240">
            <w:pPr>
              <w:autoSpaceDE w:val="0"/>
              <w:autoSpaceDN w:val="0"/>
              <w:adjustRightInd w:val="0"/>
              <w:spacing w:after="120" w:line="276" w:lineRule="auto"/>
              <w:rPr>
                <w:rFonts w:eastAsia="Times New Roman" w:cs="Arial"/>
                <w:sz w:val="20"/>
                <w:szCs w:val="20"/>
                <w:lang w:eastAsia="en-GB"/>
              </w:rPr>
            </w:pPr>
            <w:r w:rsidRPr="00004070">
              <w:rPr>
                <w:rFonts w:eastAsia="Times New Roman" w:cs="Arial"/>
                <w:b/>
                <w:i/>
                <w:sz w:val="20"/>
                <w:szCs w:val="20"/>
                <w:lang w:eastAsia="en-GB"/>
              </w:rPr>
              <w:t>Until the patient has had the appropriate length of supply the responsibility for providing the patient with their medication remains with you</w:t>
            </w:r>
            <w:r w:rsidRPr="00004070">
              <w:rPr>
                <w:rFonts w:eastAsia="Times New Roman" w:cs="Arial"/>
                <w:b/>
                <w:bCs/>
                <w:i/>
                <w:sz w:val="20"/>
                <w:szCs w:val="20"/>
                <w:lang w:eastAsia="en-GB"/>
              </w:rPr>
              <w:t>.</w:t>
            </w:r>
          </w:p>
        </w:tc>
        <w:tc>
          <w:tcPr>
            <w:tcW w:w="606" w:type="pct"/>
          </w:tcPr>
          <w:p w14:paraId="19AE6141"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tr w:rsidR="005F6358" w:rsidRPr="00004070" w14:paraId="089988B7" w14:textId="77777777" w:rsidTr="00F13240">
        <w:trPr>
          <w:cantSplit/>
        </w:trPr>
        <w:tc>
          <w:tcPr>
            <w:tcW w:w="211" w:type="pct"/>
          </w:tcPr>
          <w:p w14:paraId="0EB24C74"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1395084344" w:edGrp="everyone" w:colFirst="2" w:colLast="2"/>
            <w:permEnd w:id="474753056"/>
            <w:r w:rsidRPr="00004070">
              <w:rPr>
                <w:rFonts w:eastAsia="Times New Roman" w:cs="Arial"/>
                <w:b/>
                <w:bCs/>
                <w:sz w:val="20"/>
                <w:szCs w:val="20"/>
                <w:lang w:eastAsia="en-GB"/>
              </w:rPr>
              <w:t>4.</w:t>
            </w:r>
          </w:p>
        </w:tc>
        <w:tc>
          <w:tcPr>
            <w:tcW w:w="4183" w:type="pct"/>
          </w:tcPr>
          <w:p w14:paraId="692BA673"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r w:rsidRPr="00004070">
              <w:rPr>
                <w:rFonts w:eastAsia="Times New Roman" w:cs="Arial"/>
                <w:b/>
                <w:sz w:val="20"/>
                <w:szCs w:val="20"/>
                <w:lang w:eastAsia="en-GB"/>
              </w:rPr>
              <w:t>Initiation and optimisation by the initiating specialist</w:t>
            </w:r>
          </w:p>
          <w:p w14:paraId="4A9D7F57" w14:textId="77777777" w:rsidR="005F6358" w:rsidRPr="00004070" w:rsidRDefault="005F6358" w:rsidP="00F13240">
            <w:pPr>
              <w:autoSpaceDE w:val="0"/>
              <w:autoSpaceDN w:val="0"/>
              <w:adjustRightInd w:val="0"/>
              <w:spacing w:after="120" w:line="276" w:lineRule="auto"/>
              <w:rPr>
                <w:rFonts w:eastAsia="Times New Roman" w:cs="Arial"/>
                <w:b/>
                <w:i/>
                <w:sz w:val="20"/>
                <w:szCs w:val="20"/>
                <w:lang w:eastAsia="en-GB"/>
              </w:rPr>
            </w:pPr>
            <w:r w:rsidRPr="00004070">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004070" w:rsidRDefault="005F6358" w:rsidP="00F13240">
            <w:pPr>
              <w:autoSpaceDE w:val="0"/>
              <w:autoSpaceDN w:val="0"/>
              <w:adjustRightInd w:val="0"/>
              <w:spacing w:after="120" w:line="276" w:lineRule="auto"/>
              <w:rPr>
                <w:rFonts w:eastAsia="Times New Roman" w:cs="Arial"/>
                <w:b/>
                <w:i/>
                <w:sz w:val="20"/>
                <w:szCs w:val="20"/>
                <w:lang w:eastAsia="en-GB"/>
              </w:rPr>
            </w:pPr>
            <w:r w:rsidRPr="00004070">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tr w:rsidR="005F6358" w:rsidRPr="00004070" w14:paraId="2013151E" w14:textId="77777777" w:rsidTr="00F13240">
        <w:trPr>
          <w:cantSplit/>
        </w:trPr>
        <w:tc>
          <w:tcPr>
            <w:tcW w:w="211" w:type="pct"/>
          </w:tcPr>
          <w:p w14:paraId="051E7B39"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897677217" w:edGrp="everyone" w:colFirst="2" w:colLast="2"/>
            <w:permEnd w:id="1395084344"/>
            <w:r w:rsidRPr="00004070">
              <w:rPr>
                <w:rFonts w:eastAsia="Times New Roman" w:cs="Arial"/>
                <w:b/>
                <w:bCs/>
                <w:sz w:val="20"/>
                <w:szCs w:val="20"/>
                <w:lang w:eastAsia="en-GB"/>
              </w:rPr>
              <w:t>5.</w:t>
            </w:r>
          </w:p>
        </w:tc>
        <w:tc>
          <w:tcPr>
            <w:tcW w:w="4183" w:type="pct"/>
          </w:tcPr>
          <w:p w14:paraId="7D69E9A8"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r w:rsidRPr="00004070">
              <w:rPr>
                <w:rFonts w:eastAsia="Times New Roman" w:cs="Arial"/>
                <w:b/>
                <w:sz w:val="20"/>
                <w:szCs w:val="20"/>
                <w:lang w:eastAsia="en-GB"/>
              </w:rPr>
              <w:t>Shared Care Protocol not received</w:t>
            </w:r>
          </w:p>
          <w:p w14:paraId="6335DBD3" w14:textId="77777777" w:rsidR="005F6358" w:rsidRPr="00004070" w:rsidRDefault="005F6358" w:rsidP="00F13240">
            <w:pPr>
              <w:autoSpaceDE w:val="0"/>
              <w:autoSpaceDN w:val="0"/>
              <w:adjustRightInd w:val="0"/>
              <w:spacing w:after="120" w:line="276" w:lineRule="auto"/>
              <w:rPr>
                <w:rFonts w:eastAsia="Times New Roman" w:cs="Arial"/>
                <w:b/>
                <w:i/>
                <w:sz w:val="20"/>
                <w:szCs w:val="20"/>
                <w:lang w:eastAsia="en-GB"/>
              </w:rPr>
            </w:pPr>
            <w:r w:rsidRPr="00004070">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004070">
              <w:rPr>
                <w:rFonts w:eastAsia="Times New Roman" w:cs="Arial"/>
                <w:b/>
                <w:i/>
                <w:sz w:val="20"/>
                <w:szCs w:val="20"/>
                <w:lang w:eastAsia="en-GB"/>
              </w:rPr>
              <w:t>.</w:t>
            </w:r>
          </w:p>
          <w:p w14:paraId="243F08FE" w14:textId="77777777" w:rsidR="005F6358" w:rsidRPr="00004070" w:rsidRDefault="005F6358" w:rsidP="00F13240">
            <w:pPr>
              <w:autoSpaceDE w:val="0"/>
              <w:autoSpaceDN w:val="0"/>
              <w:adjustRightInd w:val="0"/>
              <w:spacing w:after="120" w:line="276" w:lineRule="auto"/>
              <w:rPr>
                <w:rFonts w:eastAsia="Times New Roman" w:cs="Arial"/>
                <w:b/>
                <w:i/>
                <w:sz w:val="20"/>
                <w:szCs w:val="20"/>
                <w:lang w:eastAsia="en-GB"/>
              </w:rPr>
            </w:pPr>
            <w:r w:rsidRPr="00004070">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004070">
              <w:rPr>
                <w:rFonts w:eastAsia="Times New Roman" w:cs="Arial"/>
                <w:b/>
                <w:i/>
                <w:sz w:val="20"/>
                <w:szCs w:val="20"/>
                <w:lang w:eastAsia="en-GB"/>
              </w:rPr>
              <w:t xml:space="preserve">  </w:t>
            </w:r>
          </w:p>
          <w:p w14:paraId="2148BBDC" w14:textId="77777777" w:rsidR="005F6358" w:rsidRPr="00004070" w:rsidRDefault="005F6358" w:rsidP="00F13240">
            <w:pPr>
              <w:autoSpaceDE w:val="0"/>
              <w:autoSpaceDN w:val="0"/>
              <w:adjustRightInd w:val="0"/>
              <w:spacing w:after="120" w:line="276" w:lineRule="auto"/>
              <w:rPr>
                <w:rFonts w:eastAsia="Times New Roman" w:cs="Arial"/>
                <w:sz w:val="20"/>
                <w:szCs w:val="20"/>
                <w:lang w:eastAsia="en-GB"/>
              </w:rPr>
            </w:pPr>
            <w:r w:rsidRPr="00004070">
              <w:rPr>
                <w:rFonts w:eastAsia="Times New Roman" w:cs="Arial"/>
                <w:b/>
                <w:i/>
                <w:sz w:val="20"/>
                <w:szCs w:val="20"/>
                <w:lang w:eastAsia="en-GB"/>
              </w:rPr>
              <w:t>Until I receive the appropriate SCP, responsibility for providing the patient with their medication remains with you</w:t>
            </w:r>
            <w:r w:rsidRPr="00004070">
              <w:rPr>
                <w:rFonts w:eastAsia="Times New Roman" w:cs="Arial"/>
                <w:b/>
                <w:bCs/>
                <w:i/>
                <w:sz w:val="20"/>
                <w:szCs w:val="20"/>
                <w:lang w:eastAsia="en-GB"/>
              </w:rPr>
              <w:t>.</w:t>
            </w:r>
          </w:p>
        </w:tc>
        <w:tc>
          <w:tcPr>
            <w:tcW w:w="606" w:type="pct"/>
          </w:tcPr>
          <w:p w14:paraId="7E5BBA9D"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tr w:rsidR="005F6358" w:rsidRPr="00004070" w14:paraId="2B399447" w14:textId="77777777" w:rsidTr="00F13240">
        <w:trPr>
          <w:cantSplit/>
        </w:trPr>
        <w:tc>
          <w:tcPr>
            <w:tcW w:w="211" w:type="pct"/>
          </w:tcPr>
          <w:p w14:paraId="171DF1F3" w14:textId="77777777" w:rsidR="005F6358" w:rsidRPr="00004070" w:rsidRDefault="005F6358" w:rsidP="00F13240">
            <w:pPr>
              <w:autoSpaceDE w:val="0"/>
              <w:autoSpaceDN w:val="0"/>
              <w:adjustRightInd w:val="0"/>
              <w:spacing w:after="0" w:line="276" w:lineRule="auto"/>
              <w:rPr>
                <w:rFonts w:eastAsia="Times New Roman" w:cs="Arial"/>
                <w:b/>
                <w:bCs/>
                <w:sz w:val="20"/>
                <w:szCs w:val="20"/>
                <w:lang w:eastAsia="en-GB"/>
              </w:rPr>
            </w:pPr>
            <w:permStart w:id="649491367" w:edGrp="everyone" w:colFirst="2" w:colLast="2"/>
            <w:permEnd w:id="897677217"/>
            <w:r w:rsidRPr="00004070">
              <w:rPr>
                <w:rFonts w:eastAsia="Times New Roman" w:cs="Arial"/>
                <w:b/>
                <w:bCs/>
                <w:sz w:val="20"/>
                <w:szCs w:val="20"/>
                <w:lang w:eastAsia="en-GB"/>
              </w:rPr>
              <w:lastRenderedPageBreak/>
              <w:t>6.</w:t>
            </w:r>
          </w:p>
        </w:tc>
        <w:tc>
          <w:tcPr>
            <w:tcW w:w="4183" w:type="pct"/>
          </w:tcPr>
          <w:p w14:paraId="72D7A6C7" w14:textId="097097E2"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r w:rsidRPr="00004070">
              <w:rPr>
                <w:rFonts w:eastAsia="Times New Roman" w:cs="Arial"/>
                <w:b/>
                <w:sz w:val="20"/>
                <w:szCs w:val="20"/>
                <w:lang w:eastAsia="en-GB"/>
              </w:rPr>
              <w:t>Other (Primary Care Prescriber to complete if there are other reasons why shared care cannot be accepted)</w:t>
            </w:r>
            <w:r w:rsidR="00D2367B">
              <w:rPr>
                <w:rFonts w:eastAsia="Times New Roman" w:cs="Arial"/>
                <w:b/>
                <w:sz w:val="20"/>
                <w:szCs w:val="20"/>
                <w:lang w:eastAsia="en-GB"/>
              </w:rPr>
              <w:t xml:space="preserve">  </w:t>
            </w:r>
          </w:p>
          <w:p w14:paraId="562626A3"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004070"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004070" w:rsidRDefault="005F6358" w:rsidP="00F13240">
            <w:pPr>
              <w:autoSpaceDE w:val="0"/>
              <w:autoSpaceDN w:val="0"/>
              <w:adjustRightInd w:val="0"/>
              <w:spacing w:after="0" w:line="276" w:lineRule="auto"/>
              <w:rPr>
                <w:rFonts w:eastAsia="Times New Roman" w:cs="Arial"/>
                <w:b/>
                <w:bCs/>
                <w:sz w:val="18"/>
                <w:lang w:eastAsia="en-GB"/>
              </w:rPr>
            </w:pPr>
          </w:p>
        </w:tc>
      </w:tr>
      <w:permEnd w:id="649491367"/>
    </w:tbl>
    <w:p w14:paraId="5AFA3438" w14:textId="77777777" w:rsidR="005F6358" w:rsidRPr="00004070" w:rsidRDefault="005F6358" w:rsidP="005F6358">
      <w:pPr>
        <w:autoSpaceDE w:val="0"/>
        <w:autoSpaceDN w:val="0"/>
        <w:adjustRightInd w:val="0"/>
        <w:spacing w:after="0"/>
        <w:rPr>
          <w:rFonts w:eastAsia="Times New Roman" w:cs="Arial"/>
          <w:b/>
          <w:bCs/>
          <w:lang w:eastAsia="en-GB"/>
        </w:rPr>
      </w:pPr>
    </w:p>
    <w:p w14:paraId="4BB22CAC" w14:textId="77777777" w:rsidR="005F6358" w:rsidRPr="00004070" w:rsidRDefault="005F6358" w:rsidP="005F6358">
      <w:pPr>
        <w:autoSpaceDE w:val="0"/>
        <w:autoSpaceDN w:val="0"/>
        <w:adjustRightInd w:val="0"/>
        <w:spacing w:after="0"/>
        <w:rPr>
          <w:rFonts w:eastAsia="Times New Roman" w:cs="Arial"/>
          <w:bCs/>
          <w:lang w:eastAsia="en-GB"/>
        </w:rPr>
      </w:pPr>
      <w:r w:rsidRPr="00004070">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004070" w:rsidRDefault="005F6358" w:rsidP="005F6358">
      <w:pPr>
        <w:autoSpaceDE w:val="0"/>
        <w:autoSpaceDN w:val="0"/>
        <w:adjustRightInd w:val="0"/>
        <w:spacing w:after="0"/>
        <w:rPr>
          <w:rFonts w:eastAsia="Times New Roman" w:cs="Arial"/>
          <w:bCs/>
          <w:lang w:eastAsia="en-GB"/>
        </w:rPr>
      </w:pPr>
    </w:p>
    <w:p w14:paraId="0280FF79" w14:textId="77777777" w:rsidR="005F6358" w:rsidRPr="00004070" w:rsidRDefault="005F6358" w:rsidP="005F6358">
      <w:pPr>
        <w:autoSpaceDE w:val="0"/>
        <w:autoSpaceDN w:val="0"/>
        <w:adjustRightInd w:val="0"/>
        <w:spacing w:after="0"/>
        <w:rPr>
          <w:rFonts w:eastAsia="Times New Roman" w:cs="Arial"/>
          <w:lang w:eastAsia="en-GB"/>
        </w:rPr>
      </w:pPr>
      <w:r w:rsidRPr="00004070">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004070" w:rsidRDefault="005F6358" w:rsidP="005F6358">
      <w:pPr>
        <w:autoSpaceDE w:val="0"/>
        <w:autoSpaceDN w:val="0"/>
        <w:adjustRightInd w:val="0"/>
        <w:spacing w:after="0"/>
        <w:rPr>
          <w:rFonts w:eastAsia="Times New Roman" w:cs="Arial"/>
          <w:lang w:eastAsia="en-GB"/>
        </w:rPr>
      </w:pPr>
    </w:p>
    <w:p w14:paraId="7DD8E7BA" w14:textId="77777777" w:rsidR="005F6358" w:rsidRPr="00004070" w:rsidRDefault="005F6358" w:rsidP="005F6358">
      <w:pPr>
        <w:autoSpaceDE w:val="0"/>
        <w:autoSpaceDN w:val="0"/>
        <w:adjustRightInd w:val="0"/>
        <w:spacing w:after="0"/>
        <w:rPr>
          <w:rFonts w:eastAsia="Times New Roman" w:cs="Arial"/>
          <w:lang w:eastAsia="en-GB"/>
        </w:rPr>
      </w:pPr>
      <w:r w:rsidRPr="00004070">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004070" w:rsidRDefault="005F6358" w:rsidP="005F6358">
      <w:pPr>
        <w:autoSpaceDE w:val="0"/>
        <w:autoSpaceDN w:val="0"/>
        <w:adjustRightInd w:val="0"/>
        <w:spacing w:after="0"/>
        <w:rPr>
          <w:rFonts w:eastAsia="Times New Roman" w:cs="Arial"/>
          <w:lang w:eastAsia="en-GB"/>
        </w:rPr>
      </w:pPr>
    </w:p>
    <w:p w14:paraId="55351CD5" w14:textId="77777777" w:rsidR="005F6358" w:rsidRPr="00004070" w:rsidRDefault="005F6358" w:rsidP="005F6358">
      <w:pPr>
        <w:spacing w:after="0"/>
        <w:rPr>
          <w:rFonts w:eastAsia="Times New Roman" w:cs="Arial"/>
          <w:lang w:eastAsia="en-GB"/>
        </w:rPr>
      </w:pPr>
      <w:r w:rsidRPr="00004070">
        <w:rPr>
          <w:rFonts w:eastAsia="Times New Roman" w:cs="Arial"/>
          <w:lang w:eastAsia="en-GB"/>
        </w:rPr>
        <w:t>Yours sincerely</w:t>
      </w:r>
    </w:p>
    <w:p w14:paraId="719FE9CC" w14:textId="77777777" w:rsidR="005F6358" w:rsidRPr="00004070" w:rsidRDefault="005F6358" w:rsidP="005F6358">
      <w:pPr>
        <w:spacing w:after="0" w:line="240" w:lineRule="auto"/>
        <w:rPr>
          <w:rFonts w:eastAsia="Times New Roman" w:cs="Arial"/>
          <w:lang w:eastAsia="en-GB"/>
        </w:rPr>
      </w:pPr>
    </w:p>
    <w:p w14:paraId="1ED92FD2" w14:textId="77777777" w:rsidR="005F6358" w:rsidRPr="00004070" w:rsidRDefault="005F6358" w:rsidP="005F6358">
      <w:pPr>
        <w:spacing w:after="0" w:line="240" w:lineRule="auto"/>
        <w:rPr>
          <w:rFonts w:eastAsia="Times New Roman" w:cs="Arial"/>
          <w:lang w:eastAsia="en-GB"/>
        </w:rPr>
      </w:pPr>
    </w:p>
    <w:p w14:paraId="7C6C5DF8" w14:textId="77777777" w:rsidR="00393C31" w:rsidRDefault="005F6358" w:rsidP="005F6358">
      <w:pPr>
        <w:autoSpaceDE w:val="0"/>
        <w:autoSpaceDN w:val="0"/>
        <w:adjustRightInd w:val="0"/>
        <w:spacing w:after="0" w:line="240" w:lineRule="auto"/>
        <w:rPr>
          <w:rFonts w:eastAsia="Times New Roman" w:cs="Arial"/>
          <w:b/>
          <w:bCs/>
        </w:rPr>
      </w:pPr>
      <w:r w:rsidRPr="00004070">
        <w:rPr>
          <w:rFonts w:eastAsia="Times New Roman" w:cs="Arial"/>
          <w:b/>
          <w:bCs/>
        </w:rPr>
        <w:t xml:space="preserve">Primary Care Prescriber signature: </w:t>
      </w:r>
      <w:permStart w:id="1483301079" w:edGrp="everyone"/>
      <w:permEnd w:id="1483301079"/>
      <w:r w:rsidRPr="00004070">
        <w:rPr>
          <w:rFonts w:eastAsia="Times New Roman" w:cs="Arial"/>
          <w:b/>
          <w:bCs/>
        </w:rPr>
        <w:t>_______________________________</w:t>
      </w:r>
      <w:r w:rsidRPr="00004070">
        <w:rPr>
          <w:rFonts w:eastAsia="Times New Roman" w:cs="Arial"/>
          <w:b/>
          <w:bCs/>
        </w:rPr>
        <w:tab/>
      </w:r>
    </w:p>
    <w:p w14:paraId="0D0C56BF" w14:textId="39BF56A9" w:rsidR="005F6358" w:rsidRPr="00004070" w:rsidRDefault="005F6358" w:rsidP="005F6358">
      <w:pPr>
        <w:autoSpaceDE w:val="0"/>
        <w:autoSpaceDN w:val="0"/>
        <w:adjustRightInd w:val="0"/>
        <w:spacing w:after="0" w:line="240" w:lineRule="auto"/>
        <w:rPr>
          <w:rFonts w:eastAsia="Times New Roman" w:cs="Arial"/>
          <w:b/>
          <w:bCs/>
        </w:rPr>
      </w:pPr>
      <w:r w:rsidRPr="00004070">
        <w:rPr>
          <w:rFonts w:eastAsia="Times New Roman" w:cs="Arial"/>
          <w:b/>
          <w:bCs/>
        </w:rPr>
        <w:t xml:space="preserve">Date: </w:t>
      </w:r>
      <w:permStart w:id="1894342294" w:edGrp="everyone"/>
      <w:permEnd w:id="1894342294"/>
      <w:r w:rsidRPr="00004070">
        <w:rPr>
          <w:rFonts w:eastAsia="Times New Roman" w:cs="Arial"/>
          <w:b/>
          <w:bCs/>
        </w:rPr>
        <w:t xml:space="preserve">____________ </w:t>
      </w:r>
    </w:p>
    <w:p w14:paraId="2D688D7E" w14:textId="77777777" w:rsidR="005F6358" w:rsidRPr="00004070" w:rsidRDefault="005F6358" w:rsidP="005F6358">
      <w:pPr>
        <w:autoSpaceDE w:val="0"/>
        <w:autoSpaceDN w:val="0"/>
        <w:adjustRightInd w:val="0"/>
        <w:spacing w:after="0" w:line="240" w:lineRule="auto"/>
        <w:rPr>
          <w:rFonts w:eastAsia="Times New Roman" w:cs="Arial"/>
          <w:b/>
          <w:bCs/>
        </w:rPr>
      </w:pPr>
    </w:p>
    <w:p w14:paraId="1F08E5C7" w14:textId="77777777" w:rsidR="005F6358" w:rsidRPr="00004070" w:rsidRDefault="005F6358" w:rsidP="005F6358">
      <w:pPr>
        <w:autoSpaceDE w:val="0"/>
        <w:autoSpaceDN w:val="0"/>
        <w:adjustRightInd w:val="0"/>
        <w:spacing w:after="0" w:line="240" w:lineRule="auto"/>
        <w:rPr>
          <w:rFonts w:eastAsia="Times New Roman" w:cs="Arial"/>
          <w:b/>
          <w:bCs/>
        </w:rPr>
      </w:pPr>
    </w:p>
    <w:p w14:paraId="3363D651" w14:textId="77777777" w:rsidR="005F6358" w:rsidRPr="00004070"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004070">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C06AB5">
      <w:type w:val="continuous"/>
      <w:pgSz w:w="11906" w:h="16838"/>
      <w:pgMar w:top="709"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4220" w14:textId="77777777" w:rsidR="00702CE6" w:rsidRDefault="00702CE6" w:rsidP="0087662D">
      <w:pPr>
        <w:spacing w:after="0" w:line="240" w:lineRule="auto"/>
      </w:pPr>
      <w:r>
        <w:separator/>
      </w:r>
    </w:p>
  </w:endnote>
  <w:endnote w:type="continuationSeparator" w:id="0">
    <w:p w14:paraId="0334468F" w14:textId="77777777" w:rsidR="00702CE6" w:rsidRDefault="00702CE6" w:rsidP="0087662D">
      <w:pPr>
        <w:spacing w:after="0" w:line="240" w:lineRule="auto"/>
      </w:pPr>
      <w:r>
        <w:continuationSeparator/>
      </w:r>
    </w:p>
  </w:endnote>
  <w:endnote w:type="continuationNotice" w:id="1">
    <w:p w14:paraId="5F4161D4" w14:textId="77777777" w:rsidR="00702CE6" w:rsidRDefault="00702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5"/>
        <w:szCs w:val="25"/>
      </w:rPr>
      <w:id w:val="1482272530"/>
      <w:docPartObj>
        <w:docPartGallery w:val="Page Numbers (Bottom of Page)"/>
        <w:docPartUnique/>
      </w:docPartObj>
    </w:sdtPr>
    <w:sdtEndPr>
      <w:rPr>
        <w:noProof/>
        <w:color w:val="auto"/>
        <w:sz w:val="24"/>
        <w:szCs w:val="22"/>
      </w:rPr>
    </w:sdtEndPr>
    <w:sdtContent>
      <w:p w14:paraId="610F42C1" w14:textId="3B6D077C" w:rsidR="00ED0997" w:rsidRPr="00242696" w:rsidRDefault="00ED0997" w:rsidP="00EF4D31">
        <w:pPr>
          <w:pStyle w:val="Footer"/>
          <w:tabs>
            <w:tab w:val="clear" w:pos="9026"/>
            <w:tab w:val="right" w:pos="9781"/>
          </w:tabs>
          <w:ind w:left="-907" w:right="-711"/>
          <w:rPr>
            <w:color w:val="808080" w:themeColor="background1" w:themeShade="80"/>
            <w:sz w:val="25"/>
            <w:szCs w:val="25"/>
          </w:rPr>
        </w:pPr>
        <w:r w:rsidRPr="00242696">
          <w:rPr>
            <w:color w:val="808080" w:themeColor="background1" w:themeShade="80"/>
            <w:sz w:val="25"/>
            <w:szCs w:val="25"/>
          </w:rPr>
          <w:fldChar w:fldCharType="begin"/>
        </w:r>
        <w:r w:rsidRPr="00242696">
          <w:rPr>
            <w:color w:val="808080" w:themeColor="background1" w:themeShade="80"/>
            <w:sz w:val="25"/>
            <w:szCs w:val="25"/>
          </w:rPr>
          <w:instrText xml:space="preserve"> page </w:instrText>
        </w:r>
        <w:r w:rsidRPr="00242696">
          <w:rPr>
            <w:color w:val="808080" w:themeColor="background1" w:themeShade="80"/>
            <w:sz w:val="25"/>
            <w:szCs w:val="25"/>
          </w:rPr>
          <w:fldChar w:fldCharType="separate"/>
        </w:r>
        <w:r w:rsidRPr="00242696">
          <w:rPr>
            <w:color w:val="808080" w:themeColor="background1" w:themeShade="80"/>
            <w:sz w:val="25"/>
            <w:szCs w:val="25"/>
          </w:rPr>
          <w:t>2</w:t>
        </w:r>
        <w:r w:rsidRPr="00242696">
          <w:rPr>
            <w:color w:val="808080" w:themeColor="background1" w:themeShade="80"/>
            <w:sz w:val="25"/>
            <w:szCs w:val="25"/>
          </w:rPr>
          <w:fldChar w:fldCharType="end"/>
        </w:r>
        <w:r w:rsidRPr="00242696">
          <w:rPr>
            <w:color w:val="808080" w:themeColor="background1" w:themeShade="80"/>
            <w:sz w:val="25"/>
            <w:szCs w:val="25"/>
          </w:rPr>
          <w:t xml:space="preserve">  </w:t>
        </w:r>
        <w:r w:rsidRPr="00242696">
          <w:rPr>
            <w:rStyle w:val="FooterPipe"/>
            <w:color w:val="808080" w:themeColor="background1" w:themeShade="80"/>
            <w:sz w:val="25"/>
            <w:szCs w:val="25"/>
          </w:rPr>
          <w:t>|</w:t>
        </w:r>
        <w:r w:rsidRPr="00242696">
          <w:rPr>
            <w:color w:val="808080" w:themeColor="background1" w:themeShade="80"/>
            <w:sz w:val="25"/>
            <w:szCs w:val="25"/>
          </w:rPr>
          <w:t xml:space="preserve">  National shared care protocol:</w:t>
        </w:r>
        <w:r w:rsidR="00242696" w:rsidRPr="00242696">
          <w:rPr>
            <w:b/>
            <w:bCs/>
            <w:color w:val="808080" w:themeColor="background1" w:themeShade="80"/>
            <w:sz w:val="32"/>
            <w:szCs w:val="32"/>
          </w:rPr>
          <w:t xml:space="preserve"> </w:t>
        </w:r>
        <w:r w:rsidR="00242696" w:rsidRPr="00242696">
          <w:rPr>
            <w:color w:val="808080" w:themeColor="background1" w:themeShade="80"/>
            <w:sz w:val="25"/>
            <w:szCs w:val="25"/>
          </w:rPr>
          <w:t>Azathioprine and mercaptopurine for patients within adult services (non-transplant indications)</w:t>
        </w:r>
      </w:p>
      <w:p w14:paraId="2389C9BF" w14:textId="77777777" w:rsidR="00242696" w:rsidRPr="00242696" w:rsidRDefault="00242696" w:rsidP="00EF4D31">
        <w:pPr>
          <w:pStyle w:val="Footer"/>
          <w:tabs>
            <w:tab w:val="clear" w:pos="9026"/>
            <w:tab w:val="right" w:pos="9781"/>
          </w:tabs>
          <w:ind w:left="-907" w:right="-711"/>
          <w:rPr>
            <w:sz w:val="25"/>
            <w:szCs w:val="25"/>
          </w:rPr>
        </w:pPr>
      </w:p>
      <w:p w14:paraId="4994ED65" w14:textId="1269D3F0" w:rsidR="00ED0997"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2815" w14:textId="77777777" w:rsidR="00702CE6" w:rsidRDefault="00702CE6" w:rsidP="0087662D">
      <w:pPr>
        <w:spacing w:after="0" w:line="240" w:lineRule="auto"/>
      </w:pPr>
      <w:r>
        <w:separator/>
      </w:r>
    </w:p>
  </w:footnote>
  <w:footnote w:type="continuationSeparator" w:id="0">
    <w:p w14:paraId="0BF33DD5" w14:textId="77777777" w:rsidR="00702CE6" w:rsidRDefault="00702CE6" w:rsidP="0087662D">
      <w:pPr>
        <w:spacing w:after="0" w:line="240" w:lineRule="auto"/>
      </w:pPr>
      <w:r>
        <w:continuationSeparator/>
      </w:r>
    </w:p>
  </w:footnote>
  <w:footnote w:type="continuationNotice" w:id="1">
    <w:p w14:paraId="1099283A" w14:textId="77777777" w:rsidR="00702CE6" w:rsidRDefault="00702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F7FC" w14:textId="77777777" w:rsidR="00225598" w:rsidRDefault="00225598" w:rsidP="00225598">
    <w:pPr>
      <w:pStyle w:val="Header"/>
    </w:pPr>
    <w:r>
      <w:rPr>
        <w:noProof/>
      </w:rPr>
      <w:drawing>
        <wp:anchor distT="0" distB="0" distL="114300" distR="114300" simplePos="0" relativeHeight="251658243" behindDoc="1" locked="0" layoutInCell="1" allowOverlap="1" wp14:anchorId="5A065D7B" wp14:editId="0E6D3B6F">
          <wp:simplePos x="0" y="0"/>
          <wp:positionH relativeFrom="page">
            <wp:posOffset>5800090</wp:posOffset>
          </wp:positionH>
          <wp:positionV relativeFrom="page">
            <wp:posOffset>510540</wp:posOffset>
          </wp:positionV>
          <wp:extent cx="1098000" cy="828000"/>
          <wp:effectExtent l="0" t="0" r="6985" b="0"/>
          <wp:wrapNone/>
          <wp:docPr id="480508733" name="Picture 48050873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6471" name="Picture 5764647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FA22A2B" wp14:editId="35C70820">
          <wp:simplePos x="0" y="0"/>
          <wp:positionH relativeFrom="column">
            <wp:posOffset>-381445</wp:posOffset>
          </wp:positionH>
          <wp:positionV relativeFrom="page">
            <wp:posOffset>583565</wp:posOffset>
          </wp:positionV>
          <wp:extent cx="1760400" cy="583200"/>
          <wp:effectExtent l="0" t="0" r="0" b="7620"/>
          <wp:wrapNone/>
          <wp:docPr id="1752427352" name="Picture 1752427352" descr="A green logo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22935" name="Picture 1186522935" descr="A green logo with words&#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AA7D72" w14:textId="77777777" w:rsidR="00B46135" w:rsidRDefault="00B46135">
    <w:pPr>
      <w:pStyle w:val="Header"/>
    </w:pPr>
  </w:p>
  <w:p w14:paraId="2B7339A2" w14:textId="77777777" w:rsidR="00225598" w:rsidRDefault="00225598">
    <w:pPr>
      <w:pStyle w:val="Header"/>
    </w:pPr>
  </w:p>
  <w:p w14:paraId="40AF56FD" w14:textId="77777777" w:rsidR="00225598" w:rsidRDefault="00225598">
    <w:pPr>
      <w:pStyle w:val="Header"/>
    </w:pPr>
  </w:p>
  <w:p w14:paraId="2BFFDF06" w14:textId="77777777" w:rsidR="00225598" w:rsidRDefault="00225598">
    <w:pPr>
      <w:pStyle w:val="Header"/>
    </w:pPr>
  </w:p>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225598" w14:paraId="70511CE9" w14:textId="77777777" w:rsidTr="005A2171">
      <w:trPr>
        <w:trHeight w:val="642"/>
      </w:trPr>
      <w:sdt>
        <w:sdtPr>
          <w:alias w:val="Protective Marking"/>
          <w:tag w:val="Protective Marking"/>
          <w:id w:val="821166230"/>
          <w:placeholder>
            <w:docPart w:val="AEDFAC6AAFB04FD9AF879E4F8A9AAABC"/>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5974C908" w14:textId="77777777" w:rsidR="00225598" w:rsidRDefault="00225598" w:rsidP="00225598">
              <w:pPr>
                <w:pStyle w:val="Classification"/>
              </w:pPr>
              <w:r>
                <w:t>Classification: Official</w:t>
              </w:r>
            </w:p>
          </w:tc>
        </w:sdtContent>
      </w:sdt>
    </w:tr>
    <w:tr w:rsidR="00225598" w14:paraId="093A07CC" w14:textId="77777777" w:rsidTr="005A2171">
      <w:tc>
        <w:tcPr>
          <w:tcW w:w="6727" w:type="dxa"/>
        </w:tcPr>
        <w:p w14:paraId="72CEF92C" w14:textId="77777777" w:rsidR="00225598" w:rsidRDefault="00225598" w:rsidP="00225598">
          <w:pPr>
            <w:pStyle w:val="Classification"/>
          </w:pPr>
          <w:r>
            <w:t>Publication approval reference: PAR1621_ix</w:t>
          </w:r>
        </w:p>
      </w:tc>
    </w:tr>
  </w:tbl>
  <w:p w14:paraId="7475CAFF" w14:textId="77777777" w:rsidR="00225598" w:rsidRDefault="00225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ED0997"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ED0997" w:rsidRDefault="00ED0997" w:rsidP="00C3089D">
              <w:pPr>
                <w:pStyle w:val="Classification"/>
              </w:pPr>
              <w:r>
                <w:t>Classification: Official</w:t>
              </w:r>
            </w:p>
          </w:tc>
        </w:sdtContent>
      </w:sdt>
    </w:tr>
    <w:tr w:rsidR="00ED0997" w14:paraId="059FB345" w14:textId="77777777" w:rsidTr="00C3089D">
      <w:tc>
        <w:tcPr>
          <w:tcW w:w="6727" w:type="dxa"/>
        </w:tcPr>
        <w:p w14:paraId="540958C7" w14:textId="551413B3" w:rsidR="00ED0997" w:rsidRDefault="00ED0997" w:rsidP="00C3089D">
          <w:pPr>
            <w:pStyle w:val="Classification"/>
          </w:pPr>
          <w:r>
            <w:t>Publication approval reference: PAR1621</w:t>
          </w:r>
          <w:r w:rsidR="00004070">
            <w:t>_ix</w:t>
          </w:r>
        </w:p>
      </w:tc>
    </w:tr>
  </w:tbl>
  <w:p w14:paraId="6C9D6A08" w14:textId="3091A24A" w:rsidR="00ED0997" w:rsidRDefault="00004070">
    <w:pPr>
      <w:pStyle w:val="Header"/>
    </w:pPr>
    <w:r>
      <w:rPr>
        <w:noProof/>
      </w:rPr>
      <w:drawing>
        <wp:anchor distT="0" distB="0" distL="114300" distR="114300" simplePos="0" relativeHeight="251658241" behindDoc="1" locked="0" layoutInCell="1" allowOverlap="1" wp14:anchorId="79827909" wp14:editId="682921F1">
          <wp:simplePos x="0" y="0"/>
          <wp:positionH relativeFrom="page">
            <wp:posOffset>5800090</wp:posOffset>
          </wp:positionH>
          <wp:positionV relativeFrom="page">
            <wp:posOffset>510540</wp:posOffset>
          </wp:positionV>
          <wp:extent cx="1098000" cy="828000"/>
          <wp:effectExtent l="0" t="0" r="6985" b="0"/>
          <wp:wrapNone/>
          <wp:docPr id="2096761825" name="Picture 209676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997">
      <w:rPr>
        <w:noProof/>
      </w:rPr>
      <w:drawing>
        <wp:anchor distT="0" distB="0" distL="114300" distR="114300" simplePos="0" relativeHeight="251658240" behindDoc="1" locked="0" layoutInCell="1" allowOverlap="1" wp14:anchorId="1B143649" wp14:editId="769E4D21">
          <wp:simplePos x="0" y="0"/>
          <wp:positionH relativeFrom="column">
            <wp:posOffset>-381445</wp:posOffset>
          </wp:positionH>
          <wp:positionV relativeFrom="page">
            <wp:posOffset>583565</wp:posOffset>
          </wp:positionV>
          <wp:extent cx="1760400" cy="583200"/>
          <wp:effectExtent l="0" t="0" r="0" b="7620"/>
          <wp:wrapNone/>
          <wp:docPr id="626621922" name="Picture 62662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BAB"/>
    <w:multiLevelType w:val="hybridMultilevel"/>
    <w:tmpl w:val="4A5C0E62"/>
    <w:lvl w:ilvl="0" w:tplc="3F145648">
      <w:start w:val="1"/>
      <w:numFmt w:val="bullet"/>
      <w:lvlText w:val=""/>
      <w:lvlJc w:val="left"/>
      <w:pPr>
        <w:ind w:left="720" w:hanging="360"/>
      </w:pPr>
      <w:rPr>
        <w:rFonts w:ascii="Symbol" w:hAnsi="Symbol" w:hint="default"/>
      </w:rPr>
    </w:lvl>
    <w:lvl w:ilvl="1" w:tplc="76C0230C">
      <w:start w:val="1"/>
      <w:numFmt w:val="bullet"/>
      <w:lvlText w:val="o"/>
      <w:lvlJc w:val="left"/>
      <w:pPr>
        <w:ind w:left="1440" w:hanging="360"/>
      </w:pPr>
      <w:rPr>
        <w:rFonts w:ascii="Courier New" w:hAnsi="Courier New" w:hint="default"/>
      </w:rPr>
    </w:lvl>
    <w:lvl w:ilvl="2" w:tplc="E332AD96">
      <w:start w:val="1"/>
      <w:numFmt w:val="bullet"/>
      <w:lvlText w:val=""/>
      <w:lvlJc w:val="left"/>
      <w:pPr>
        <w:ind w:left="2160" w:hanging="360"/>
      </w:pPr>
      <w:rPr>
        <w:rFonts w:ascii="Wingdings" w:hAnsi="Wingdings" w:hint="default"/>
      </w:rPr>
    </w:lvl>
    <w:lvl w:ilvl="3" w:tplc="F6140426">
      <w:start w:val="1"/>
      <w:numFmt w:val="bullet"/>
      <w:lvlText w:val=""/>
      <w:lvlJc w:val="left"/>
      <w:pPr>
        <w:ind w:left="2880" w:hanging="360"/>
      </w:pPr>
      <w:rPr>
        <w:rFonts w:ascii="Symbol" w:hAnsi="Symbol" w:hint="default"/>
      </w:rPr>
    </w:lvl>
    <w:lvl w:ilvl="4" w:tplc="7AF6914E">
      <w:start w:val="1"/>
      <w:numFmt w:val="bullet"/>
      <w:lvlText w:val="o"/>
      <w:lvlJc w:val="left"/>
      <w:pPr>
        <w:ind w:left="3600" w:hanging="360"/>
      </w:pPr>
      <w:rPr>
        <w:rFonts w:ascii="Courier New" w:hAnsi="Courier New" w:hint="default"/>
      </w:rPr>
    </w:lvl>
    <w:lvl w:ilvl="5" w:tplc="D0724694">
      <w:start w:val="1"/>
      <w:numFmt w:val="bullet"/>
      <w:lvlText w:val=""/>
      <w:lvlJc w:val="left"/>
      <w:pPr>
        <w:ind w:left="4320" w:hanging="360"/>
      </w:pPr>
      <w:rPr>
        <w:rFonts w:ascii="Wingdings" w:hAnsi="Wingdings" w:hint="default"/>
      </w:rPr>
    </w:lvl>
    <w:lvl w:ilvl="6" w:tplc="E77E7C94">
      <w:start w:val="1"/>
      <w:numFmt w:val="bullet"/>
      <w:lvlText w:val=""/>
      <w:lvlJc w:val="left"/>
      <w:pPr>
        <w:ind w:left="5040" w:hanging="360"/>
      </w:pPr>
      <w:rPr>
        <w:rFonts w:ascii="Symbol" w:hAnsi="Symbol" w:hint="default"/>
      </w:rPr>
    </w:lvl>
    <w:lvl w:ilvl="7" w:tplc="DEB6AD6C">
      <w:start w:val="1"/>
      <w:numFmt w:val="bullet"/>
      <w:lvlText w:val="o"/>
      <w:lvlJc w:val="left"/>
      <w:pPr>
        <w:ind w:left="5760" w:hanging="360"/>
      </w:pPr>
      <w:rPr>
        <w:rFonts w:ascii="Courier New" w:hAnsi="Courier New" w:hint="default"/>
      </w:rPr>
    </w:lvl>
    <w:lvl w:ilvl="8" w:tplc="7C762EC8">
      <w:start w:val="1"/>
      <w:numFmt w:val="bullet"/>
      <w:lvlText w:val=""/>
      <w:lvlJc w:val="left"/>
      <w:pPr>
        <w:ind w:left="6480" w:hanging="360"/>
      </w:pPr>
      <w:rPr>
        <w:rFonts w:ascii="Wingdings" w:hAnsi="Wingdings" w:hint="default"/>
      </w:rPr>
    </w:lvl>
  </w:abstractNum>
  <w:abstractNum w:abstractNumId="1" w15:restartNumberingAfterBreak="0">
    <w:nsid w:val="046A7FAE"/>
    <w:multiLevelType w:val="hybridMultilevel"/>
    <w:tmpl w:val="264EE83C"/>
    <w:lvl w:ilvl="0" w:tplc="EDC09778">
      <w:start w:val="1"/>
      <w:numFmt w:val="bullet"/>
      <w:lvlText w:val=""/>
      <w:lvlJc w:val="left"/>
      <w:pPr>
        <w:ind w:left="720" w:hanging="360"/>
      </w:pPr>
      <w:rPr>
        <w:rFonts w:ascii="Symbol" w:hAnsi="Symbol" w:hint="default"/>
      </w:rPr>
    </w:lvl>
    <w:lvl w:ilvl="1" w:tplc="75D26F42">
      <w:start w:val="1"/>
      <w:numFmt w:val="bullet"/>
      <w:lvlText w:val="o"/>
      <w:lvlJc w:val="left"/>
      <w:pPr>
        <w:ind w:left="1440" w:hanging="360"/>
      </w:pPr>
      <w:rPr>
        <w:rFonts w:ascii="Courier New" w:hAnsi="Courier New" w:hint="default"/>
      </w:rPr>
    </w:lvl>
    <w:lvl w:ilvl="2" w:tplc="C7D6EDB4">
      <w:start w:val="1"/>
      <w:numFmt w:val="bullet"/>
      <w:lvlText w:val=""/>
      <w:lvlJc w:val="left"/>
      <w:pPr>
        <w:ind w:left="2160" w:hanging="360"/>
      </w:pPr>
      <w:rPr>
        <w:rFonts w:ascii="Wingdings" w:hAnsi="Wingdings" w:hint="default"/>
      </w:rPr>
    </w:lvl>
    <w:lvl w:ilvl="3" w:tplc="B64AC674">
      <w:start w:val="1"/>
      <w:numFmt w:val="bullet"/>
      <w:lvlText w:val=""/>
      <w:lvlJc w:val="left"/>
      <w:pPr>
        <w:ind w:left="2880" w:hanging="360"/>
      </w:pPr>
      <w:rPr>
        <w:rFonts w:ascii="Symbol" w:hAnsi="Symbol" w:hint="default"/>
      </w:rPr>
    </w:lvl>
    <w:lvl w:ilvl="4" w:tplc="CC9C0560">
      <w:start w:val="1"/>
      <w:numFmt w:val="bullet"/>
      <w:lvlText w:val="o"/>
      <w:lvlJc w:val="left"/>
      <w:pPr>
        <w:ind w:left="3600" w:hanging="360"/>
      </w:pPr>
      <w:rPr>
        <w:rFonts w:ascii="Courier New" w:hAnsi="Courier New" w:hint="default"/>
      </w:rPr>
    </w:lvl>
    <w:lvl w:ilvl="5" w:tplc="840C35F8">
      <w:start w:val="1"/>
      <w:numFmt w:val="bullet"/>
      <w:lvlText w:val=""/>
      <w:lvlJc w:val="left"/>
      <w:pPr>
        <w:ind w:left="4320" w:hanging="360"/>
      </w:pPr>
      <w:rPr>
        <w:rFonts w:ascii="Wingdings" w:hAnsi="Wingdings" w:hint="default"/>
      </w:rPr>
    </w:lvl>
    <w:lvl w:ilvl="6" w:tplc="E738D30A">
      <w:start w:val="1"/>
      <w:numFmt w:val="bullet"/>
      <w:lvlText w:val=""/>
      <w:lvlJc w:val="left"/>
      <w:pPr>
        <w:ind w:left="5040" w:hanging="360"/>
      </w:pPr>
      <w:rPr>
        <w:rFonts w:ascii="Symbol" w:hAnsi="Symbol" w:hint="default"/>
      </w:rPr>
    </w:lvl>
    <w:lvl w:ilvl="7" w:tplc="D16E2766">
      <w:start w:val="1"/>
      <w:numFmt w:val="bullet"/>
      <w:lvlText w:val="o"/>
      <w:lvlJc w:val="left"/>
      <w:pPr>
        <w:ind w:left="5760" w:hanging="360"/>
      </w:pPr>
      <w:rPr>
        <w:rFonts w:ascii="Courier New" w:hAnsi="Courier New" w:hint="default"/>
      </w:rPr>
    </w:lvl>
    <w:lvl w:ilvl="8" w:tplc="EBA608B8">
      <w:start w:val="1"/>
      <w:numFmt w:val="bullet"/>
      <w:lvlText w:val=""/>
      <w:lvlJc w:val="left"/>
      <w:pPr>
        <w:ind w:left="6480" w:hanging="360"/>
      </w:pPr>
      <w:rPr>
        <w:rFonts w:ascii="Wingdings" w:hAnsi="Wingdings" w:hint="default"/>
      </w:rPr>
    </w:lvl>
  </w:abstractNum>
  <w:abstractNum w:abstractNumId="2" w15:restartNumberingAfterBreak="0">
    <w:nsid w:val="09AF3131"/>
    <w:multiLevelType w:val="hybridMultilevel"/>
    <w:tmpl w:val="A72CAC80"/>
    <w:lvl w:ilvl="0" w:tplc="1872135A">
      <w:start w:val="1"/>
      <w:numFmt w:val="bullet"/>
      <w:lvlText w:val=""/>
      <w:lvlJc w:val="left"/>
      <w:pPr>
        <w:ind w:left="1080" w:hanging="360"/>
      </w:pPr>
      <w:rPr>
        <w:rFonts w:ascii="Symbol" w:hAnsi="Symbol" w:hint="default"/>
      </w:rPr>
    </w:lvl>
    <w:lvl w:ilvl="1" w:tplc="C736021A">
      <w:start w:val="1"/>
      <w:numFmt w:val="bullet"/>
      <w:lvlText w:val="o"/>
      <w:lvlJc w:val="left"/>
      <w:pPr>
        <w:ind w:left="1800" w:hanging="360"/>
      </w:pPr>
      <w:rPr>
        <w:rFonts w:ascii="Courier New" w:hAnsi="Courier New" w:hint="default"/>
      </w:rPr>
    </w:lvl>
    <w:lvl w:ilvl="2" w:tplc="FE4EBBE6">
      <w:start w:val="1"/>
      <w:numFmt w:val="bullet"/>
      <w:lvlText w:val=""/>
      <w:lvlJc w:val="left"/>
      <w:pPr>
        <w:ind w:left="2520" w:hanging="360"/>
      </w:pPr>
      <w:rPr>
        <w:rFonts w:ascii="Wingdings" w:hAnsi="Wingdings" w:hint="default"/>
      </w:rPr>
    </w:lvl>
    <w:lvl w:ilvl="3" w:tplc="F26CA7AC">
      <w:start w:val="1"/>
      <w:numFmt w:val="bullet"/>
      <w:lvlText w:val=""/>
      <w:lvlJc w:val="left"/>
      <w:pPr>
        <w:ind w:left="3240" w:hanging="360"/>
      </w:pPr>
      <w:rPr>
        <w:rFonts w:ascii="Symbol" w:hAnsi="Symbol" w:hint="default"/>
      </w:rPr>
    </w:lvl>
    <w:lvl w:ilvl="4" w:tplc="12EA0A38">
      <w:start w:val="1"/>
      <w:numFmt w:val="bullet"/>
      <w:lvlText w:val="o"/>
      <w:lvlJc w:val="left"/>
      <w:pPr>
        <w:ind w:left="3960" w:hanging="360"/>
      </w:pPr>
      <w:rPr>
        <w:rFonts w:ascii="Courier New" w:hAnsi="Courier New" w:hint="default"/>
      </w:rPr>
    </w:lvl>
    <w:lvl w:ilvl="5" w:tplc="4476C1C2">
      <w:start w:val="1"/>
      <w:numFmt w:val="bullet"/>
      <w:lvlText w:val=""/>
      <w:lvlJc w:val="left"/>
      <w:pPr>
        <w:ind w:left="4680" w:hanging="360"/>
      </w:pPr>
      <w:rPr>
        <w:rFonts w:ascii="Wingdings" w:hAnsi="Wingdings" w:hint="default"/>
      </w:rPr>
    </w:lvl>
    <w:lvl w:ilvl="6" w:tplc="B7F8383C">
      <w:start w:val="1"/>
      <w:numFmt w:val="bullet"/>
      <w:lvlText w:val=""/>
      <w:lvlJc w:val="left"/>
      <w:pPr>
        <w:ind w:left="5400" w:hanging="360"/>
      </w:pPr>
      <w:rPr>
        <w:rFonts w:ascii="Symbol" w:hAnsi="Symbol" w:hint="default"/>
      </w:rPr>
    </w:lvl>
    <w:lvl w:ilvl="7" w:tplc="E5E64512">
      <w:start w:val="1"/>
      <w:numFmt w:val="bullet"/>
      <w:lvlText w:val="o"/>
      <w:lvlJc w:val="left"/>
      <w:pPr>
        <w:ind w:left="6120" w:hanging="360"/>
      </w:pPr>
      <w:rPr>
        <w:rFonts w:ascii="Courier New" w:hAnsi="Courier New" w:hint="default"/>
      </w:rPr>
    </w:lvl>
    <w:lvl w:ilvl="8" w:tplc="27207128">
      <w:start w:val="1"/>
      <w:numFmt w:val="bullet"/>
      <w:lvlText w:val=""/>
      <w:lvlJc w:val="left"/>
      <w:pPr>
        <w:ind w:left="6840" w:hanging="360"/>
      </w:pPr>
      <w:rPr>
        <w:rFonts w:ascii="Wingdings" w:hAnsi="Wingdings" w:hint="default"/>
      </w:rPr>
    </w:lvl>
  </w:abstractNum>
  <w:abstractNum w:abstractNumId="3" w15:restartNumberingAfterBreak="0">
    <w:nsid w:val="10997EA6"/>
    <w:multiLevelType w:val="hybridMultilevel"/>
    <w:tmpl w:val="B62EA308"/>
    <w:lvl w:ilvl="0" w:tplc="E79877C8">
      <w:start w:val="1"/>
      <w:numFmt w:val="bullet"/>
      <w:lvlText w:val=""/>
      <w:lvlJc w:val="left"/>
      <w:pPr>
        <w:ind w:left="720" w:hanging="360"/>
      </w:pPr>
      <w:rPr>
        <w:rFonts w:ascii="Symbol" w:hAnsi="Symbol" w:hint="default"/>
        <w:color w:val="auto"/>
      </w:rPr>
    </w:lvl>
    <w:lvl w:ilvl="1" w:tplc="044C2358">
      <w:start w:val="1"/>
      <w:numFmt w:val="bullet"/>
      <w:lvlText w:val="o"/>
      <w:lvlJc w:val="left"/>
      <w:pPr>
        <w:ind w:left="1440" w:hanging="360"/>
      </w:pPr>
      <w:rPr>
        <w:rFonts w:ascii="Courier New" w:hAnsi="Courier New" w:hint="default"/>
      </w:rPr>
    </w:lvl>
    <w:lvl w:ilvl="2" w:tplc="511AD80A">
      <w:start w:val="1"/>
      <w:numFmt w:val="bullet"/>
      <w:lvlText w:val=""/>
      <w:lvlJc w:val="left"/>
      <w:pPr>
        <w:ind w:left="2160" w:hanging="360"/>
      </w:pPr>
      <w:rPr>
        <w:rFonts w:ascii="Wingdings" w:hAnsi="Wingdings" w:hint="default"/>
      </w:rPr>
    </w:lvl>
    <w:lvl w:ilvl="3" w:tplc="B6B822B4">
      <w:start w:val="1"/>
      <w:numFmt w:val="bullet"/>
      <w:lvlText w:val=""/>
      <w:lvlJc w:val="left"/>
      <w:pPr>
        <w:ind w:left="2880" w:hanging="360"/>
      </w:pPr>
      <w:rPr>
        <w:rFonts w:ascii="Symbol" w:hAnsi="Symbol" w:hint="default"/>
      </w:rPr>
    </w:lvl>
    <w:lvl w:ilvl="4" w:tplc="B30A32E0">
      <w:start w:val="1"/>
      <w:numFmt w:val="bullet"/>
      <w:lvlText w:val="o"/>
      <w:lvlJc w:val="left"/>
      <w:pPr>
        <w:ind w:left="3600" w:hanging="360"/>
      </w:pPr>
      <w:rPr>
        <w:rFonts w:ascii="Courier New" w:hAnsi="Courier New" w:hint="default"/>
      </w:rPr>
    </w:lvl>
    <w:lvl w:ilvl="5" w:tplc="2A068B82">
      <w:start w:val="1"/>
      <w:numFmt w:val="bullet"/>
      <w:lvlText w:val=""/>
      <w:lvlJc w:val="left"/>
      <w:pPr>
        <w:ind w:left="4320" w:hanging="360"/>
      </w:pPr>
      <w:rPr>
        <w:rFonts w:ascii="Wingdings" w:hAnsi="Wingdings" w:hint="default"/>
      </w:rPr>
    </w:lvl>
    <w:lvl w:ilvl="6" w:tplc="8DA21414">
      <w:start w:val="1"/>
      <w:numFmt w:val="bullet"/>
      <w:lvlText w:val=""/>
      <w:lvlJc w:val="left"/>
      <w:pPr>
        <w:ind w:left="5040" w:hanging="360"/>
      </w:pPr>
      <w:rPr>
        <w:rFonts w:ascii="Symbol" w:hAnsi="Symbol" w:hint="default"/>
      </w:rPr>
    </w:lvl>
    <w:lvl w:ilvl="7" w:tplc="CA8E3F30">
      <w:start w:val="1"/>
      <w:numFmt w:val="bullet"/>
      <w:lvlText w:val="o"/>
      <w:lvlJc w:val="left"/>
      <w:pPr>
        <w:ind w:left="5760" w:hanging="360"/>
      </w:pPr>
      <w:rPr>
        <w:rFonts w:ascii="Courier New" w:hAnsi="Courier New" w:hint="default"/>
      </w:rPr>
    </w:lvl>
    <w:lvl w:ilvl="8" w:tplc="879E2210">
      <w:start w:val="1"/>
      <w:numFmt w:val="bullet"/>
      <w:lvlText w:val=""/>
      <w:lvlJc w:val="left"/>
      <w:pPr>
        <w:ind w:left="6480" w:hanging="360"/>
      </w:pPr>
      <w:rPr>
        <w:rFonts w:ascii="Wingdings" w:hAnsi="Wingdings" w:hint="default"/>
      </w:rPr>
    </w:lvl>
  </w:abstractNum>
  <w:abstractNum w:abstractNumId="4" w15:restartNumberingAfterBreak="0">
    <w:nsid w:val="1BBD67AD"/>
    <w:multiLevelType w:val="hybridMultilevel"/>
    <w:tmpl w:val="43384AB8"/>
    <w:lvl w:ilvl="0" w:tplc="035E7A48">
      <w:start w:val="1"/>
      <w:numFmt w:val="bullet"/>
      <w:lvlText w:val=""/>
      <w:lvlJc w:val="left"/>
      <w:pPr>
        <w:ind w:left="720" w:hanging="360"/>
      </w:pPr>
      <w:rPr>
        <w:rFonts w:ascii="Symbol" w:hAnsi="Symbol" w:hint="default"/>
      </w:rPr>
    </w:lvl>
    <w:lvl w:ilvl="1" w:tplc="A1409546">
      <w:start w:val="1"/>
      <w:numFmt w:val="bullet"/>
      <w:lvlText w:val="o"/>
      <w:lvlJc w:val="left"/>
      <w:pPr>
        <w:ind w:left="1440" w:hanging="360"/>
      </w:pPr>
      <w:rPr>
        <w:rFonts w:ascii="Courier New" w:hAnsi="Courier New" w:hint="default"/>
      </w:rPr>
    </w:lvl>
    <w:lvl w:ilvl="2" w:tplc="1F9CF6D4">
      <w:start w:val="1"/>
      <w:numFmt w:val="bullet"/>
      <w:lvlText w:val=""/>
      <w:lvlJc w:val="left"/>
      <w:pPr>
        <w:ind w:left="2160" w:hanging="360"/>
      </w:pPr>
      <w:rPr>
        <w:rFonts w:ascii="Wingdings" w:hAnsi="Wingdings" w:hint="default"/>
      </w:rPr>
    </w:lvl>
    <w:lvl w:ilvl="3" w:tplc="CDA85054">
      <w:start w:val="1"/>
      <w:numFmt w:val="bullet"/>
      <w:lvlText w:val=""/>
      <w:lvlJc w:val="left"/>
      <w:pPr>
        <w:ind w:left="2880" w:hanging="360"/>
      </w:pPr>
      <w:rPr>
        <w:rFonts w:ascii="Symbol" w:hAnsi="Symbol" w:hint="default"/>
      </w:rPr>
    </w:lvl>
    <w:lvl w:ilvl="4" w:tplc="FF527790">
      <w:start w:val="1"/>
      <w:numFmt w:val="bullet"/>
      <w:lvlText w:val="o"/>
      <w:lvlJc w:val="left"/>
      <w:pPr>
        <w:ind w:left="3600" w:hanging="360"/>
      </w:pPr>
      <w:rPr>
        <w:rFonts w:ascii="Courier New" w:hAnsi="Courier New" w:hint="default"/>
      </w:rPr>
    </w:lvl>
    <w:lvl w:ilvl="5" w:tplc="75907200">
      <w:start w:val="1"/>
      <w:numFmt w:val="bullet"/>
      <w:lvlText w:val=""/>
      <w:lvlJc w:val="left"/>
      <w:pPr>
        <w:ind w:left="4320" w:hanging="360"/>
      </w:pPr>
      <w:rPr>
        <w:rFonts w:ascii="Wingdings" w:hAnsi="Wingdings" w:hint="default"/>
      </w:rPr>
    </w:lvl>
    <w:lvl w:ilvl="6" w:tplc="064AA134">
      <w:start w:val="1"/>
      <w:numFmt w:val="bullet"/>
      <w:lvlText w:val=""/>
      <w:lvlJc w:val="left"/>
      <w:pPr>
        <w:ind w:left="5040" w:hanging="360"/>
      </w:pPr>
      <w:rPr>
        <w:rFonts w:ascii="Symbol" w:hAnsi="Symbol" w:hint="default"/>
      </w:rPr>
    </w:lvl>
    <w:lvl w:ilvl="7" w:tplc="B652096A">
      <w:start w:val="1"/>
      <w:numFmt w:val="bullet"/>
      <w:lvlText w:val="o"/>
      <w:lvlJc w:val="left"/>
      <w:pPr>
        <w:ind w:left="5760" w:hanging="360"/>
      </w:pPr>
      <w:rPr>
        <w:rFonts w:ascii="Courier New" w:hAnsi="Courier New" w:hint="default"/>
      </w:rPr>
    </w:lvl>
    <w:lvl w:ilvl="8" w:tplc="8C3AF826">
      <w:start w:val="1"/>
      <w:numFmt w:val="bullet"/>
      <w:lvlText w:val=""/>
      <w:lvlJc w:val="left"/>
      <w:pPr>
        <w:ind w:left="6480" w:hanging="360"/>
      </w:pPr>
      <w:rPr>
        <w:rFonts w:ascii="Wingdings" w:hAnsi="Wingdings" w:hint="default"/>
      </w:rPr>
    </w:lvl>
  </w:abstractNum>
  <w:abstractNum w:abstractNumId="5" w15:restartNumberingAfterBreak="0">
    <w:nsid w:val="1DBC64F5"/>
    <w:multiLevelType w:val="hybridMultilevel"/>
    <w:tmpl w:val="92D8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944A7"/>
    <w:multiLevelType w:val="hybridMultilevel"/>
    <w:tmpl w:val="1FDC8078"/>
    <w:lvl w:ilvl="0" w:tplc="237A52FE">
      <w:start w:val="1"/>
      <w:numFmt w:val="bullet"/>
      <w:lvlText w:val=""/>
      <w:lvlJc w:val="left"/>
      <w:pPr>
        <w:ind w:left="720" w:hanging="360"/>
      </w:pPr>
      <w:rPr>
        <w:rFonts w:ascii="Symbol" w:hAnsi="Symbol" w:hint="default"/>
      </w:rPr>
    </w:lvl>
    <w:lvl w:ilvl="1" w:tplc="743EE5C0">
      <w:start w:val="1"/>
      <w:numFmt w:val="bullet"/>
      <w:lvlText w:val="o"/>
      <w:lvlJc w:val="left"/>
      <w:pPr>
        <w:ind w:left="1440" w:hanging="360"/>
      </w:pPr>
      <w:rPr>
        <w:rFonts w:ascii="Courier New" w:hAnsi="Courier New" w:hint="default"/>
      </w:rPr>
    </w:lvl>
    <w:lvl w:ilvl="2" w:tplc="8CB8D970">
      <w:start w:val="1"/>
      <w:numFmt w:val="bullet"/>
      <w:lvlText w:val=""/>
      <w:lvlJc w:val="left"/>
      <w:pPr>
        <w:ind w:left="2160" w:hanging="360"/>
      </w:pPr>
      <w:rPr>
        <w:rFonts w:ascii="Wingdings" w:hAnsi="Wingdings" w:hint="default"/>
      </w:rPr>
    </w:lvl>
    <w:lvl w:ilvl="3" w:tplc="2006F0DA">
      <w:start w:val="1"/>
      <w:numFmt w:val="bullet"/>
      <w:lvlText w:val=""/>
      <w:lvlJc w:val="left"/>
      <w:pPr>
        <w:ind w:left="2880" w:hanging="360"/>
      </w:pPr>
      <w:rPr>
        <w:rFonts w:ascii="Symbol" w:hAnsi="Symbol" w:hint="default"/>
      </w:rPr>
    </w:lvl>
    <w:lvl w:ilvl="4" w:tplc="87A8CC50">
      <w:start w:val="1"/>
      <w:numFmt w:val="bullet"/>
      <w:lvlText w:val="o"/>
      <w:lvlJc w:val="left"/>
      <w:pPr>
        <w:ind w:left="3600" w:hanging="360"/>
      </w:pPr>
      <w:rPr>
        <w:rFonts w:ascii="Courier New" w:hAnsi="Courier New" w:hint="default"/>
      </w:rPr>
    </w:lvl>
    <w:lvl w:ilvl="5" w:tplc="D8888E04">
      <w:start w:val="1"/>
      <w:numFmt w:val="bullet"/>
      <w:lvlText w:val=""/>
      <w:lvlJc w:val="left"/>
      <w:pPr>
        <w:ind w:left="4320" w:hanging="360"/>
      </w:pPr>
      <w:rPr>
        <w:rFonts w:ascii="Wingdings" w:hAnsi="Wingdings" w:hint="default"/>
      </w:rPr>
    </w:lvl>
    <w:lvl w:ilvl="6" w:tplc="C2DC05C6">
      <w:start w:val="1"/>
      <w:numFmt w:val="bullet"/>
      <w:lvlText w:val=""/>
      <w:lvlJc w:val="left"/>
      <w:pPr>
        <w:ind w:left="5040" w:hanging="360"/>
      </w:pPr>
      <w:rPr>
        <w:rFonts w:ascii="Symbol" w:hAnsi="Symbol" w:hint="default"/>
      </w:rPr>
    </w:lvl>
    <w:lvl w:ilvl="7" w:tplc="C1BE2930">
      <w:start w:val="1"/>
      <w:numFmt w:val="bullet"/>
      <w:lvlText w:val="o"/>
      <w:lvlJc w:val="left"/>
      <w:pPr>
        <w:ind w:left="5760" w:hanging="360"/>
      </w:pPr>
      <w:rPr>
        <w:rFonts w:ascii="Courier New" w:hAnsi="Courier New" w:hint="default"/>
      </w:rPr>
    </w:lvl>
    <w:lvl w:ilvl="8" w:tplc="709C6A10">
      <w:start w:val="1"/>
      <w:numFmt w:val="bullet"/>
      <w:lvlText w:val=""/>
      <w:lvlJc w:val="left"/>
      <w:pPr>
        <w:ind w:left="6480" w:hanging="360"/>
      </w:pPr>
      <w:rPr>
        <w:rFonts w:ascii="Wingdings" w:hAnsi="Wingdings" w:hint="default"/>
      </w:rPr>
    </w:lvl>
  </w:abstractNum>
  <w:abstractNum w:abstractNumId="7" w15:restartNumberingAfterBreak="0">
    <w:nsid w:val="25235805"/>
    <w:multiLevelType w:val="hybridMultilevel"/>
    <w:tmpl w:val="6B4E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D3133"/>
    <w:multiLevelType w:val="hybridMultilevel"/>
    <w:tmpl w:val="1A80F3F6"/>
    <w:lvl w:ilvl="0" w:tplc="B920AF04">
      <w:start w:val="1"/>
      <w:numFmt w:val="bullet"/>
      <w:lvlText w:val=""/>
      <w:lvlJc w:val="left"/>
      <w:pPr>
        <w:ind w:left="720" w:hanging="360"/>
      </w:pPr>
      <w:rPr>
        <w:rFonts w:ascii="Symbol" w:hAnsi="Symbol" w:hint="default"/>
      </w:rPr>
    </w:lvl>
    <w:lvl w:ilvl="1" w:tplc="C248DEB6">
      <w:start w:val="1"/>
      <w:numFmt w:val="bullet"/>
      <w:lvlText w:val=""/>
      <w:lvlJc w:val="left"/>
      <w:pPr>
        <w:ind w:left="1440" w:hanging="360"/>
      </w:pPr>
      <w:rPr>
        <w:rFonts w:ascii="Symbol" w:hAnsi="Symbol" w:hint="default"/>
      </w:rPr>
    </w:lvl>
    <w:lvl w:ilvl="2" w:tplc="8A5A2EBE">
      <w:start w:val="1"/>
      <w:numFmt w:val="bullet"/>
      <w:lvlText w:val=""/>
      <w:lvlJc w:val="left"/>
      <w:pPr>
        <w:ind w:left="2160" w:hanging="360"/>
      </w:pPr>
      <w:rPr>
        <w:rFonts w:ascii="Wingdings" w:hAnsi="Wingdings" w:hint="default"/>
      </w:rPr>
    </w:lvl>
    <w:lvl w:ilvl="3" w:tplc="BF18B49A">
      <w:start w:val="1"/>
      <w:numFmt w:val="bullet"/>
      <w:lvlText w:val=""/>
      <w:lvlJc w:val="left"/>
      <w:pPr>
        <w:ind w:left="2880" w:hanging="360"/>
      </w:pPr>
      <w:rPr>
        <w:rFonts w:ascii="Symbol" w:hAnsi="Symbol" w:hint="default"/>
      </w:rPr>
    </w:lvl>
    <w:lvl w:ilvl="4" w:tplc="0CB26AA6">
      <w:start w:val="1"/>
      <w:numFmt w:val="bullet"/>
      <w:lvlText w:val="o"/>
      <w:lvlJc w:val="left"/>
      <w:pPr>
        <w:ind w:left="3600" w:hanging="360"/>
      </w:pPr>
      <w:rPr>
        <w:rFonts w:ascii="Courier New" w:hAnsi="Courier New" w:hint="default"/>
      </w:rPr>
    </w:lvl>
    <w:lvl w:ilvl="5" w:tplc="EA489096">
      <w:start w:val="1"/>
      <w:numFmt w:val="bullet"/>
      <w:lvlText w:val=""/>
      <w:lvlJc w:val="left"/>
      <w:pPr>
        <w:ind w:left="4320" w:hanging="360"/>
      </w:pPr>
      <w:rPr>
        <w:rFonts w:ascii="Wingdings" w:hAnsi="Wingdings" w:hint="default"/>
      </w:rPr>
    </w:lvl>
    <w:lvl w:ilvl="6" w:tplc="2F0439B6">
      <w:start w:val="1"/>
      <w:numFmt w:val="bullet"/>
      <w:lvlText w:val=""/>
      <w:lvlJc w:val="left"/>
      <w:pPr>
        <w:ind w:left="5040" w:hanging="360"/>
      </w:pPr>
      <w:rPr>
        <w:rFonts w:ascii="Symbol" w:hAnsi="Symbol" w:hint="default"/>
      </w:rPr>
    </w:lvl>
    <w:lvl w:ilvl="7" w:tplc="80D88718">
      <w:start w:val="1"/>
      <w:numFmt w:val="bullet"/>
      <w:lvlText w:val="o"/>
      <w:lvlJc w:val="left"/>
      <w:pPr>
        <w:ind w:left="5760" w:hanging="360"/>
      </w:pPr>
      <w:rPr>
        <w:rFonts w:ascii="Courier New" w:hAnsi="Courier New" w:hint="default"/>
      </w:rPr>
    </w:lvl>
    <w:lvl w:ilvl="8" w:tplc="0EEE2A8E">
      <w:start w:val="1"/>
      <w:numFmt w:val="bullet"/>
      <w:lvlText w:val=""/>
      <w:lvlJc w:val="left"/>
      <w:pPr>
        <w:ind w:left="6480" w:hanging="360"/>
      </w:pPr>
      <w:rPr>
        <w:rFonts w:ascii="Wingdings" w:hAnsi="Wingdings" w:hint="default"/>
      </w:rPr>
    </w:lvl>
  </w:abstractNum>
  <w:abstractNum w:abstractNumId="9" w15:restartNumberingAfterBreak="0">
    <w:nsid w:val="278A0B7D"/>
    <w:multiLevelType w:val="hybridMultilevel"/>
    <w:tmpl w:val="CFA2FEC8"/>
    <w:lvl w:ilvl="0" w:tplc="6698724E">
      <w:start w:val="1"/>
      <w:numFmt w:val="bullet"/>
      <w:lvlText w:val=""/>
      <w:lvlJc w:val="left"/>
      <w:pPr>
        <w:ind w:left="6" w:hanging="360"/>
      </w:pPr>
      <w:rPr>
        <w:rFonts w:ascii="Symbol" w:hAnsi="Symbol" w:hint="default"/>
      </w:rPr>
    </w:lvl>
    <w:lvl w:ilvl="1" w:tplc="A89E298E">
      <w:start w:val="1"/>
      <w:numFmt w:val="bullet"/>
      <w:lvlText w:val="o"/>
      <w:lvlJc w:val="left"/>
      <w:pPr>
        <w:ind w:left="726" w:hanging="360"/>
      </w:pPr>
      <w:rPr>
        <w:rFonts w:ascii="Courier New" w:hAnsi="Courier New" w:hint="default"/>
      </w:rPr>
    </w:lvl>
    <w:lvl w:ilvl="2" w:tplc="9EBCFCA8">
      <w:start w:val="1"/>
      <w:numFmt w:val="bullet"/>
      <w:lvlText w:val=""/>
      <w:lvlJc w:val="left"/>
      <w:pPr>
        <w:ind w:left="1446" w:hanging="360"/>
      </w:pPr>
      <w:rPr>
        <w:rFonts w:ascii="Wingdings" w:hAnsi="Wingdings" w:hint="default"/>
      </w:rPr>
    </w:lvl>
    <w:lvl w:ilvl="3" w:tplc="40A08AD6">
      <w:start w:val="1"/>
      <w:numFmt w:val="bullet"/>
      <w:lvlText w:val=""/>
      <w:lvlJc w:val="left"/>
      <w:pPr>
        <w:ind w:left="2166" w:hanging="360"/>
      </w:pPr>
      <w:rPr>
        <w:rFonts w:ascii="Symbol" w:hAnsi="Symbol" w:hint="default"/>
      </w:rPr>
    </w:lvl>
    <w:lvl w:ilvl="4" w:tplc="DF5ED3E2">
      <w:start w:val="1"/>
      <w:numFmt w:val="bullet"/>
      <w:lvlText w:val="o"/>
      <w:lvlJc w:val="left"/>
      <w:pPr>
        <w:ind w:left="2886" w:hanging="360"/>
      </w:pPr>
      <w:rPr>
        <w:rFonts w:ascii="Courier New" w:hAnsi="Courier New" w:hint="default"/>
      </w:rPr>
    </w:lvl>
    <w:lvl w:ilvl="5" w:tplc="367478D6">
      <w:start w:val="1"/>
      <w:numFmt w:val="bullet"/>
      <w:lvlText w:val=""/>
      <w:lvlJc w:val="left"/>
      <w:pPr>
        <w:ind w:left="3606" w:hanging="360"/>
      </w:pPr>
      <w:rPr>
        <w:rFonts w:ascii="Wingdings" w:hAnsi="Wingdings" w:hint="default"/>
      </w:rPr>
    </w:lvl>
    <w:lvl w:ilvl="6" w:tplc="0B02B25E">
      <w:start w:val="1"/>
      <w:numFmt w:val="bullet"/>
      <w:lvlText w:val=""/>
      <w:lvlJc w:val="left"/>
      <w:pPr>
        <w:ind w:left="4326" w:hanging="360"/>
      </w:pPr>
      <w:rPr>
        <w:rFonts w:ascii="Symbol" w:hAnsi="Symbol" w:hint="default"/>
      </w:rPr>
    </w:lvl>
    <w:lvl w:ilvl="7" w:tplc="3B0C9E0E">
      <w:start w:val="1"/>
      <w:numFmt w:val="bullet"/>
      <w:lvlText w:val="o"/>
      <w:lvlJc w:val="left"/>
      <w:pPr>
        <w:ind w:left="5046" w:hanging="360"/>
      </w:pPr>
      <w:rPr>
        <w:rFonts w:ascii="Courier New" w:hAnsi="Courier New" w:hint="default"/>
      </w:rPr>
    </w:lvl>
    <w:lvl w:ilvl="8" w:tplc="EE54A04A">
      <w:start w:val="1"/>
      <w:numFmt w:val="bullet"/>
      <w:lvlText w:val=""/>
      <w:lvlJc w:val="left"/>
      <w:pPr>
        <w:ind w:left="5766" w:hanging="360"/>
      </w:pPr>
      <w:rPr>
        <w:rFonts w:ascii="Wingdings" w:hAnsi="Wingdings" w:hint="default"/>
      </w:rPr>
    </w:lvl>
  </w:abstractNum>
  <w:abstractNum w:abstractNumId="10"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7478C5"/>
    <w:multiLevelType w:val="hybridMultilevel"/>
    <w:tmpl w:val="BDC6EC04"/>
    <w:lvl w:ilvl="0" w:tplc="F2B238C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6A0018"/>
    <w:multiLevelType w:val="hybridMultilevel"/>
    <w:tmpl w:val="A6CEDC78"/>
    <w:lvl w:ilvl="0" w:tplc="62443D72">
      <w:start w:val="1"/>
      <w:numFmt w:val="bullet"/>
      <w:lvlText w:val=""/>
      <w:lvlJc w:val="left"/>
      <w:pPr>
        <w:ind w:left="720" w:hanging="360"/>
      </w:pPr>
      <w:rPr>
        <w:rFonts w:ascii="Symbol" w:hAnsi="Symbol" w:hint="default"/>
      </w:rPr>
    </w:lvl>
    <w:lvl w:ilvl="1" w:tplc="8C8E9E74">
      <w:start w:val="1"/>
      <w:numFmt w:val="bullet"/>
      <w:lvlText w:val="o"/>
      <w:lvlJc w:val="left"/>
      <w:pPr>
        <w:ind w:left="1440" w:hanging="360"/>
      </w:pPr>
      <w:rPr>
        <w:rFonts w:ascii="Courier New" w:hAnsi="Courier New" w:hint="default"/>
      </w:rPr>
    </w:lvl>
    <w:lvl w:ilvl="2" w:tplc="3BDE247E">
      <w:start w:val="1"/>
      <w:numFmt w:val="bullet"/>
      <w:lvlText w:val=""/>
      <w:lvlJc w:val="left"/>
      <w:pPr>
        <w:ind w:left="2160" w:hanging="360"/>
      </w:pPr>
      <w:rPr>
        <w:rFonts w:ascii="Wingdings" w:hAnsi="Wingdings" w:hint="default"/>
      </w:rPr>
    </w:lvl>
    <w:lvl w:ilvl="3" w:tplc="79C4B878">
      <w:start w:val="1"/>
      <w:numFmt w:val="bullet"/>
      <w:lvlText w:val=""/>
      <w:lvlJc w:val="left"/>
      <w:pPr>
        <w:ind w:left="2880" w:hanging="360"/>
      </w:pPr>
      <w:rPr>
        <w:rFonts w:ascii="Symbol" w:hAnsi="Symbol" w:hint="default"/>
      </w:rPr>
    </w:lvl>
    <w:lvl w:ilvl="4" w:tplc="7EC27414">
      <w:start w:val="1"/>
      <w:numFmt w:val="bullet"/>
      <w:lvlText w:val="o"/>
      <w:lvlJc w:val="left"/>
      <w:pPr>
        <w:ind w:left="3600" w:hanging="360"/>
      </w:pPr>
      <w:rPr>
        <w:rFonts w:ascii="Courier New" w:hAnsi="Courier New" w:hint="default"/>
      </w:rPr>
    </w:lvl>
    <w:lvl w:ilvl="5" w:tplc="9DB2343A">
      <w:start w:val="1"/>
      <w:numFmt w:val="bullet"/>
      <w:lvlText w:val=""/>
      <w:lvlJc w:val="left"/>
      <w:pPr>
        <w:ind w:left="4320" w:hanging="360"/>
      </w:pPr>
      <w:rPr>
        <w:rFonts w:ascii="Wingdings" w:hAnsi="Wingdings" w:hint="default"/>
      </w:rPr>
    </w:lvl>
    <w:lvl w:ilvl="6" w:tplc="1BEEF7A2">
      <w:start w:val="1"/>
      <w:numFmt w:val="bullet"/>
      <w:lvlText w:val=""/>
      <w:lvlJc w:val="left"/>
      <w:pPr>
        <w:ind w:left="5040" w:hanging="360"/>
      </w:pPr>
      <w:rPr>
        <w:rFonts w:ascii="Symbol" w:hAnsi="Symbol" w:hint="default"/>
      </w:rPr>
    </w:lvl>
    <w:lvl w:ilvl="7" w:tplc="BE6EF3F6">
      <w:start w:val="1"/>
      <w:numFmt w:val="bullet"/>
      <w:lvlText w:val="o"/>
      <w:lvlJc w:val="left"/>
      <w:pPr>
        <w:ind w:left="5760" w:hanging="360"/>
      </w:pPr>
      <w:rPr>
        <w:rFonts w:ascii="Courier New" w:hAnsi="Courier New" w:hint="default"/>
      </w:rPr>
    </w:lvl>
    <w:lvl w:ilvl="8" w:tplc="E7204C0C">
      <w:start w:val="1"/>
      <w:numFmt w:val="bullet"/>
      <w:lvlText w:val=""/>
      <w:lvlJc w:val="left"/>
      <w:pPr>
        <w:ind w:left="6480" w:hanging="360"/>
      </w:pPr>
      <w:rPr>
        <w:rFonts w:ascii="Wingdings" w:hAnsi="Wingdings" w:hint="default"/>
      </w:rPr>
    </w:lvl>
  </w:abstractNum>
  <w:abstractNum w:abstractNumId="15"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A4718F"/>
    <w:multiLevelType w:val="hybridMultilevel"/>
    <w:tmpl w:val="8DEAE9D6"/>
    <w:lvl w:ilvl="0" w:tplc="667877DC">
      <w:start w:val="1"/>
      <w:numFmt w:val="bullet"/>
      <w:lvlText w:val=""/>
      <w:lvlJc w:val="left"/>
      <w:pPr>
        <w:ind w:left="720" w:hanging="360"/>
      </w:pPr>
      <w:rPr>
        <w:rFonts w:ascii="Symbol" w:hAnsi="Symbol" w:hint="default"/>
      </w:rPr>
    </w:lvl>
    <w:lvl w:ilvl="1" w:tplc="D6AADE52">
      <w:start w:val="1"/>
      <w:numFmt w:val="bullet"/>
      <w:lvlText w:val="o"/>
      <w:lvlJc w:val="left"/>
      <w:pPr>
        <w:ind w:left="1440" w:hanging="360"/>
      </w:pPr>
      <w:rPr>
        <w:rFonts w:ascii="Courier New" w:hAnsi="Courier New" w:hint="default"/>
      </w:rPr>
    </w:lvl>
    <w:lvl w:ilvl="2" w:tplc="9FD67792">
      <w:start w:val="1"/>
      <w:numFmt w:val="bullet"/>
      <w:lvlText w:val=""/>
      <w:lvlJc w:val="left"/>
      <w:pPr>
        <w:ind w:left="2160" w:hanging="360"/>
      </w:pPr>
      <w:rPr>
        <w:rFonts w:ascii="Wingdings" w:hAnsi="Wingdings" w:hint="default"/>
      </w:rPr>
    </w:lvl>
    <w:lvl w:ilvl="3" w:tplc="93D6E52A">
      <w:start w:val="1"/>
      <w:numFmt w:val="bullet"/>
      <w:lvlText w:val=""/>
      <w:lvlJc w:val="left"/>
      <w:pPr>
        <w:ind w:left="2880" w:hanging="360"/>
      </w:pPr>
      <w:rPr>
        <w:rFonts w:ascii="Symbol" w:hAnsi="Symbol" w:hint="default"/>
      </w:rPr>
    </w:lvl>
    <w:lvl w:ilvl="4" w:tplc="1B8E6B72">
      <w:start w:val="1"/>
      <w:numFmt w:val="bullet"/>
      <w:lvlText w:val="o"/>
      <w:lvlJc w:val="left"/>
      <w:pPr>
        <w:ind w:left="3600" w:hanging="360"/>
      </w:pPr>
      <w:rPr>
        <w:rFonts w:ascii="Courier New" w:hAnsi="Courier New" w:hint="default"/>
      </w:rPr>
    </w:lvl>
    <w:lvl w:ilvl="5" w:tplc="78BA02D0">
      <w:start w:val="1"/>
      <w:numFmt w:val="bullet"/>
      <w:lvlText w:val=""/>
      <w:lvlJc w:val="left"/>
      <w:pPr>
        <w:ind w:left="4320" w:hanging="360"/>
      </w:pPr>
      <w:rPr>
        <w:rFonts w:ascii="Wingdings" w:hAnsi="Wingdings" w:hint="default"/>
      </w:rPr>
    </w:lvl>
    <w:lvl w:ilvl="6" w:tplc="5F70A3A4">
      <w:start w:val="1"/>
      <w:numFmt w:val="bullet"/>
      <w:lvlText w:val=""/>
      <w:lvlJc w:val="left"/>
      <w:pPr>
        <w:ind w:left="5040" w:hanging="360"/>
      </w:pPr>
      <w:rPr>
        <w:rFonts w:ascii="Symbol" w:hAnsi="Symbol" w:hint="default"/>
      </w:rPr>
    </w:lvl>
    <w:lvl w:ilvl="7" w:tplc="37AE78B0">
      <w:start w:val="1"/>
      <w:numFmt w:val="bullet"/>
      <w:lvlText w:val="o"/>
      <w:lvlJc w:val="left"/>
      <w:pPr>
        <w:ind w:left="5760" w:hanging="360"/>
      </w:pPr>
      <w:rPr>
        <w:rFonts w:ascii="Courier New" w:hAnsi="Courier New" w:hint="default"/>
      </w:rPr>
    </w:lvl>
    <w:lvl w:ilvl="8" w:tplc="96BEA4C8">
      <w:start w:val="1"/>
      <w:numFmt w:val="bullet"/>
      <w:lvlText w:val=""/>
      <w:lvlJc w:val="left"/>
      <w:pPr>
        <w:ind w:left="6480" w:hanging="360"/>
      </w:pPr>
      <w:rPr>
        <w:rFonts w:ascii="Wingdings" w:hAnsi="Wingdings" w:hint="default"/>
      </w:rPr>
    </w:lvl>
  </w:abstractNum>
  <w:abstractNum w:abstractNumId="17" w15:restartNumberingAfterBreak="0">
    <w:nsid w:val="409A216D"/>
    <w:multiLevelType w:val="hybridMultilevel"/>
    <w:tmpl w:val="350ED2DC"/>
    <w:lvl w:ilvl="0" w:tplc="D074A354">
      <w:start w:val="1"/>
      <w:numFmt w:val="bullet"/>
      <w:lvlText w:val=""/>
      <w:lvlJc w:val="left"/>
      <w:pPr>
        <w:ind w:left="720" w:hanging="360"/>
      </w:pPr>
      <w:rPr>
        <w:rFonts w:ascii="Symbol" w:hAnsi="Symbol" w:hint="default"/>
      </w:rPr>
    </w:lvl>
    <w:lvl w:ilvl="1" w:tplc="54640BF0">
      <w:start w:val="1"/>
      <w:numFmt w:val="bullet"/>
      <w:lvlText w:val="o"/>
      <w:lvlJc w:val="left"/>
      <w:pPr>
        <w:ind w:left="1440" w:hanging="360"/>
      </w:pPr>
      <w:rPr>
        <w:rFonts w:ascii="Courier New" w:hAnsi="Courier New" w:hint="default"/>
      </w:rPr>
    </w:lvl>
    <w:lvl w:ilvl="2" w:tplc="35C8968A">
      <w:start w:val="1"/>
      <w:numFmt w:val="bullet"/>
      <w:lvlText w:val=""/>
      <w:lvlJc w:val="left"/>
      <w:pPr>
        <w:ind w:left="2160" w:hanging="360"/>
      </w:pPr>
      <w:rPr>
        <w:rFonts w:ascii="Wingdings" w:hAnsi="Wingdings" w:hint="default"/>
      </w:rPr>
    </w:lvl>
    <w:lvl w:ilvl="3" w:tplc="A7BEAD3C">
      <w:start w:val="1"/>
      <w:numFmt w:val="bullet"/>
      <w:lvlText w:val=""/>
      <w:lvlJc w:val="left"/>
      <w:pPr>
        <w:ind w:left="2880" w:hanging="360"/>
      </w:pPr>
      <w:rPr>
        <w:rFonts w:ascii="Symbol" w:hAnsi="Symbol" w:hint="default"/>
      </w:rPr>
    </w:lvl>
    <w:lvl w:ilvl="4" w:tplc="84CADB14">
      <w:start w:val="1"/>
      <w:numFmt w:val="bullet"/>
      <w:lvlText w:val="o"/>
      <w:lvlJc w:val="left"/>
      <w:pPr>
        <w:ind w:left="3600" w:hanging="360"/>
      </w:pPr>
      <w:rPr>
        <w:rFonts w:ascii="Courier New" w:hAnsi="Courier New" w:hint="default"/>
      </w:rPr>
    </w:lvl>
    <w:lvl w:ilvl="5" w:tplc="4FDC02F6">
      <w:start w:val="1"/>
      <w:numFmt w:val="bullet"/>
      <w:lvlText w:val=""/>
      <w:lvlJc w:val="left"/>
      <w:pPr>
        <w:ind w:left="4320" w:hanging="360"/>
      </w:pPr>
      <w:rPr>
        <w:rFonts w:ascii="Wingdings" w:hAnsi="Wingdings" w:hint="default"/>
      </w:rPr>
    </w:lvl>
    <w:lvl w:ilvl="6" w:tplc="036CB026">
      <w:start w:val="1"/>
      <w:numFmt w:val="bullet"/>
      <w:lvlText w:val=""/>
      <w:lvlJc w:val="left"/>
      <w:pPr>
        <w:ind w:left="5040" w:hanging="360"/>
      </w:pPr>
      <w:rPr>
        <w:rFonts w:ascii="Symbol" w:hAnsi="Symbol" w:hint="default"/>
      </w:rPr>
    </w:lvl>
    <w:lvl w:ilvl="7" w:tplc="3F5E44B0">
      <w:start w:val="1"/>
      <w:numFmt w:val="bullet"/>
      <w:lvlText w:val="o"/>
      <w:lvlJc w:val="left"/>
      <w:pPr>
        <w:ind w:left="5760" w:hanging="360"/>
      </w:pPr>
      <w:rPr>
        <w:rFonts w:ascii="Courier New" w:hAnsi="Courier New" w:hint="default"/>
      </w:rPr>
    </w:lvl>
    <w:lvl w:ilvl="8" w:tplc="669AB530">
      <w:start w:val="1"/>
      <w:numFmt w:val="bullet"/>
      <w:lvlText w:val=""/>
      <w:lvlJc w:val="left"/>
      <w:pPr>
        <w:ind w:left="6480" w:hanging="360"/>
      </w:pPr>
      <w:rPr>
        <w:rFonts w:ascii="Wingdings" w:hAnsi="Wingdings" w:hint="default"/>
      </w:rPr>
    </w:lvl>
  </w:abstractNum>
  <w:abstractNum w:abstractNumId="18" w15:restartNumberingAfterBreak="0">
    <w:nsid w:val="43EF664C"/>
    <w:multiLevelType w:val="hybridMultilevel"/>
    <w:tmpl w:val="557A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CF0A7A"/>
    <w:multiLevelType w:val="hybridMultilevel"/>
    <w:tmpl w:val="5790B864"/>
    <w:lvl w:ilvl="0" w:tplc="8020E4FC">
      <w:start w:val="1"/>
      <w:numFmt w:val="bullet"/>
      <w:lvlText w:val="o"/>
      <w:lvlJc w:val="left"/>
      <w:pPr>
        <w:ind w:left="720" w:hanging="360"/>
      </w:pPr>
      <w:rPr>
        <w:rFonts w:ascii="Courier New" w:hAnsi="Courier New" w:hint="default"/>
      </w:rPr>
    </w:lvl>
    <w:lvl w:ilvl="1" w:tplc="41863CFC">
      <w:start w:val="1"/>
      <w:numFmt w:val="bullet"/>
      <w:lvlText w:val="o"/>
      <w:lvlJc w:val="left"/>
      <w:pPr>
        <w:ind w:left="1440" w:hanging="360"/>
      </w:pPr>
      <w:rPr>
        <w:rFonts w:ascii="Courier New" w:hAnsi="Courier New" w:hint="default"/>
      </w:rPr>
    </w:lvl>
    <w:lvl w:ilvl="2" w:tplc="FDF2BA94">
      <w:start w:val="1"/>
      <w:numFmt w:val="bullet"/>
      <w:lvlText w:val=""/>
      <w:lvlJc w:val="left"/>
      <w:pPr>
        <w:ind w:left="2160" w:hanging="360"/>
      </w:pPr>
      <w:rPr>
        <w:rFonts w:ascii="Wingdings" w:hAnsi="Wingdings" w:hint="default"/>
      </w:rPr>
    </w:lvl>
    <w:lvl w:ilvl="3" w:tplc="557019EA">
      <w:start w:val="1"/>
      <w:numFmt w:val="bullet"/>
      <w:lvlText w:val=""/>
      <w:lvlJc w:val="left"/>
      <w:pPr>
        <w:ind w:left="2880" w:hanging="360"/>
      </w:pPr>
      <w:rPr>
        <w:rFonts w:ascii="Symbol" w:hAnsi="Symbol" w:hint="default"/>
      </w:rPr>
    </w:lvl>
    <w:lvl w:ilvl="4" w:tplc="A556521A">
      <w:start w:val="1"/>
      <w:numFmt w:val="bullet"/>
      <w:lvlText w:val="o"/>
      <w:lvlJc w:val="left"/>
      <w:pPr>
        <w:ind w:left="3600" w:hanging="360"/>
      </w:pPr>
      <w:rPr>
        <w:rFonts w:ascii="Courier New" w:hAnsi="Courier New" w:hint="default"/>
      </w:rPr>
    </w:lvl>
    <w:lvl w:ilvl="5" w:tplc="1EAAA420">
      <w:start w:val="1"/>
      <w:numFmt w:val="bullet"/>
      <w:lvlText w:val=""/>
      <w:lvlJc w:val="left"/>
      <w:pPr>
        <w:ind w:left="4320" w:hanging="360"/>
      </w:pPr>
      <w:rPr>
        <w:rFonts w:ascii="Wingdings" w:hAnsi="Wingdings" w:hint="default"/>
      </w:rPr>
    </w:lvl>
    <w:lvl w:ilvl="6" w:tplc="D256D31C">
      <w:start w:val="1"/>
      <w:numFmt w:val="bullet"/>
      <w:lvlText w:val=""/>
      <w:lvlJc w:val="left"/>
      <w:pPr>
        <w:ind w:left="5040" w:hanging="360"/>
      </w:pPr>
      <w:rPr>
        <w:rFonts w:ascii="Symbol" w:hAnsi="Symbol" w:hint="default"/>
      </w:rPr>
    </w:lvl>
    <w:lvl w:ilvl="7" w:tplc="4EB60996">
      <w:start w:val="1"/>
      <w:numFmt w:val="bullet"/>
      <w:lvlText w:val="o"/>
      <w:lvlJc w:val="left"/>
      <w:pPr>
        <w:ind w:left="5760" w:hanging="360"/>
      </w:pPr>
      <w:rPr>
        <w:rFonts w:ascii="Courier New" w:hAnsi="Courier New" w:hint="default"/>
      </w:rPr>
    </w:lvl>
    <w:lvl w:ilvl="8" w:tplc="450432D2">
      <w:start w:val="1"/>
      <w:numFmt w:val="bullet"/>
      <w:lvlText w:val=""/>
      <w:lvlJc w:val="left"/>
      <w:pPr>
        <w:ind w:left="6480" w:hanging="360"/>
      </w:pPr>
      <w:rPr>
        <w:rFonts w:ascii="Wingdings" w:hAnsi="Wingdings" w:hint="default"/>
      </w:rPr>
    </w:lvl>
  </w:abstractNum>
  <w:abstractNum w:abstractNumId="23" w15:restartNumberingAfterBreak="0">
    <w:nsid w:val="70012AC1"/>
    <w:multiLevelType w:val="hybridMultilevel"/>
    <w:tmpl w:val="D8D0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02142"/>
    <w:multiLevelType w:val="hybridMultilevel"/>
    <w:tmpl w:val="C2E693E6"/>
    <w:lvl w:ilvl="0" w:tplc="75D256AA">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33CC"/>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2948DE"/>
    <w:multiLevelType w:val="hybridMultilevel"/>
    <w:tmpl w:val="265C1B98"/>
    <w:lvl w:ilvl="0" w:tplc="D918FF0A">
      <w:start w:val="1"/>
      <w:numFmt w:val="bullet"/>
      <w:lvlText w:val=""/>
      <w:lvlJc w:val="left"/>
      <w:pPr>
        <w:ind w:left="720" w:hanging="360"/>
      </w:pPr>
      <w:rPr>
        <w:rFonts w:ascii="Symbol" w:hAnsi="Symbol" w:hint="default"/>
      </w:rPr>
    </w:lvl>
    <w:lvl w:ilvl="1" w:tplc="B5D43C68">
      <w:start w:val="1"/>
      <w:numFmt w:val="bullet"/>
      <w:lvlText w:val="o"/>
      <w:lvlJc w:val="left"/>
      <w:pPr>
        <w:ind w:left="1440" w:hanging="360"/>
      </w:pPr>
      <w:rPr>
        <w:rFonts w:ascii="Courier New" w:hAnsi="Courier New" w:hint="default"/>
      </w:rPr>
    </w:lvl>
    <w:lvl w:ilvl="2" w:tplc="D2B8708C">
      <w:start w:val="1"/>
      <w:numFmt w:val="bullet"/>
      <w:lvlText w:val=""/>
      <w:lvlJc w:val="left"/>
      <w:pPr>
        <w:ind w:left="2160" w:hanging="360"/>
      </w:pPr>
      <w:rPr>
        <w:rFonts w:ascii="Wingdings" w:hAnsi="Wingdings" w:hint="default"/>
      </w:rPr>
    </w:lvl>
    <w:lvl w:ilvl="3" w:tplc="3A10E444">
      <w:start w:val="1"/>
      <w:numFmt w:val="bullet"/>
      <w:lvlText w:val=""/>
      <w:lvlJc w:val="left"/>
      <w:pPr>
        <w:ind w:left="2880" w:hanging="360"/>
      </w:pPr>
      <w:rPr>
        <w:rFonts w:ascii="Symbol" w:hAnsi="Symbol" w:hint="default"/>
      </w:rPr>
    </w:lvl>
    <w:lvl w:ilvl="4" w:tplc="9DA89D34">
      <w:start w:val="1"/>
      <w:numFmt w:val="bullet"/>
      <w:lvlText w:val="o"/>
      <w:lvlJc w:val="left"/>
      <w:pPr>
        <w:ind w:left="3600" w:hanging="360"/>
      </w:pPr>
      <w:rPr>
        <w:rFonts w:ascii="Courier New" w:hAnsi="Courier New" w:hint="default"/>
      </w:rPr>
    </w:lvl>
    <w:lvl w:ilvl="5" w:tplc="5F96907A">
      <w:start w:val="1"/>
      <w:numFmt w:val="bullet"/>
      <w:lvlText w:val=""/>
      <w:lvlJc w:val="left"/>
      <w:pPr>
        <w:ind w:left="4320" w:hanging="360"/>
      </w:pPr>
      <w:rPr>
        <w:rFonts w:ascii="Wingdings" w:hAnsi="Wingdings" w:hint="default"/>
      </w:rPr>
    </w:lvl>
    <w:lvl w:ilvl="6" w:tplc="FFCCD620">
      <w:start w:val="1"/>
      <w:numFmt w:val="bullet"/>
      <w:lvlText w:val=""/>
      <w:lvlJc w:val="left"/>
      <w:pPr>
        <w:ind w:left="5040" w:hanging="360"/>
      </w:pPr>
      <w:rPr>
        <w:rFonts w:ascii="Symbol" w:hAnsi="Symbol" w:hint="default"/>
      </w:rPr>
    </w:lvl>
    <w:lvl w:ilvl="7" w:tplc="49388132">
      <w:start w:val="1"/>
      <w:numFmt w:val="bullet"/>
      <w:lvlText w:val="o"/>
      <w:lvlJc w:val="left"/>
      <w:pPr>
        <w:ind w:left="5760" w:hanging="360"/>
      </w:pPr>
      <w:rPr>
        <w:rFonts w:ascii="Courier New" w:hAnsi="Courier New" w:hint="default"/>
      </w:rPr>
    </w:lvl>
    <w:lvl w:ilvl="8" w:tplc="E7621F1E">
      <w:start w:val="1"/>
      <w:numFmt w:val="bullet"/>
      <w:lvlText w:val=""/>
      <w:lvlJc w:val="left"/>
      <w:pPr>
        <w:ind w:left="6480" w:hanging="360"/>
      </w:pPr>
      <w:rPr>
        <w:rFonts w:ascii="Wingdings" w:hAnsi="Wingdings" w:hint="default"/>
      </w:rPr>
    </w:lvl>
  </w:abstractNum>
  <w:abstractNum w:abstractNumId="26"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50525"/>
    <w:multiLevelType w:val="hybridMultilevel"/>
    <w:tmpl w:val="06E4C9EE"/>
    <w:lvl w:ilvl="0" w:tplc="6698724E">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489517461">
    <w:abstractNumId w:val="8"/>
  </w:num>
  <w:num w:numId="2" w16cid:durableId="969628049">
    <w:abstractNumId w:val="21"/>
  </w:num>
  <w:num w:numId="3" w16cid:durableId="1189444464">
    <w:abstractNumId w:val="15"/>
  </w:num>
  <w:num w:numId="4" w16cid:durableId="547032780">
    <w:abstractNumId w:val="18"/>
  </w:num>
  <w:num w:numId="5" w16cid:durableId="430201590">
    <w:abstractNumId w:val="20"/>
  </w:num>
  <w:num w:numId="6" w16cid:durableId="1886217609">
    <w:abstractNumId w:val="7"/>
  </w:num>
  <w:num w:numId="7" w16cid:durableId="201089452">
    <w:abstractNumId w:val="11"/>
  </w:num>
  <w:num w:numId="8" w16cid:durableId="100030754">
    <w:abstractNumId w:val="5"/>
  </w:num>
  <w:num w:numId="9" w16cid:durableId="967861963">
    <w:abstractNumId w:val="19"/>
  </w:num>
  <w:num w:numId="10" w16cid:durableId="958418067">
    <w:abstractNumId w:val="13"/>
  </w:num>
  <w:num w:numId="11" w16cid:durableId="630402775">
    <w:abstractNumId w:val="23"/>
  </w:num>
  <w:num w:numId="12" w16cid:durableId="1239554098">
    <w:abstractNumId w:val="24"/>
  </w:num>
  <w:num w:numId="13" w16cid:durableId="1628505367">
    <w:abstractNumId w:val="12"/>
  </w:num>
  <w:num w:numId="14" w16cid:durableId="64954143">
    <w:abstractNumId w:val="9"/>
  </w:num>
  <w:num w:numId="15" w16cid:durableId="627052524">
    <w:abstractNumId w:val="4"/>
  </w:num>
  <w:num w:numId="16" w16cid:durableId="1542592246">
    <w:abstractNumId w:val="25"/>
  </w:num>
  <w:num w:numId="17" w16cid:durableId="1913814543">
    <w:abstractNumId w:val="17"/>
  </w:num>
  <w:num w:numId="18" w16cid:durableId="1327519157">
    <w:abstractNumId w:val="2"/>
  </w:num>
  <w:num w:numId="19" w16cid:durableId="44374318">
    <w:abstractNumId w:val="0"/>
  </w:num>
  <w:num w:numId="20" w16cid:durableId="1407069626">
    <w:abstractNumId w:val="22"/>
  </w:num>
  <w:num w:numId="21" w16cid:durableId="545457525">
    <w:abstractNumId w:val="14"/>
  </w:num>
  <w:num w:numId="22" w16cid:durableId="1506363412">
    <w:abstractNumId w:val="6"/>
  </w:num>
  <w:num w:numId="23" w16cid:durableId="395394221">
    <w:abstractNumId w:val="16"/>
  </w:num>
  <w:num w:numId="24" w16cid:durableId="1815875199">
    <w:abstractNumId w:val="1"/>
  </w:num>
  <w:num w:numId="25" w16cid:durableId="559947727">
    <w:abstractNumId w:val="3"/>
  </w:num>
  <w:num w:numId="26" w16cid:durableId="608582075">
    <w:abstractNumId w:val="27"/>
  </w:num>
  <w:num w:numId="27" w16cid:durableId="1249465418">
    <w:abstractNumId w:val="10"/>
  </w:num>
  <w:num w:numId="28" w16cid:durableId="502210103">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GArH1vhwkYMqzEFc59O/zGQuiBr6qlc6/6GPaaF10Cd6ro/WoZp5rQLO8GpBzB7zRRc7Q+R52f4LJIXQ0mI4rA==" w:salt="5sYTnoOeYGBSaABVfYBv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4070"/>
    <w:rsid w:val="00005713"/>
    <w:rsid w:val="0000752C"/>
    <w:rsid w:val="00011ECC"/>
    <w:rsid w:val="00026F7B"/>
    <w:rsid w:val="00027BF3"/>
    <w:rsid w:val="00031040"/>
    <w:rsid w:val="00032538"/>
    <w:rsid w:val="00033DA8"/>
    <w:rsid w:val="0003731C"/>
    <w:rsid w:val="00042AE7"/>
    <w:rsid w:val="00046C47"/>
    <w:rsid w:val="00055685"/>
    <w:rsid w:val="000625E5"/>
    <w:rsid w:val="00063544"/>
    <w:rsid w:val="000640A5"/>
    <w:rsid w:val="000652A2"/>
    <w:rsid w:val="00065565"/>
    <w:rsid w:val="00065775"/>
    <w:rsid w:val="00065B98"/>
    <w:rsid w:val="00067C8D"/>
    <w:rsid w:val="00070CFF"/>
    <w:rsid w:val="00075F33"/>
    <w:rsid w:val="0007627A"/>
    <w:rsid w:val="00080C62"/>
    <w:rsid w:val="00084DC3"/>
    <w:rsid w:val="00091F97"/>
    <w:rsid w:val="00092621"/>
    <w:rsid w:val="00092A73"/>
    <w:rsid w:val="0009626A"/>
    <w:rsid w:val="00096431"/>
    <w:rsid w:val="000979BA"/>
    <w:rsid w:val="000A1C3F"/>
    <w:rsid w:val="000A6D12"/>
    <w:rsid w:val="000B07CE"/>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0AD5"/>
    <w:rsid w:val="001130B8"/>
    <w:rsid w:val="001213C9"/>
    <w:rsid w:val="00127457"/>
    <w:rsid w:val="00127FD8"/>
    <w:rsid w:val="0013247F"/>
    <w:rsid w:val="00132FF4"/>
    <w:rsid w:val="0014209C"/>
    <w:rsid w:val="0014434C"/>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A7816"/>
    <w:rsid w:val="001B096D"/>
    <w:rsid w:val="001B7860"/>
    <w:rsid w:val="001C2FA2"/>
    <w:rsid w:val="001C3A2E"/>
    <w:rsid w:val="001C3E4B"/>
    <w:rsid w:val="001C57F1"/>
    <w:rsid w:val="001D1224"/>
    <w:rsid w:val="001D124F"/>
    <w:rsid w:val="001D20B3"/>
    <w:rsid w:val="001D2756"/>
    <w:rsid w:val="001E0A5E"/>
    <w:rsid w:val="001E1025"/>
    <w:rsid w:val="001E378C"/>
    <w:rsid w:val="001E3E2A"/>
    <w:rsid w:val="001E7AAA"/>
    <w:rsid w:val="001F04D1"/>
    <w:rsid w:val="001F2FFE"/>
    <w:rsid w:val="001F3C1D"/>
    <w:rsid w:val="001F4939"/>
    <w:rsid w:val="001F4CC8"/>
    <w:rsid w:val="001F4ECE"/>
    <w:rsid w:val="001F6FD3"/>
    <w:rsid w:val="00204611"/>
    <w:rsid w:val="00205AE1"/>
    <w:rsid w:val="002102CD"/>
    <w:rsid w:val="002109B2"/>
    <w:rsid w:val="002170F9"/>
    <w:rsid w:val="00221A17"/>
    <w:rsid w:val="0022471E"/>
    <w:rsid w:val="00225598"/>
    <w:rsid w:val="00230445"/>
    <w:rsid w:val="00230E62"/>
    <w:rsid w:val="00230F2C"/>
    <w:rsid w:val="00232C40"/>
    <w:rsid w:val="00234C3F"/>
    <w:rsid w:val="00236640"/>
    <w:rsid w:val="00237CAB"/>
    <w:rsid w:val="00242696"/>
    <w:rsid w:val="00243CF1"/>
    <w:rsid w:val="0024571E"/>
    <w:rsid w:val="00246A5F"/>
    <w:rsid w:val="00246CC5"/>
    <w:rsid w:val="00252052"/>
    <w:rsid w:val="00254A99"/>
    <w:rsid w:val="00256BBF"/>
    <w:rsid w:val="00264562"/>
    <w:rsid w:val="00271DA1"/>
    <w:rsid w:val="00271F18"/>
    <w:rsid w:val="00281F31"/>
    <w:rsid w:val="0028289C"/>
    <w:rsid w:val="002829B6"/>
    <w:rsid w:val="0028315B"/>
    <w:rsid w:val="0028743E"/>
    <w:rsid w:val="0029228C"/>
    <w:rsid w:val="00295135"/>
    <w:rsid w:val="002A07F2"/>
    <w:rsid w:val="002A1906"/>
    <w:rsid w:val="002A1D88"/>
    <w:rsid w:val="002A4121"/>
    <w:rsid w:val="002A451D"/>
    <w:rsid w:val="002B3965"/>
    <w:rsid w:val="002B6C74"/>
    <w:rsid w:val="002C1080"/>
    <w:rsid w:val="002C1756"/>
    <w:rsid w:val="002C1FC3"/>
    <w:rsid w:val="002C36BE"/>
    <w:rsid w:val="002C69B2"/>
    <w:rsid w:val="002D0399"/>
    <w:rsid w:val="002D2B0F"/>
    <w:rsid w:val="002D32AD"/>
    <w:rsid w:val="002D5EC6"/>
    <w:rsid w:val="002D6DA8"/>
    <w:rsid w:val="002E0340"/>
    <w:rsid w:val="002E64F1"/>
    <w:rsid w:val="002E689B"/>
    <w:rsid w:val="002F77E3"/>
    <w:rsid w:val="00300AFE"/>
    <w:rsid w:val="00303318"/>
    <w:rsid w:val="00304F65"/>
    <w:rsid w:val="00316A2C"/>
    <w:rsid w:val="0031762F"/>
    <w:rsid w:val="00320028"/>
    <w:rsid w:val="00321536"/>
    <w:rsid w:val="0032558C"/>
    <w:rsid w:val="00327EC5"/>
    <w:rsid w:val="00334710"/>
    <w:rsid w:val="00334B2C"/>
    <w:rsid w:val="00335640"/>
    <w:rsid w:val="00335935"/>
    <w:rsid w:val="00337F56"/>
    <w:rsid w:val="00340084"/>
    <w:rsid w:val="003422DE"/>
    <w:rsid w:val="0034687F"/>
    <w:rsid w:val="00347990"/>
    <w:rsid w:val="003512FF"/>
    <w:rsid w:val="003569AC"/>
    <w:rsid w:val="0035702F"/>
    <w:rsid w:val="00362B20"/>
    <w:rsid w:val="00364CD9"/>
    <w:rsid w:val="00370966"/>
    <w:rsid w:val="003736AF"/>
    <w:rsid w:val="003767F5"/>
    <w:rsid w:val="003832B6"/>
    <w:rsid w:val="00393796"/>
    <w:rsid w:val="00393C31"/>
    <w:rsid w:val="00395BCB"/>
    <w:rsid w:val="00397375"/>
    <w:rsid w:val="00397EA3"/>
    <w:rsid w:val="003A0310"/>
    <w:rsid w:val="003B03B0"/>
    <w:rsid w:val="003B5326"/>
    <w:rsid w:val="003C1546"/>
    <w:rsid w:val="003C291F"/>
    <w:rsid w:val="003C3337"/>
    <w:rsid w:val="003D0261"/>
    <w:rsid w:val="003D163E"/>
    <w:rsid w:val="003D3182"/>
    <w:rsid w:val="003D4B49"/>
    <w:rsid w:val="003D55E2"/>
    <w:rsid w:val="003D7CAD"/>
    <w:rsid w:val="003E25EA"/>
    <w:rsid w:val="003E6BAD"/>
    <w:rsid w:val="003E7515"/>
    <w:rsid w:val="003E7F57"/>
    <w:rsid w:val="003F3997"/>
    <w:rsid w:val="003F53C9"/>
    <w:rsid w:val="003F6D3E"/>
    <w:rsid w:val="00411634"/>
    <w:rsid w:val="00412A51"/>
    <w:rsid w:val="004206F9"/>
    <w:rsid w:val="0042420D"/>
    <w:rsid w:val="004243EF"/>
    <w:rsid w:val="00425C08"/>
    <w:rsid w:val="00426DE1"/>
    <w:rsid w:val="004301BF"/>
    <w:rsid w:val="00431CDC"/>
    <w:rsid w:val="00441F07"/>
    <w:rsid w:val="004470C5"/>
    <w:rsid w:val="004475E1"/>
    <w:rsid w:val="00447C55"/>
    <w:rsid w:val="00447EE2"/>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2B47"/>
    <w:rsid w:val="004A32C9"/>
    <w:rsid w:val="004A7EB4"/>
    <w:rsid w:val="004B1A68"/>
    <w:rsid w:val="004B3351"/>
    <w:rsid w:val="004B4FE2"/>
    <w:rsid w:val="004B59C6"/>
    <w:rsid w:val="004C0E0B"/>
    <w:rsid w:val="004C1AB5"/>
    <w:rsid w:val="004C3859"/>
    <w:rsid w:val="004D5869"/>
    <w:rsid w:val="004E4C61"/>
    <w:rsid w:val="004F0714"/>
    <w:rsid w:val="004F3450"/>
    <w:rsid w:val="004F5167"/>
    <w:rsid w:val="004F6F7E"/>
    <w:rsid w:val="0050582A"/>
    <w:rsid w:val="00505A68"/>
    <w:rsid w:val="0051050E"/>
    <w:rsid w:val="00511346"/>
    <w:rsid w:val="005137F4"/>
    <w:rsid w:val="00514D5F"/>
    <w:rsid w:val="00516C57"/>
    <w:rsid w:val="00527AE1"/>
    <w:rsid w:val="0053224C"/>
    <w:rsid w:val="005354DC"/>
    <w:rsid w:val="00536A18"/>
    <w:rsid w:val="005411A7"/>
    <w:rsid w:val="0054125F"/>
    <w:rsid w:val="00543DA8"/>
    <w:rsid w:val="00544899"/>
    <w:rsid w:val="00551E14"/>
    <w:rsid w:val="00553C58"/>
    <w:rsid w:val="00553DF7"/>
    <w:rsid w:val="005547D5"/>
    <w:rsid w:val="0056444A"/>
    <w:rsid w:val="00567D84"/>
    <w:rsid w:val="00570590"/>
    <w:rsid w:val="00576E09"/>
    <w:rsid w:val="00582F77"/>
    <w:rsid w:val="0059083D"/>
    <w:rsid w:val="00595041"/>
    <w:rsid w:val="00595B0A"/>
    <w:rsid w:val="005A01FF"/>
    <w:rsid w:val="005A175B"/>
    <w:rsid w:val="005A5C7B"/>
    <w:rsid w:val="005B431B"/>
    <w:rsid w:val="005C1E75"/>
    <w:rsid w:val="005C2276"/>
    <w:rsid w:val="005C2437"/>
    <w:rsid w:val="005C3015"/>
    <w:rsid w:val="005C48AE"/>
    <w:rsid w:val="005C61AE"/>
    <w:rsid w:val="005C78E5"/>
    <w:rsid w:val="005D08B4"/>
    <w:rsid w:val="005D2143"/>
    <w:rsid w:val="005E281F"/>
    <w:rsid w:val="005E541C"/>
    <w:rsid w:val="005E6488"/>
    <w:rsid w:val="005F463D"/>
    <w:rsid w:val="005F5130"/>
    <w:rsid w:val="005F6358"/>
    <w:rsid w:val="006025E4"/>
    <w:rsid w:val="00606660"/>
    <w:rsid w:val="00607027"/>
    <w:rsid w:val="0061214D"/>
    <w:rsid w:val="00612B55"/>
    <w:rsid w:val="006208B9"/>
    <w:rsid w:val="006214C8"/>
    <w:rsid w:val="006225C4"/>
    <w:rsid w:val="006242BB"/>
    <w:rsid w:val="006249F0"/>
    <w:rsid w:val="00624EE6"/>
    <w:rsid w:val="00626B5F"/>
    <w:rsid w:val="006270F1"/>
    <w:rsid w:val="006309F9"/>
    <w:rsid w:val="00637261"/>
    <w:rsid w:val="0064050C"/>
    <w:rsid w:val="006408B1"/>
    <w:rsid w:val="00646C4B"/>
    <w:rsid w:val="006505B0"/>
    <w:rsid w:val="006513D3"/>
    <w:rsid w:val="00651BD9"/>
    <w:rsid w:val="006521B8"/>
    <w:rsid w:val="00657F95"/>
    <w:rsid w:val="00666714"/>
    <w:rsid w:val="00672B9B"/>
    <w:rsid w:val="00672CD1"/>
    <w:rsid w:val="00673B7A"/>
    <w:rsid w:val="00684EB3"/>
    <w:rsid w:val="006968B6"/>
    <w:rsid w:val="006A0D51"/>
    <w:rsid w:val="006A1118"/>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F289F"/>
    <w:rsid w:val="006F28E4"/>
    <w:rsid w:val="006F3BBA"/>
    <w:rsid w:val="00702CE6"/>
    <w:rsid w:val="007033AD"/>
    <w:rsid w:val="0070429F"/>
    <w:rsid w:val="007052F5"/>
    <w:rsid w:val="007062A7"/>
    <w:rsid w:val="00706BA7"/>
    <w:rsid w:val="00707E5D"/>
    <w:rsid w:val="00712B97"/>
    <w:rsid w:val="007148DE"/>
    <w:rsid w:val="00715012"/>
    <w:rsid w:val="00715E23"/>
    <w:rsid w:val="00716548"/>
    <w:rsid w:val="00723BC1"/>
    <w:rsid w:val="007246D8"/>
    <w:rsid w:val="00727C2E"/>
    <w:rsid w:val="00730685"/>
    <w:rsid w:val="007315B9"/>
    <w:rsid w:val="0073175A"/>
    <w:rsid w:val="00733C34"/>
    <w:rsid w:val="0073587B"/>
    <w:rsid w:val="007359F4"/>
    <w:rsid w:val="00736F3B"/>
    <w:rsid w:val="00737CFE"/>
    <w:rsid w:val="007401C4"/>
    <w:rsid w:val="00742F60"/>
    <w:rsid w:val="00744A1A"/>
    <w:rsid w:val="007450A7"/>
    <w:rsid w:val="00747618"/>
    <w:rsid w:val="007555AA"/>
    <w:rsid w:val="00757E5D"/>
    <w:rsid w:val="00757F9E"/>
    <w:rsid w:val="007623B6"/>
    <w:rsid w:val="007634F4"/>
    <w:rsid w:val="0076450B"/>
    <w:rsid w:val="00765204"/>
    <w:rsid w:val="00774F7C"/>
    <w:rsid w:val="00781D0C"/>
    <w:rsid w:val="00790845"/>
    <w:rsid w:val="00792EA8"/>
    <w:rsid w:val="00794292"/>
    <w:rsid w:val="00797F3F"/>
    <w:rsid w:val="007A11FF"/>
    <w:rsid w:val="007A2AF0"/>
    <w:rsid w:val="007A3CC6"/>
    <w:rsid w:val="007A4A79"/>
    <w:rsid w:val="007B54C4"/>
    <w:rsid w:val="007B739A"/>
    <w:rsid w:val="007B74CC"/>
    <w:rsid w:val="007B76B0"/>
    <w:rsid w:val="007C2F00"/>
    <w:rsid w:val="007C6B10"/>
    <w:rsid w:val="007C6E86"/>
    <w:rsid w:val="007C7198"/>
    <w:rsid w:val="007C7494"/>
    <w:rsid w:val="007D4F4F"/>
    <w:rsid w:val="007D5EF9"/>
    <w:rsid w:val="007E228E"/>
    <w:rsid w:val="007E3539"/>
    <w:rsid w:val="007E4BD7"/>
    <w:rsid w:val="007E547C"/>
    <w:rsid w:val="007F3977"/>
    <w:rsid w:val="007F3F28"/>
    <w:rsid w:val="008009CB"/>
    <w:rsid w:val="00802960"/>
    <w:rsid w:val="00802BC6"/>
    <w:rsid w:val="00805F12"/>
    <w:rsid w:val="00806AB9"/>
    <w:rsid w:val="008210A6"/>
    <w:rsid w:val="00822096"/>
    <w:rsid w:val="00834505"/>
    <w:rsid w:val="008359A8"/>
    <w:rsid w:val="00841BE2"/>
    <w:rsid w:val="008426BA"/>
    <w:rsid w:val="00846240"/>
    <w:rsid w:val="008466C6"/>
    <w:rsid w:val="00846A4A"/>
    <w:rsid w:val="00847B11"/>
    <w:rsid w:val="00856710"/>
    <w:rsid w:val="008617F1"/>
    <w:rsid w:val="0086206F"/>
    <w:rsid w:val="00862DC4"/>
    <w:rsid w:val="00866650"/>
    <w:rsid w:val="00867FD9"/>
    <w:rsid w:val="00870BF4"/>
    <w:rsid w:val="00871AF9"/>
    <w:rsid w:val="00872D8A"/>
    <w:rsid w:val="0087662D"/>
    <w:rsid w:val="00877B39"/>
    <w:rsid w:val="00877E1D"/>
    <w:rsid w:val="008818E7"/>
    <w:rsid w:val="0088256F"/>
    <w:rsid w:val="008844B1"/>
    <w:rsid w:val="0088715B"/>
    <w:rsid w:val="0089120C"/>
    <w:rsid w:val="00891224"/>
    <w:rsid w:val="00892928"/>
    <w:rsid w:val="008A206B"/>
    <w:rsid w:val="008A2569"/>
    <w:rsid w:val="008A6DE5"/>
    <w:rsid w:val="008B44C1"/>
    <w:rsid w:val="008B4B43"/>
    <w:rsid w:val="008B6013"/>
    <w:rsid w:val="008D3057"/>
    <w:rsid w:val="008D5F8F"/>
    <w:rsid w:val="008D6AED"/>
    <w:rsid w:val="008E2FFD"/>
    <w:rsid w:val="008E37B7"/>
    <w:rsid w:val="008E584D"/>
    <w:rsid w:val="008E62E9"/>
    <w:rsid w:val="008F152B"/>
    <w:rsid w:val="008F47B1"/>
    <w:rsid w:val="009038BB"/>
    <w:rsid w:val="009052AA"/>
    <w:rsid w:val="009067F0"/>
    <w:rsid w:val="00907EB0"/>
    <w:rsid w:val="00911CAC"/>
    <w:rsid w:val="00912A1D"/>
    <w:rsid w:val="009142FC"/>
    <w:rsid w:val="00916006"/>
    <w:rsid w:val="00916DF6"/>
    <w:rsid w:val="00922068"/>
    <w:rsid w:val="00925464"/>
    <w:rsid w:val="00933A4C"/>
    <w:rsid w:val="00937BD7"/>
    <w:rsid w:val="00943E35"/>
    <w:rsid w:val="00944BA0"/>
    <w:rsid w:val="00946248"/>
    <w:rsid w:val="009509FD"/>
    <w:rsid w:val="00952C71"/>
    <w:rsid w:val="009533A6"/>
    <w:rsid w:val="00956C8E"/>
    <w:rsid w:val="009610F0"/>
    <w:rsid w:val="00964CEB"/>
    <w:rsid w:val="00965B22"/>
    <w:rsid w:val="009704AA"/>
    <w:rsid w:val="0097517B"/>
    <w:rsid w:val="00982031"/>
    <w:rsid w:val="00983EF3"/>
    <w:rsid w:val="00985C56"/>
    <w:rsid w:val="00986D3D"/>
    <w:rsid w:val="00987D3B"/>
    <w:rsid w:val="00992106"/>
    <w:rsid w:val="00995EAE"/>
    <w:rsid w:val="009A16D5"/>
    <w:rsid w:val="009A2F28"/>
    <w:rsid w:val="009A5568"/>
    <w:rsid w:val="009A5F87"/>
    <w:rsid w:val="009B36E7"/>
    <w:rsid w:val="009B44E1"/>
    <w:rsid w:val="009C1B55"/>
    <w:rsid w:val="009C4C14"/>
    <w:rsid w:val="009C57DE"/>
    <w:rsid w:val="009D16B5"/>
    <w:rsid w:val="009D1C3D"/>
    <w:rsid w:val="009D3D45"/>
    <w:rsid w:val="009D47A8"/>
    <w:rsid w:val="009E24CA"/>
    <w:rsid w:val="009E32B5"/>
    <w:rsid w:val="009E3461"/>
    <w:rsid w:val="009E3803"/>
    <w:rsid w:val="009E3840"/>
    <w:rsid w:val="009E6FC0"/>
    <w:rsid w:val="009F0A26"/>
    <w:rsid w:val="009F3E18"/>
    <w:rsid w:val="00A00BD0"/>
    <w:rsid w:val="00A0302F"/>
    <w:rsid w:val="00A0532B"/>
    <w:rsid w:val="00A063A1"/>
    <w:rsid w:val="00A07092"/>
    <w:rsid w:val="00A12522"/>
    <w:rsid w:val="00A125D3"/>
    <w:rsid w:val="00A16193"/>
    <w:rsid w:val="00A20A57"/>
    <w:rsid w:val="00A211B8"/>
    <w:rsid w:val="00A22608"/>
    <w:rsid w:val="00A257B8"/>
    <w:rsid w:val="00A32B8B"/>
    <w:rsid w:val="00A33B0A"/>
    <w:rsid w:val="00A371DB"/>
    <w:rsid w:val="00A4762E"/>
    <w:rsid w:val="00A523EE"/>
    <w:rsid w:val="00A525CA"/>
    <w:rsid w:val="00A54EC2"/>
    <w:rsid w:val="00A557C0"/>
    <w:rsid w:val="00A624F4"/>
    <w:rsid w:val="00A63ACD"/>
    <w:rsid w:val="00A6476C"/>
    <w:rsid w:val="00A64BF1"/>
    <w:rsid w:val="00A668C4"/>
    <w:rsid w:val="00A73796"/>
    <w:rsid w:val="00A75F99"/>
    <w:rsid w:val="00A807BD"/>
    <w:rsid w:val="00A81545"/>
    <w:rsid w:val="00A836C4"/>
    <w:rsid w:val="00A837C8"/>
    <w:rsid w:val="00A84C2C"/>
    <w:rsid w:val="00A84E41"/>
    <w:rsid w:val="00A96801"/>
    <w:rsid w:val="00AA3E21"/>
    <w:rsid w:val="00AA41D4"/>
    <w:rsid w:val="00AA4BBC"/>
    <w:rsid w:val="00AB0110"/>
    <w:rsid w:val="00AB2869"/>
    <w:rsid w:val="00AB5BA1"/>
    <w:rsid w:val="00AC1D52"/>
    <w:rsid w:val="00AC2931"/>
    <w:rsid w:val="00AC36B9"/>
    <w:rsid w:val="00AC5009"/>
    <w:rsid w:val="00AD44FD"/>
    <w:rsid w:val="00AE1969"/>
    <w:rsid w:val="00AE425C"/>
    <w:rsid w:val="00AE42DB"/>
    <w:rsid w:val="00AE53FD"/>
    <w:rsid w:val="00AE6586"/>
    <w:rsid w:val="00AF3F50"/>
    <w:rsid w:val="00AF61BD"/>
    <w:rsid w:val="00AF6D10"/>
    <w:rsid w:val="00B03457"/>
    <w:rsid w:val="00B04271"/>
    <w:rsid w:val="00B04282"/>
    <w:rsid w:val="00B04D9D"/>
    <w:rsid w:val="00B05C52"/>
    <w:rsid w:val="00B064C9"/>
    <w:rsid w:val="00B12334"/>
    <w:rsid w:val="00B125F5"/>
    <w:rsid w:val="00B14CA5"/>
    <w:rsid w:val="00B21815"/>
    <w:rsid w:val="00B234E7"/>
    <w:rsid w:val="00B27C36"/>
    <w:rsid w:val="00B30EDA"/>
    <w:rsid w:val="00B32EFF"/>
    <w:rsid w:val="00B33A9E"/>
    <w:rsid w:val="00B34A95"/>
    <w:rsid w:val="00B41B88"/>
    <w:rsid w:val="00B4379B"/>
    <w:rsid w:val="00B44A56"/>
    <w:rsid w:val="00B44E04"/>
    <w:rsid w:val="00B46135"/>
    <w:rsid w:val="00B47638"/>
    <w:rsid w:val="00B47F83"/>
    <w:rsid w:val="00B54B34"/>
    <w:rsid w:val="00B5529F"/>
    <w:rsid w:val="00B57455"/>
    <w:rsid w:val="00B606CC"/>
    <w:rsid w:val="00B61CA4"/>
    <w:rsid w:val="00B648CF"/>
    <w:rsid w:val="00B67DAB"/>
    <w:rsid w:val="00B708F7"/>
    <w:rsid w:val="00B712E5"/>
    <w:rsid w:val="00B71EE0"/>
    <w:rsid w:val="00B82416"/>
    <w:rsid w:val="00B82EBB"/>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BF5E44"/>
    <w:rsid w:val="00C00D54"/>
    <w:rsid w:val="00C01923"/>
    <w:rsid w:val="00C06AB5"/>
    <w:rsid w:val="00C13AA2"/>
    <w:rsid w:val="00C23329"/>
    <w:rsid w:val="00C238DB"/>
    <w:rsid w:val="00C23955"/>
    <w:rsid w:val="00C24F4B"/>
    <w:rsid w:val="00C275E9"/>
    <w:rsid w:val="00C27AA2"/>
    <w:rsid w:val="00C3089D"/>
    <w:rsid w:val="00C32D59"/>
    <w:rsid w:val="00C32F9E"/>
    <w:rsid w:val="00C3345A"/>
    <w:rsid w:val="00C369E9"/>
    <w:rsid w:val="00C467D5"/>
    <w:rsid w:val="00C46976"/>
    <w:rsid w:val="00C5228B"/>
    <w:rsid w:val="00C527A1"/>
    <w:rsid w:val="00C62383"/>
    <w:rsid w:val="00C6A8F0"/>
    <w:rsid w:val="00C73CAA"/>
    <w:rsid w:val="00C823A4"/>
    <w:rsid w:val="00C83A02"/>
    <w:rsid w:val="00C83BAF"/>
    <w:rsid w:val="00C85511"/>
    <w:rsid w:val="00C861B6"/>
    <w:rsid w:val="00C87950"/>
    <w:rsid w:val="00C9099E"/>
    <w:rsid w:val="00C92AFF"/>
    <w:rsid w:val="00C95E86"/>
    <w:rsid w:val="00CA1398"/>
    <w:rsid w:val="00CA2577"/>
    <w:rsid w:val="00CA3320"/>
    <w:rsid w:val="00CA52C5"/>
    <w:rsid w:val="00CC339E"/>
    <w:rsid w:val="00CC3BC6"/>
    <w:rsid w:val="00CC3DC0"/>
    <w:rsid w:val="00CC475D"/>
    <w:rsid w:val="00CC5377"/>
    <w:rsid w:val="00CC68BF"/>
    <w:rsid w:val="00CC6A32"/>
    <w:rsid w:val="00CD0746"/>
    <w:rsid w:val="00CD1B89"/>
    <w:rsid w:val="00CD6369"/>
    <w:rsid w:val="00CE0B03"/>
    <w:rsid w:val="00CE280B"/>
    <w:rsid w:val="00CE510C"/>
    <w:rsid w:val="00CE782A"/>
    <w:rsid w:val="00CF0694"/>
    <w:rsid w:val="00CF5E53"/>
    <w:rsid w:val="00D063C6"/>
    <w:rsid w:val="00D06FFC"/>
    <w:rsid w:val="00D16DE9"/>
    <w:rsid w:val="00D177BC"/>
    <w:rsid w:val="00D20412"/>
    <w:rsid w:val="00D211D5"/>
    <w:rsid w:val="00D2367B"/>
    <w:rsid w:val="00D24669"/>
    <w:rsid w:val="00D24C1F"/>
    <w:rsid w:val="00D26595"/>
    <w:rsid w:val="00D26849"/>
    <w:rsid w:val="00D332B7"/>
    <w:rsid w:val="00D344B5"/>
    <w:rsid w:val="00D410E6"/>
    <w:rsid w:val="00D42DB7"/>
    <w:rsid w:val="00D4328F"/>
    <w:rsid w:val="00D452BD"/>
    <w:rsid w:val="00D5240C"/>
    <w:rsid w:val="00D67A08"/>
    <w:rsid w:val="00D762C7"/>
    <w:rsid w:val="00D80FBC"/>
    <w:rsid w:val="00D82394"/>
    <w:rsid w:val="00D83615"/>
    <w:rsid w:val="00D87B9D"/>
    <w:rsid w:val="00D90889"/>
    <w:rsid w:val="00D9456C"/>
    <w:rsid w:val="00D95E41"/>
    <w:rsid w:val="00DA4CF2"/>
    <w:rsid w:val="00DA4F5F"/>
    <w:rsid w:val="00DA666E"/>
    <w:rsid w:val="00DA7C1B"/>
    <w:rsid w:val="00DB3315"/>
    <w:rsid w:val="00DB59C8"/>
    <w:rsid w:val="00DC1B04"/>
    <w:rsid w:val="00DC50D1"/>
    <w:rsid w:val="00DC681C"/>
    <w:rsid w:val="00DD0D1C"/>
    <w:rsid w:val="00DD64A4"/>
    <w:rsid w:val="00DD6EC1"/>
    <w:rsid w:val="00DE0A69"/>
    <w:rsid w:val="00DE19AD"/>
    <w:rsid w:val="00DE5F89"/>
    <w:rsid w:val="00DE63FD"/>
    <w:rsid w:val="00DF18B5"/>
    <w:rsid w:val="00DF1B3F"/>
    <w:rsid w:val="00DF4F9D"/>
    <w:rsid w:val="00DF69E3"/>
    <w:rsid w:val="00DF7950"/>
    <w:rsid w:val="00E014D0"/>
    <w:rsid w:val="00E048B4"/>
    <w:rsid w:val="00E06273"/>
    <w:rsid w:val="00E20D4E"/>
    <w:rsid w:val="00E21B0C"/>
    <w:rsid w:val="00E236CE"/>
    <w:rsid w:val="00E30436"/>
    <w:rsid w:val="00E3221B"/>
    <w:rsid w:val="00E32C4B"/>
    <w:rsid w:val="00E41C5F"/>
    <w:rsid w:val="00E50AEB"/>
    <w:rsid w:val="00E5276F"/>
    <w:rsid w:val="00E54E90"/>
    <w:rsid w:val="00E553BD"/>
    <w:rsid w:val="00E62D67"/>
    <w:rsid w:val="00E739FE"/>
    <w:rsid w:val="00E82FF8"/>
    <w:rsid w:val="00E85523"/>
    <w:rsid w:val="00E935DD"/>
    <w:rsid w:val="00EA0F68"/>
    <w:rsid w:val="00EA7FCA"/>
    <w:rsid w:val="00EB3E98"/>
    <w:rsid w:val="00EB55B3"/>
    <w:rsid w:val="00EB7CBC"/>
    <w:rsid w:val="00EC08B9"/>
    <w:rsid w:val="00EC2AD8"/>
    <w:rsid w:val="00ED0997"/>
    <w:rsid w:val="00ED0A4B"/>
    <w:rsid w:val="00ED1287"/>
    <w:rsid w:val="00ED1C37"/>
    <w:rsid w:val="00ED5C88"/>
    <w:rsid w:val="00ED684C"/>
    <w:rsid w:val="00ED6BD6"/>
    <w:rsid w:val="00EE03F6"/>
    <w:rsid w:val="00EE1739"/>
    <w:rsid w:val="00EE6ED9"/>
    <w:rsid w:val="00EF11B8"/>
    <w:rsid w:val="00EF1D4C"/>
    <w:rsid w:val="00EF4D31"/>
    <w:rsid w:val="00F02163"/>
    <w:rsid w:val="00F0435A"/>
    <w:rsid w:val="00F048FF"/>
    <w:rsid w:val="00F13240"/>
    <w:rsid w:val="00F15DF4"/>
    <w:rsid w:val="00F17CC2"/>
    <w:rsid w:val="00F17F2B"/>
    <w:rsid w:val="00F20D93"/>
    <w:rsid w:val="00F23C8E"/>
    <w:rsid w:val="00F24B0B"/>
    <w:rsid w:val="00F25E95"/>
    <w:rsid w:val="00F30F74"/>
    <w:rsid w:val="00F41546"/>
    <w:rsid w:val="00F47C3E"/>
    <w:rsid w:val="00F53290"/>
    <w:rsid w:val="00F55E49"/>
    <w:rsid w:val="00F56535"/>
    <w:rsid w:val="00F60DBE"/>
    <w:rsid w:val="00F73DF4"/>
    <w:rsid w:val="00F77963"/>
    <w:rsid w:val="00F81739"/>
    <w:rsid w:val="00F81982"/>
    <w:rsid w:val="00F83101"/>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146A"/>
    <w:rsid w:val="00FF6003"/>
    <w:rsid w:val="04F65128"/>
    <w:rsid w:val="0E0AED18"/>
    <w:rsid w:val="105ED4C8"/>
    <w:rsid w:val="1AA777CE"/>
    <w:rsid w:val="1C105DFE"/>
    <w:rsid w:val="1E7986F2"/>
    <w:rsid w:val="1FCCEB24"/>
    <w:rsid w:val="2D8F605A"/>
    <w:rsid w:val="3272A242"/>
    <w:rsid w:val="3DAE28DC"/>
    <w:rsid w:val="4183C842"/>
    <w:rsid w:val="4596D72F"/>
    <w:rsid w:val="4801B4B9"/>
    <w:rsid w:val="52EBB6BB"/>
    <w:rsid w:val="57998AE9"/>
    <w:rsid w:val="59E0E2B1"/>
    <w:rsid w:val="5C1B68E8"/>
    <w:rsid w:val="7093DCF9"/>
    <w:rsid w:val="7C13A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98"/>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2"/>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uiPriority w:val="1"/>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88657">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428381365">
      <w:bodyDiv w:val="1"/>
      <w:marLeft w:val="0"/>
      <w:marRight w:val="0"/>
      <w:marTop w:val="0"/>
      <w:marBottom w:val="0"/>
      <w:divBdr>
        <w:top w:val="none" w:sz="0" w:space="0" w:color="auto"/>
        <w:left w:val="none" w:sz="0" w:space="0" w:color="auto"/>
        <w:bottom w:val="none" w:sz="0" w:space="0" w:color="auto"/>
        <w:right w:val="none" w:sz="0" w:space="0" w:color="auto"/>
      </w:divBdr>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
    <w:div w:id="1668286450">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13989714">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ookmark://Eleven_advice_to_patients/" TargetMode="External"/><Relationship Id="rId21" Type="http://schemas.openxmlformats.org/officeDocument/2006/relationships/hyperlink" Target="https://www.nice.org.uk/" TargetMode="External"/><Relationship Id="rId42" Type="http://schemas.openxmlformats.org/officeDocument/2006/relationships/hyperlink" Target="https://bnf.nice.org.uk/drugs/" TargetMode="External"/><Relationship Id="rId47" Type="http://schemas.openxmlformats.org/officeDocument/2006/relationships/hyperlink" Target="https://www.medicines.org.uk/emc/" TargetMode="External"/><Relationship Id="rId63" Type="http://schemas.openxmlformats.org/officeDocument/2006/relationships/hyperlink" Target="https://www.bad.org.uk/for-the-public/patient-information-leaflets/azathioprine" TargetMode="External"/><Relationship Id="rId68" Type="http://schemas.openxmlformats.org/officeDocument/2006/relationships/hyperlink" Target="https://academic.oup.com/rheumatology/article/55/9/1693/1744535" TargetMode="External"/><Relationship Id="rId84" Type="http://schemas.openxmlformats.org/officeDocument/2006/relationships/hyperlink" Target="https://www.brit-thoracic.org.uk/quality-improvement/guideline-archive/" TargetMode="External"/><Relationship Id="rId89" Type="http://schemas.openxmlformats.org/officeDocument/2006/relationships/hyperlink" Target="https://www.sps.nhs.uk/medicines/azathioprine/" TargetMode="External"/><Relationship Id="rId16" Type="http://schemas.openxmlformats.org/officeDocument/2006/relationships/hyperlink" Target="https://www.gov.uk/government/organisations/medicines-and-healthcare-products-regulatory-agency" TargetMode="External"/><Relationship Id="rId11" Type="http://schemas.openxmlformats.org/officeDocument/2006/relationships/image" Target="media/image1.png"/><Relationship Id="rId32" Type="http://schemas.openxmlformats.org/officeDocument/2006/relationships/hyperlink" Target="bookmark://Eight_specialist_monitoring/" TargetMode="External"/><Relationship Id="rId37" Type="http://schemas.openxmlformats.org/officeDocument/2006/relationships/hyperlink" Target="bookmark://Seven_interactions/" TargetMode="External"/><Relationship Id="rId53" Type="http://schemas.openxmlformats.org/officeDocument/2006/relationships/hyperlink" Target="https://www.gov.uk/government/publications/shingles-herpes-zoster-the-green-book-chapter-28a" TargetMode="External"/><Relationship Id="rId58" Type="http://schemas.openxmlformats.org/officeDocument/2006/relationships/hyperlink" Target="https://www.gov.uk/government/publications/varicella-the-green-book-chapter-34" TargetMode="External"/><Relationship Id="rId74" Type="http://schemas.openxmlformats.org/officeDocument/2006/relationships/hyperlink" Target="https://www.medicinesinpregnancy.org/bumps/monographs/PATERNAL-USE-OF-AZATHIOPRINE-OR-MERCAPTOPURINE/" TargetMode="External"/><Relationship Id="rId79" Type="http://schemas.openxmlformats.org/officeDocument/2006/relationships/hyperlink" Target="https://www.medicines.org.uk/emc/product/2949/smpc"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sps.nhs.uk/medicines/mercaptopurine/" TargetMode="External"/><Relationship Id="rId95" Type="http://schemas.openxmlformats.org/officeDocument/2006/relationships/hyperlink" Target="https://www.nice.org.uk/guidance/ng130" TargetMode="External"/><Relationship Id="rId22" Type="http://schemas.openxmlformats.org/officeDocument/2006/relationships/header" Target="header1.xml"/><Relationship Id="rId27" Type="http://schemas.openxmlformats.org/officeDocument/2006/relationships/hyperlink" Target="bookmark://Four_cx_and_cautions/" TargetMode="External"/><Relationship Id="rId43" Type="http://schemas.openxmlformats.org/officeDocument/2006/relationships/hyperlink" Target="https://www.medicines.org.uk/emc/" TargetMode="External"/><Relationship Id="rId48" Type="http://schemas.openxmlformats.org/officeDocument/2006/relationships/hyperlink" Target="https://bnf.nice.org.uk/drugs/" TargetMode="External"/><Relationship Id="rId64" Type="http://schemas.openxmlformats.org/officeDocument/2006/relationships/hyperlink" Target="https://www.medicines.org.uk/emc/search?q=azathioprine" TargetMode="External"/><Relationship Id="rId69" Type="http://schemas.openxmlformats.org/officeDocument/2006/relationships/hyperlink" Target="https://www.bsg.org.uk/clinical-resource/bsg-consensus-guidelines-on-the-management-of-inflammatory-bowel-disease-in-adults/" TargetMode="External"/><Relationship Id="rId80" Type="http://schemas.openxmlformats.org/officeDocument/2006/relationships/hyperlink" Target="https://academic.oup.com/rheumatology/article/56/6/865/3053478" TargetMode="External"/><Relationship Id="rId85" Type="http://schemas.openxmlformats.org/officeDocument/2006/relationships/hyperlink" Target="https://www.bsg.org.uk/clinical-resource/bsg-consensus-guidelines-on-the-management-of-inflammatory-bowel-disease-in-adults/" TargetMode="External"/><Relationship Id="rId12" Type="http://schemas.openxmlformats.org/officeDocument/2006/relationships/hyperlink" Target="bookmark://Nine_primary_care_monitoring/" TargetMode="External"/><Relationship Id="rId17" Type="http://schemas.openxmlformats.org/officeDocument/2006/relationships/hyperlink" Target="https://www.nice.org.uk/" TargetMode="External"/><Relationship Id="rId25" Type="http://schemas.openxmlformats.org/officeDocument/2006/relationships/hyperlink" Target="bookmark://Two_indications/" TargetMode="External"/><Relationship Id="rId33" Type="http://schemas.openxmlformats.org/officeDocument/2006/relationships/hyperlink" Target="bookmark://Nine_primary_care_monitoring/" TargetMode="External"/><Relationship Id="rId38" Type="http://schemas.openxmlformats.org/officeDocument/2006/relationships/hyperlink" Target="bookmark://Ten_ADRs_and_Management/" TargetMode="External"/><Relationship Id="rId46" Type="http://schemas.openxmlformats.org/officeDocument/2006/relationships/hyperlink" Target="bookmark://Twelve_pregnancy_paternity/" TargetMode="External"/><Relationship Id="rId59" Type="http://schemas.openxmlformats.org/officeDocument/2006/relationships/hyperlink" Target="https://assets.publishing.service.gov.uk/government/uploads/system/uploads/attachment_data/file/1073013/UKHSA_guidelines_on_VZ_post_exposure_prophylaxis.pdf" TargetMode="External"/><Relationship Id="rId67" Type="http://schemas.openxmlformats.org/officeDocument/2006/relationships/hyperlink" Target="https://gutscharity.org.uk/advice-and-information/conditions/ulcerative-colitis/"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medicines.org.uk/emc/" TargetMode="External"/><Relationship Id="rId54" Type="http://schemas.openxmlformats.org/officeDocument/2006/relationships/hyperlink" Target="https://www.gov.uk/government/publications/influenza-the-green-book-chapter-19" TargetMode="External"/><Relationship Id="rId62" Type="http://schemas.openxmlformats.org/officeDocument/2006/relationships/hyperlink" Target="https://www.versusarthritis.org/about-arthritis/treatments/drugs/azathioprine/" TargetMode="External"/><Relationship Id="rId70" Type="http://schemas.openxmlformats.org/officeDocument/2006/relationships/hyperlink" Target="https://www.medicinesinpregnancy.org/bumps/monographs/USE-OF-AZATHIOPRINE-OR-MERCAPTOPURINE-IN-PREGNANCY/" TargetMode="External"/><Relationship Id="rId75" Type="http://schemas.openxmlformats.org/officeDocument/2006/relationships/hyperlink" Target="https://bnf.nice.org.uk/" TargetMode="External"/><Relationship Id="rId83" Type="http://schemas.openxmlformats.org/officeDocument/2006/relationships/hyperlink" Target="http://www.bad.org.uk/shared/get-file.ashx?id=1976&amp;itemtype=document" TargetMode="External"/><Relationship Id="rId88" Type="http://schemas.openxmlformats.org/officeDocument/2006/relationships/hyperlink" Target="https://www.gov.uk/government/collections/immunisation-against-infectious-disease-the-green-book" TargetMode="External"/><Relationship Id="rId91" Type="http://schemas.openxmlformats.org/officeDocument/2006/relationships/hyperlink" Target="http://www.toxbase.org/" TargetMode="External"/><Relationship Id="rId96" Type="http://schemas.openxmlformats.org/officeDocument/2006/relationships/hyperlink" Target="https://www.sps.nhs.uk/articles/rmoc-shared-care-guida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footer" Target="footer1.xml"/><Relationship Id="rId28" Type="http://schemas.openxmlformats.org/officeDocument/2006/relationships/hyperlink" Target="bookmark://Seven_interactions/" TargetMode="External"/><Relationship Id="rId36" Type="http://schemas.openxmlformats.org/officeDocument/2006/relationships/hyperlink" Target="bookmark://Nine_primary_care_monitoring/" TargetMode="External"/><Relationship Id="rId49" Type="http://schemas.openxmlformats.org/officeDocument/2006/relationships/hyperlink" Target="https://www.medicines.org.uk/emc/" TargetMode="External"/><Relationship Id="rId57" Type="http://schemas.openxmlformats.org/officeDocument/2006/relationships/hyperlink" Target="http://www.mhra.gov.uk/yellowcard" TargetMode="External"/><Relationship Id="rId10" Type="http://schemas.openxmlformats.org/officeDocument/2006/relationships/endnotes" Target="endnotes.xml"/><Relationship Id="rId31" Type="http://schemas.openxmlformats.org/officeDocument/2006/relationships/hyperlink" Target="bookmark://Thirteen_specialist_contact/" TargetMode="External"/><Relationship Id="rId44" Type="http://schemas.openxmlformats.org/officeDocument/2006/relationships/hyperlink" Target="https://www.gov.uk/government/publications/contraindications-and-special-considerations-the-green-book-chapter-6" TargetMode="External"/><Relationship Id="rId52" Type="http://schemas.openxmlformats.org/officeDocument/2006/relationships/hyperlink" Target="https://www.gov.uk/government/publications/contraindications-and-special-considerations-the-green-book-chapter-6" TargetMode="External"/><Relationship Id="rId60" Type="http://schemas.openxmlformats.org/officeDocument/2006/relationships/hyperlink" Target="https://www.nhs.uk/medicines/azathioprine/" TargetMode="External"/><Relationship Id="rId65" Type="http://schemas.openxmlformats.org/officeDocument/2006/relationships/hyperlink" Target="https://www.crohnsandcolitis.org.uk/about-crohns-and-colitis/publications/azathioprine-mercaptopurine" TargetMode="External"/><Relationship Id="rId73" Type="http://schemas.openxmlformats.org/officeDocument/2006/relationships/hyperlink" Target="https://www.sps.nhs.uk/medicines/mercaptopurine/" TargetMode="External"/><Relationship Id="rId78" Type="http://schemas.openxmlformats.org/officeDocument/2006/relationships/hyperlink" Target="https://www.medicines.org.uk/emc/product/4655/smpc" TargetMode="External"/><Relationship Id="rId81" Type="http://schemas.openxmlformats.org/officeDocument/2006/relationships/hyperlink" Target="https://academic.oup.com/rheumatology/article/55/9/1693/1744535" TargetMode="External"/><Relationship Id="rId86" Type="http://schemas.openxmlformats.org/officeDocument/2006/relationships/hyperlink" Target="https://www.bsg.org.uk/resource/bsg-guidelines-for-the-management-of-autoimmune-hepatitis.html" TargetMode="External"/><Relationship Id="rId94" Type="http://schemas.openxmlformats.org/officeDocument/2006/relationships/hyperlink" Target="https://www.nice.org.uk/guidance/ng129" TargetMode="External"/><Relationship Id="rId99" Type="http://schemas.openxmlformats.org/officeDocument/2006/relationships/hyperlink" Target="https://www.nice.org.uk/guidance/ng197/" TargetMode="Externa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bookmark://Nine_primary_care_monitoring/" TargetMode="External"/><Relationship Id="rId18" Type="http://schemas.openxmlformats.org/officeDocument/2006/relationships/hyperlink" Target="https://www.medicines.org.uk/emc/" TargetMode="External"/><Relationship Id="rId39" Type="http://schemas.openxmlformats.org/officeDocument/2006/relationships/hyperlink" Target="bookmark://Ten_ADRs_and_Management/" TargetMode="External"/><Relationship Id="rId34" Type="http://schemas.openxmlformats.org/officeDocument/2006/relationships/hyperlink" Target="bookmark://Five_dosing/" TargetMode="External"/><Relationship Id="rId50" Type="http://schemas.openxmlformats.org/officeDocument/2006/relationships/hyperlink" Target="https://www.gov.uk/government/publications/contraindications-and-special-considerations-the-green-book-chapter-6" TargetMode="External"/><Relationship Id="rId55" Type="http://schemas.openxmlformats.org/officeDocument/2006/relationships/hyperlink" Target="https://www.gov.uk/government/publications/covid-19-the-green-book-chapter-14a" TargetMode="External"/><Relationship Id="rId76" Type="http://schemas.openxmlformats.org/officeDocument/2006/relationships/hyperlink" Target="https://www.medicines.org.uk/emc/product/3823" TargetMode="External"/><Relationship Id="rId97" Type="http://schemas.openxmlformats.org/officeDocument/2006/relationships/hyperlink" Target="https://www.england.nhs.uk/publication/responsibility-for-prescribing-between-primary-and-secondary-tertiary-care/" TargetMode="External"/><Relationship Id="rId7" Type="http://schemas.openxmlformats.org/officeDocument/2006/relationships/settings" Target="settings.xml"/><Relationship Id="rId71" Type="http://schemas.openxmlformats.org/officeDocument/2006/relationships/hyperlink" Target="https://www.medicinesinpregnancy.org/Medicine--pregnancy/Azathioprinemercaptopurine/" TargetMode="External"/><Relationship Id="rId92" Type="http://schemas.openxmlformats.org/officeDocument/2006/relationships/hyperlink" Target="http://www.toxbase.org/" TargetMode="External"/><Relationship Id="rId2" Type="http://schemas.openxmlformats.org/officeDocument/2006/relationships/customXml" Target="../customXml/item2.xml"/><Relationship Id="rId29" Type="http://schemas.openxmlformats.org/officeDocument/2006/relationships/hyperlink" Target="bookmark://Eight_specialist_monitoring/" TargetMode="External"/><Relationship Id="rId24" Type="http://schemas.openxmlformats.org/officeDocument/2006/relationships/header" Target="header2.xml"/><Relationship Id="rId40" Type="http://schemas.openxmlformats.org/officeDocument/2006/relationships/hyperlink" Target="bookmark://Eleven_advice_to_patients/" TargetMode="External"/><Relationship Id="rId45" Type="http://schemas.openxmlformats.org/officeDocument/2006/relationships/hyperlink" Target="bookmark://Seven_interactions/" TargetMode="External"/><Relationship Id="rId66" Type="http://schemas.openxmlformats.org/officeDocument/2006/relationships/hyperlink" Target="https://gutscharity.org.uk/advice-and-information/conditions/crohns-disease/" TargetMode="External"/><Relationship Id="rId87" Type="http://schemas.openxmlformats.org/officeDocument/2006/relationships/hyperlink" Target="https://cdn.ymaws.com/www.theabn.org/resource/collection/6750BAE6-4CBC-4DDB-A684-116E03BFE634/ABN_2015_Myasthenia_Gravis_Guidelines.pdf" TargetMode="External"/><Relationship Id="rId61" Type="http://schemas.openxmlformats.org/officeDocument/2006/relationships/hyperlink" Target="https://patient.info/medicine/azathioprine-azapress-imuran" TargetMode="External"/><Relationship Id="rId82" Type="http://schemas.openxmlformats.org/officeDocument/2006/relationships/hyperlink" Target="http://www.bad.org.uk/healthcare-professionals/clinical-standards/clinical-guidelines" TargetMode="Externa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30" Type="http://schemas.openxmlformats.org/officeDocument/2006/relationships/hyperlink" Target="bookmark://Five_dosing/" TargetMode="External"/><Relationship Id="rId35" Type="http://schemas.openxmlformats.org/officeDocument/2006/relationships/hyperlink" Target="bookmark://Seven_interactions/" TargetMode="External"/><Relationship Id="rId56" Type="http://schemas.openxmlformats.org/officeDocument/2006/relationships/hyperlink" Target="https://www.gov.uk/government/publications/pneumococcal-the-green-book-chapter-25" TargetMode="External"/><Relationship Id="rId77" Type="http://schemas.openxmlformats.org/officeDocument/2006/relationships/hyperlink" Target="http://www.medicines.org.uk/emc"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bookmark://Nine_primary_care_monitoring/" TargetMode="External"/><Relationship Id="rId72" Type="http://schemas.openxmlformats.org/officeDocument/2006/relationships/hyperlink" Target="https://www.sps.nhs.uk/medicines/azathioprine/" TargetMode="External"/><Relationship Id="rId93" Type="http://schemas.openxmlformats.org/officeDocument/2006/relationships/hyperlink" Target="https://renaldrugdatabase.com/monographs/mercaptopurine" TargetMode="External"/><Relationship Id="rId98" Type="http://schemas.openxmlformats.org/officeDocument/2006/relationships/hyperlink" Target="https://www.gmc-uk.org/ethical-guidance/ethical-guidance-for-doctors/good-practice-in-prescribing-and-managing-medicines-and-devices/shared-car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AEDFAC6AAFB04FD9AF879E4F8A9AAABC"/>
        <w:category>
          <w:name w:val="General"/>
          <w:gallery w:val="placeholder"/>
        </w:category>
        <w:types>
          <w:type w:val="bbPlcHdr"/>
        </w:types>
        <w:behaviors>
          <w:behavior w:val="content"/>
        </w:behaviors>
        <w:guid w:val="{9DEE9E86-86B5-4740-9D26-A28A25169F2F}"/>
      </w:docPartPr>
      <w:docPartBody>
        <w:p w:rsidR="00E36CCC" w:rsidRDefault="00700D4C" w:rsidP="00700D4C">
          <w:pPr>
            <w:pStyle w:val="AEDFAC6AAFB04FD9AF879E4F8A9AAABC"/>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632E6"/>
    <w:rsid w:val="0007627A"/>
    <w:rsid w:val="000B336E"/>
    <w:rsid w:val="001D1224"/>
    <w:rsid w:val="001F17A8"/>
    <w:rsid w:val="001F4939"/>
    <w:rsid w:val="00340084"/>
    <w:rsid w:val="005411A7"/>
    <w:rsid w:val="00552FFA"/>
    <w:rsid w:val="00595B0A"/>
    <w:rsid w:val="00646C4B"/>
    <w:rsid w:val="0068405D"/>
    <w:rsid w:val="006A364A"/>
    <w:rsid w:val="006C1A1E"/>
    <w:rsid w:val="00700D4C"/>
    <w:rsid w:val="007246D8"/>
    <w:rsid w:val="00773E86"/>
    <w:rsid w:val="007F66B5"/>
    <w:rsid w:val="008617F1"/>
    <w:rsid w:val="008B524C"/>
    <w:rsid w:val="008E37B7"/>
    <w:rsid w:val="00946610"/>
    <w:rsid w:val="009E6FC0"/>
    <w:rsid w:val="00A523EE"/>
    <w:rsid w:val="00AE1F65"/>
    <w:rsid w:val="00B24A59"/>
    <w:rsid w:val="00CD3A81"/>
    <w:rsid w:val="00CE510C"/>
    <w:rsid w:val="00D20412"/>
    <w:rsid w:val="00E36CCC"/>
    <w:rsid w:val="00E56DF8"/>
    <w:rsid w:val="00F8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D4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AEDFAC6AAFB04FD9AF879E4F8A9AAABC">
    <w:name w:val="AEDFAC6AAFB04FD9AF879E4F8A9AAABC"/>
    <w:rsid w:val="00700D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92" ma:contentTypeDescription="Create a new document." ma:contentTypeScope="" ma:versionID="3df58c630d5b11510294b8089d7a2995">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C278BE4A-D505-4B01-A9AE-09D3D40EC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4.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5552</Words>
  <Characters>34399</Characters>
  <Application>Microsoft Office Word</Application>
  <DocSecurity>8</DocSecurity>
  <Lines>803</Lines>
  <Paragraphs>391</Paragraphs>
  <ScaleCrop>false</ScaleCrop>
  <Company>NHS</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58</cp:revision>
  <cp:lastPrinted>2022-07-04T15:05:00Z</cp:lastPrinted>
  <dcterms:created xsi:type="dcterms:W3CDTF">2023-03-31T10:44:00Z</dcterms:created>
  <dcterms:modified xsi:type="dcterms:W3CDTF">2026-02-11T10:39:00Z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