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867E0" w14:textId="77777777" w:rsidR="00BD5B28" w:rsidRDefault="00BD5B28" w:rsidP="00BD5B28">
      <w:pPr>
        <w:spacing w:after="0" w:line="240" w:lineRule="auto"/>
        <w:ind w:left="-709" w:right="-711"/>
        <w:rPr>
          <w:rFonts w:cs="Arial"/>
          <w:sz w:val="36"/>
          <w:szCs w:val="36"/>
        </w:rPr>
      </w:pPr>
    </w:p>
    <w:p w14:paraId="328BA1AF" w14:textId="403E69E2" w:rsidR="00C3089D" w:rsidRPr="008912BD" w:rsidRDefault="00C3089D" w:rsidP="00C3089D">
      <w:pPr>
        <w:spacing w:line="240" w:lineRule="auto"/>
        <w:ind w:left="-709" w:right="-711"/>
        <w:rPr>
          <w:rFonts w:cs="Arial"/>
          <w:sz w:val="32"/>
          <w:szCs w:val="32"/>
        </w:rPr>
      </w:pPr>
      <w:r w:rsidRPr="008912BD">
        <w:rPr>
          <w:rFonts w:cs="Arial"/>
          <w:sz w:val="32"/>
          <w:szCs w:val="32"/>
        </w:rPr>
        <w:t>National shared care protocol:</w:t>
      </w:r>
    </w:p>
    <w:p w14:paraId="3E70BE5B" w14:textId="328344D4" w:rsidR="000469BF" w:rsidRPr="008912BD" w:rsidRDefault="000469BF" w:rsidP="000469BF">
      <w:pPr>
        <w:pStyle w:val="Title"/>
        <w:ind w:left="-709"/>
        <w:rPr>
          <w:b/>
          <w:bCs/>
          <w:sz w:val="32"/>
          <w:szCs w:val="32"/>
        </w:rPr>
      </w:pPr>
      <w:r w:rsidRPr="008912BD">
        <w:rPr>
          <w:b/>
          <w:bCs/>
          <w:sz w:val="32"/>
          <w:szCs w:val="32"/>
        </w:rPr>
        <w:t xml:space="preserve">Hydroxychloroquine for patients within adult services </w:t>
      </w:r>
    </w:p>
    <w:p w14:paraId="4823396B" w14:textId="752B5F8A" w:rsidR="007C7494" w:rsidRPr="00D70482" w:rsidRDefault="00995C9E" w:rsidP="00BD5B28">
      <w:pPr>
        <w:pStyle w:val="Subtitle"/>
        <w:spacing w:before="240" w:after="120"/>
        <w:ind w:left="-709"/>
        <w:rPr>
          <w:sz w:val="24"/>
        </w:rPr>
      </w:pPr>
      <w:r w:rsidRPr="008912BD">
        <w:rPr>
          <w:noProof/>
          <w:sz w:val="32"/>
          <w:szCs w:val="32"/>
        </w:rPr>
        <w:drawing>
          <wp:anchor distT="0" distB="0" distL="114300" distR="114300" simplePos="0" relativeHeight="251658241" behindDoc="1" locked="0" layoutInCell="1" allowOverlap="1" wp14:anchorId="655E90F7" wp14:editId="18F8630D">
            <wp:simplePos x="0" y="0"/>
            <wp:positionH relativeFrom="margin">
              <wp:posOffset>4530725</wp:posOffset>
            </wp:positionH>
            <wp:positionV relativeFrom="paragraph">
              <wp:posOffset>370840</wp:posOffset>
            </wp:positionV>
            <wp:extent cx="1466850" cy="544195"/>
            <wp:effectExtent l="0" t="0" r="0" b="8255"/>
            <wp:wrapTight wrapText="bothSides">
              <wp:wrapPolygon edited="0">
                <wp:start x="0" y="0"/>
                <wp:lineTo x="0" y="21172"/>
                <wp:lineTo x="21319" y="21172"/>
                <wp:lineTo x="213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544195"/>
                    </a:xfrm>
                    <a:prstGeom prst="rect">
                      <a:avLst/>
                    </a:prstGeom>
                  </pic:spPr>
                </pic:pic>
              </a:graphicData>
            </a:graphic>
            <wp14:sizeRelH relativeFrom="page">
              <wp14:pctWidth>0</wp14:pctWidth>
            </wp14:sizeRelH>
            <wp14:sizeRelV relativeFrom="page">
              <wp14:pctHeight>0</wp14:pctHeight>
            </wp14:sizeRelV>
          </wp:anchor>
        </w:drawing>
      </w:r>
      <w:r w:rsidRPr="008912BD">
        <w:rPr>
          <w:noProof/>
          <w:sz w:val="32"/>
          <w:szCs w:val="32"/>
        </w:rPr>
        <mc:AlternateContent>
          <mc:Choice Requires="wps">
            <w:drawing>
              <wp:anchor distT="45720" distB="45720" distL="114300" distR="114300" simplePos="0" relativeHeight="251658240" behindDoc="1" locked="0" layoutInCell="1" allowOverlap="1" wp14:anchorId="7172C7BD" wp14:editId="076CED9A">
                <wp:simplePos x="0" y="0"/>
                <wp:positionH relativeFrom="margin">
                  <wp:posOffset>-567055</wp:posOffset>
                </wp:positionH>
                <wp:positionV relativeFrom="paragraph">
                  <wp:posOffset>305435</wp:posOffset>
                </wp:positionV>
                <wp:extent cx="6667500" cy="7010400"/>
                <wp:effectExtent l="19050" t="19050" r="19050" b="19050"/>
                <wp:wrapThrough wrapText="bothSides">
                  <wp:wrapPolygon edited="0">
                    <wp:start x="-62" y="-59"/>
                    <wp:lineTo x="-62" y="21600"/>
                    <wp:lineTo x="21600" y="21600"/>
                    <wp:lineTo x="21600" y="-59"/>
                    <wp:lineTo x="-62" y="-59"/>
                  </wp:wrapPolygon>
                </wp:wrapThrough>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7010400"/>
                        </a:xfrm>
                        <a:prstGeom prst="rect">
                          <a:avLst/>
                        </a:prstGeom>
                        <a:noFill/>
                        <a:ln w="38100">
                          <a:solidFill>
                            <a:srgbClr val="00B050"/>
                          </a:solidFill>
                          <a:miter lim="800000"/>
                          <a:headEnd/>
                          <a:tailEnd/>
                        </a:ln>
                      </wps:spPr>
                      <wps:txbx>
                        <w:txbxContent>
                          <w:p w14:paraId="1598D7B7" w14:textId="77777777" w:rsidR="00307FE2" w:rsidRDefault="00307FE2" w:rsidP="00995C9E">
                            <w:pPr>
                              <w:spacing w:after="0" w:line="20" w:lineRule="atLeast"/>
                              <w:rPr>
                                <w:rFonts w:cs="Arial"/>
                                <w:b/>
                                <w:bCs/>
                                <w:sz w:val="22"/>
                              </w:rPr>
                            </w:pPr>
                            <w:r w:rsidRPr="00576E09">
                              <w:rPr>
                                <w:rFonts w:cstheme="minorHAnsi"/>
                                <w:b/>
                                <w:bCs/>
                                <w:color w:val="005EB8"/>
                                <w:sz w:val="28"/>
                              </w:rPr>
                              <w:t>SWL L</w:t>
                            </w:r>
                            <w:r>
                              <w:rPr>
                                <w:rFonts w:cstheme="minorHAnsi"/>
                                <w:b/>
                                <w:bCs/>
                                <w:color w:val="005EB8"/>
                                <w:sz w:val="28"/>
                              </w:rPr>
                              <w:t>ocal</w:t>
                            </w:r>
                            <w:r w:rsidRPr="00576E09">
                              <w:rPr>
                                <w:rFonts w:cstheme="minorHAnsi"/>
                                <w:b/>
                                <w:bCs/>
                                <w:color w:val="005EB8"/>
                                <w:sz w:val="28"/>
                              </w:rPr>
                              <w:t xml:space="preserve"> A</w:t>
                            </w:r>
                            <w:r>
                              <w:rPr>
                                <w:rFonts w:cstheme="minorHAnsi"/>
                                <w:b/>
                                <w:bCs/>
                                <w:color w:val="005EB8"/>
                                <w:sz w:val="28"/>
                              </w:rPr>
                              <w:t>daptation</w:t>
                            </w:r>
                            <w:r>
                              <w:rPr>
                                <w:rFonts w:cstheme="minorHAnsi"/>
                                <w:b/>
                                <w:bCs/>
                                <w:color w:val="005EB8"/>
                                <w:sz w:val="28"/>
                              </w:rPr>
                              <w:br/>
                            </w:r>
                            <w:r>
                              <w:rPr>
                                <w:rFonts w:cs="Arial"/>
                                <w:b/>
                                <w:bCs/>
                                <w:sz w:val="22"/>
                              </w:rPr>
                              <w:t>March 2023</w:t>
                            </w:r>
                          </w:p>
                          <w:p w14:paraId="46503DE7" w14:textId="77777777" w:rsidR="00BD5B28" w:rsidRPr="002F77E3" w:rsidRDefault="00BD5B28" w:rsidP="00995C9E">
                            <w:pPr>
                              <w:spacing w:after="0" w:line="20" w:lineRule="atLeast"/>
                              <w:rPr>
                                <w:rFonts w:cstheme="minorHAnsi"/>
                                <w:b/>
                                <w:bCs/>
                                <w:color w:val="005EB8"/>
                                <w:sz w:val="28"/>
                              </w:rPr>
                            </w:pPr>
                          </w:p>
                          <w:p w14:paraId="2398502A" w14:textId="618735ED" w:rsidR="00307FE2" w:rsidRDefault="00307FE2" w:rsidP="00995C9E">
                            <w:pPr>
                              <w:spacing w:after="0"/>
                              <w:rPr>
                                <w:rStyle w:val="Hyperlink"/>
                                <w:rFonts w:cs="Arial"/>
                                <w:sz w:val="22"/>
                                <w:lang w:eastAsia="en-GB"/>
                              </w:rPr>
                            </w:pPr>
                            <w:r w:rsidRPr="006B5715">
                              <w:rPr>
                                <w:rFonts w:cs="Arial"/>
                                <w:sz w:val="22"/>
                              </w:rPr>
                              <w:t xml:space="preserve">Please </w:t>
                            </w:r>
                            <w:r>
                              <w:rPr>
                                <w:rFonts w:cs="Arial"/>
                                <w:sz w:val="22"/>
                              </w:rPr>
                              <w:t xml:space="preserve">follow link to </w:t>
                            </w:r>
                            <w:r w:rsidRPr="006B5715">
                              <w:rPr>
                                <w:rFonts w:cs="Arial"/>
                                <w:sz w:val="22"/>
                              </w:rPr>
                              <w:t>local amendment regarding</w:t>
                            </w:r>
                            <w:r w:rsidRPr="00110AD5">
                              <w:rPr>
                                <w:rFonts w:cs="Arial"/>
                                <w:b/>
                                <w:bCs/>
                                <w:sz w:val="22"/>
                              </w:rPr>
                              <w:t xml:space="preserve"> </w:t>
                            </w:r>
                            <w:hyperlink w:anchor="_Locally_agreed_off-label" w:history="1">
                              <w:r w:rsidRPr="00B24FF2">
                                <w:rPr>
                                  <w:rStyle w:val="Hyperlink"/>
                                  <w:rFonts w:cs="Arial"/>
                                  <w:sz w:val="22"/>
                                  <w:lang w:eastAsia="en-GB"/>
                                </w:rPr>
                                <w:t>Locally agreed off-label use</w:t>
                              </w:r>
                            </w:hyperlink>
                          </w:p>
                          <w:p w14:paraId="590BC102" w14:textId="6DB558B7" w:rsidR="00C172E4" w:rsidRDefault="00C172E4" w:rsidP="00995C9E">
                            <w:pPr>
                              <w:pStyle w:val="ListParagraph"/>
                              <w:numPr>
                                <w:ilvl w:val="0"/>
                                <w:numId w:val="22"/>
                              </w:numPr>
                              <w:spacing w:after="0"/>
                              <w:rPr>
                                <w:rFonts w:eastAsia="Arial" w:cs="Arial"/>
                                <w:color w:val="000000" w:themeColor="text1"/>
                                <w:sz w:val="22"/>
                              </w:rPr>
                            </w:pPr>
                            <w:r w:rsidRPr="00D97F10">
                              <w:rPr>
                                <w:rFonts w:eastAsia="Arial" w:cs="Arial"/>
                                <w:color w:val="000000" w:themeColor="text1"/>
                                <w:sz w:val="22"/>
                              </w:rPr>
                              <w:t xml:space="preserve">To minimise risk of toxicity, the dose instructions in </w:t>
                            </w:r>
                            <w:hyperlink w:anchor="_Initiation_and_ongoing" w:history="1">
                              <w:r w:rsidRPr="00B24FF2">
                                <w:rPr>
                                  <w:rStyle w:val="Hyperlink"/>
                                  <w:rFonts w:eastAsia="Arial" w:cs="Arial"/>
                                  <w:sz w:val="22"/>
                                </w:rPr>
                                <w:t>section 5</w:t>
                              </w:r>
                            </w:hyperlink>
                            <w:r w:rsidRPr="00D97F10">
                              <w:rPr>
                                <w:rFonts w:eastAsia="Arial" w:cs="Arial"/>
                                <w:color w:val="000000" w:themeColor="text1"/>
                                <w:sz w:val="22"/>
                              </w:rPr>
                              <w:t xml:space="preserve"> have been changed to the following (new addition highlighted in blue):</w:t>
                            </w:r>
                          </w:p>
                          <w:p w14:paraId="5DDA697D" w14:textId="77777777" w:rsidR="00BD5B28" w:rsidRPr="00D97F10" w:rsidRDefault="00BD5B28" w:rsidP="00995C9E">
                            <w:pPr>
                              <w:pStyle w:val="ListParagraph"/>
                              <w:spacing w:after="0"/>
                              <w:rPr>
                                <w:rFonts w:eastAsia="Arial" w:cs="Arial"/>
                                <w:color w:val="000000" w:themeColor="text1"/>
                                <w:sz w:val="22"/>
                              </w:rPr>
                            </w:pPr>
                          </w:p>
                          <w:p w14:paraId="6DD18429" w14:textId="77777777" w:rsidR="00C172E4" w:rsidRPr="00D97F10" w:rsidRDefault="00C172E4" w:rsidP="00995C9E">
                            <w:pPr>
                              <w:pStyle w:val="ListParagraph"/>
                              <w:spacing w:after="0"/>
                              <w:rPr>
                                <w:rFonts w:eastAsia="Times New Roman" w:cs="Arial"/>
                                <w:b/>
                                <w:iCs/>
                                <w:color w:val="000000"/>
                                <w:sz w:val="22"/>
                                <w:u w:val="single"/>
                              </w:rPr>
                            </w:pPr>
                            <w:r w:rsidRPr="00D97F10">
                              <w:rPr>
                                <w:rFonts w:eastAsia="Times New Roman" w:cs="Arial"/>
                                <w:b/>
                                <w:iCs/>
                                <w:color w:val="000000"/>
                                <w:sz w:val="22"/>
                                <w:u w:val="single"/>
                              </w:rPr>
                              <w:t>Initial stabilisation:</w:t>
                            </w:r>
                          </w:p>
                          <w:p w14:paraId="776DE252" w14:textId="720C8166" w:rsidR="00C172E4" w:rsidRPr="005500FF" w:rsidRDefault="00C172E4" w:rsidP="00995C9E">
                            <w:pPr>
                              <w:spacing w:after="0"/>
                              <w:ind w:left="720"/>
                              <w:rPr>
                                <w:rFonts w:eastAsia="Times New Roman" w:cs="Arial"/>
                                <w:iCs/>
                                <w:color w:val="000000"/>
                                <w:sz w:val="22"/>
                              </w:rPr>
                            </w:pPr>
                            <w:r w:rsidRPr="00D97F10">
                              <w:rPr>
                                <w:rFonts w:eastAsia="Times New Roman" w:cs="Arial"/>
                                <w:iCs/>
                                <w:color w:val="000000"/>
                                <w:sz w:val="22"/>
                              </w:rPr>
                              <w:t xml:space="preserve">200mg to 400 mg daily. Dose should not exceed </w:t>
                            </w:r>
                            <w:r w:rsidRPr="00D97F10">
                              <w:rPr>
                                <w:rFonts w:eastAsia="Times New Roman" w:cs="Arial"/>
                                <w:iCs/>
                                <w:strike/>
                                <w:color w:val="000000"/>
                                <w:sz w:val="22"/>
                              </w:rPr>
                              <w:t>6.5 mg/kg/day</w:t>
                            </w:r>
                            <w:r w:rsidRPr="00D97F10">
                              <w:rPr>
                                <w:rFonts w:eastAsia="Times New Roman" w:cs="Arial"/>
                                <w:iCs/>
                                <w:color w:val="000000"/>
                                <w:sz w:val="22"/>
                              </w:rPr>
                              <w:t xml:space="preserve"> </w:t>
                            </w:r>
                            <w:r w:rsidRPr="00D97F10">
                              <w:rPr>
                                <w:rFonts w:cstheme="minorHAnsi"/>
                                <w:color w:val="005EB8"/>
                                <w:sz w:val="22"/>
                              </w:rPr>
                              <w:t>5mg/kg/day</w:t>
                            </w:r>
                            <w:r w:rsidRPr="00D97F10">
                              <w:rPr>
                                <w:rFonts w:eastAsia="Times New Roman" w:cs="Arial"/>
                                <w:iCs/>
                                <w:color w:val="000000"/>
                                <w:sz w:val="22"/>
                              </w:rPr>
                              <w:t xml:space="preserve"> (based on actual body weight) </w:t>
                            </w:r>
                            <w:r w:rsidRPr="00D97F10">
                              <w:rPr>
                                <w:rFonts w:cstheme="minorHAnsi"/>
                                <w:color w:val="005EB8"/>
                                <w:sz w:val="22"/>
                              </w:rPr>
                              <w:t>or 400mg per day, whichever is lowest. Note, dose should not exceed 400mg/day regardless of weight.</w:t>
                            </w:r>
                            <w:r w:rsidR="00D97F10">
                              <w:rPr>
                                <w:rFonts w:eastAsia="Times New Roman" w:cs="Arial"/>
                                <w:iCs/>
                                <w:color w:val="000000"/>
                                <w:sz w:val="22"/>
                              </w:rPr>
                              <w:t xml:space="preserve"> </w:t>
                            </w:r>
                            <w:r w:rsidRPr="00D97F10">
                              <w:rPr>
                                <w:rFonts w:eastAsia="Times New Roman" w:cs="Arial"/>
                                <w:b/>
                                <w:iCs/>
                                <w:color w:val="000000"/>
                                <w:sz w:val="22"/>
                              </w:rPr>
                              <w:t>The initial period</w:t>
                            </w:r>
                            <w:r w:rsidRPr="00D97F10">
                              <w:rPr>
                                <w:rFonts w:eastAsia="Times New Roman" w:cs="Arial"/>
                                <w:iCs/>
                                <w:color w:val="000000"/>
                                <w:sz w:val="22"/>
                              </w:rPr>
                              <w:t xml:space="preserve"> </w:t>
                            </w:r>
                            <w:r w:rsidRPr="00D97F10">
                              <w:rPr>
                                <w:rFonts w:eastAsia="Times New Roman" w:cs="Arial"/>
                                <w:b/>
                                <w:iCs/>
                                <w:sz w:val="22"/>
                              </w:rPr>
                              <w:t>must be prescribed by the initiating specialist.</w:t>
                            </w:r>
                          </w:p>
                          <w:p w14:paraId="176736AC" w14:textId="77777777" w:rsidR="00C172E4" w:rsidRPr="00D97F10" w:rsidRDefault="00C172E4" w:rsidP="00995C9E">
                            <w:pPr>
                              <w:spacing w:after="0"/>
                              <w:ind w:left="720"/>
                              <w:rPr>
                                <w:rFonts w:eastAsia="Times New Roman" w:cs="Arial"/>
                                <w:iCs/>
                                <w:color w:val="000000"/>
                                <w:sz w:val="22"/>
                              </w:rPr>
                            </w:pPr>
                            <w:r w:rsidRPr="00D97F10">
                              <w:rPr>
                                <w:rFonts w:eastAsia="Times New Roman" w:cs="Arial"/>
                                <w:b/>
                                <w:iCs/>
                                <w:color w:val="000000"/>
                                <w:sz w:val="22"/>
                                <w:u w:val="single"/>
                              </w:rPr>
                              <w:t>Maintenance dose (following initial stabilisation):</w:t>
                            </w:r>
                          </w:p>
                          <w:p w14:paraId="6DA91B8E" w14:textId="7D735B86" w:rsidR="00C172E4" w:rsidRPr="00D97F10" w:rsidRDefault="00C172E4" w:rsidP="00995C9E">
                            <w:pPr>
                              <w:spacing w:after="0"/>
                              <w:ind w:left="720"/>
                              <w:rPr>
                                <w:rFonts w:eastAsia="Times New Roman" w:cs="Arial"/>
                                <w:iCs/>
                                <w:color w:val="000000"/>
                                <w:sz w:val="22"/>
                              </w:rPr>
                            </w:pPr>
                            <w:r w:rsidRPr="00D97F10">
                              <w:rPr>
                                <w:rFonts w:eastAsia="Times New Roman" w:cs="Arial"/>
                                <w:iCs/>
                                <w:color w:val="000000"/>
                                <w:sz w:val="22"/>
                              </w:rPr>
                              <w:t xml:space="preserve">200mg to 400 mg daily. The risk of significant toxicity increases with doses above 5 mg/kg/day (based on actual body weight). </w:t>
                            </w:r>
                            <w:r w:rsidRPr="00D97F10">
                              <w:rPr>
                                <w:rFonts w:cstheme="minorHAnsi"/>
                                <w:color w:val="005EB8"/>
                                <w:sz w:val="22"/>
                              </w:rPr>
                              <w:t>Note, dose should not exceed 400mg/day regardless of weight.</w:t>
                            </w:r>
                          </w:p>
                          <w:p w14:paraId="0B9303D6" w14:textId="77777777" w:rsidR="00C172E4" w:rsidRPr="00D97F10" w:rsidRDefault="00C172E4" w:rsidP="00995C9E">
                            <w:pPr>
                              <w:spacing w:after="0"/>
                              <w:ind w:left="720"/>
                              <w:rPr>
                                <w:rFonts w:eastAsia="Times New Roman" w:cs="Arial"/>
                                <w:b/>
                                <w:iCs/>
                                <w:color w:val="000000"/>
                                <w:sz w:val="22"/>
                              </w:rPr>
                            </w:pPr>
                            <w:r w:rsidRPr="00D97F10">
                              <w:rPr>
                                <w:rFonts w:eastAsia="Times New Roman" w:cs="Arial"/>
                                <w:b/>
                                <w:iCs/>
                                <w:color w:val="000000"/>
                                <w:sz w:val="22"/>
                              </w:rPr>
                              <w:t>The initial maintenance dose must be prescribed by the initiating specialist.</w:t>
                            </w:r>
                          </w:p>
                          <w:p w14:paraId="50FF326B" w14:textId="77777777" w:rsidR="00D97F10" w:rsidRPr="00D97F10" w:rsidRDefault="00D97F10" w:rsidP="00995C9E">
                            <w:pPr>
                              <w:pStyle w:val="xmsonormal"/>
                              <w:shd w:val="clear" w:color="auto" w:fill="FFFFFF"/>
                              <w:ind w:left="720"/>
                              <w:rPr>
                                <w:rStyle w:val="contentpasted0"/>
                                <w:i/>
                                <w:iCs/>
                                <w:color w:val="FF0000"/>
                                <w:sz w:val="22"/>
                              </w:rPr>
                            </w:pPr>
                          </w:p>
                          <w:p w14:paraId="67CD7DC2" w14:textId="7D55B20F" w:rsidR="00C172E4" w:rsidRPr="00D97F10" w:rsidRDefault="00D97F10" w:rsidP="00995C9E">
                            <w:pPr>
                              <w:pStyle w:val="xmsonormal"/>
                              <w:shd w:val="clear" w:color="auto" w:fill="FFFFFF"/>
                              <w:ind w:left="720"/>
                              <w:rPr>
                                <w:rFonts w:ascii="Arial" w:hAnsi="Arial" w:cstheme="minorHAnsi"/>
                                <w:color w:val="005EB8"/>
                                <w:sz w:val="22"/>
                                <w:lang w:eastAsia="en-US"/>
                              </w:rPr>
                            </w:pPr>
                            <w:r w:rsidRPr="00D97F10">
                              <w:rPr>
                                <w:rFonts w:ascii="Arial" w:hAnsi="Arial" w:cstheme="minorHAnsi"/>
                                <w:color w:val="005EB8"/>
                                <w:sz w:val="22"/>
                                <w:lang w:eastAsia="en-US"/>
                              </w:rPr>
                              <w:t>In exceptional circumstances, where doses exceeding 5mg/kg/day are required, this</w:t>
                            </w:r>
                            <w:r>
                              <w:rPr>
                                <w:rFonts w:ascii="Arial" w:hAnsi="Arial" w:cstheme="minorHAnsi"/>
                                <w:color w:val="005EB8"/>
                                <w:sz w:val="22"/>
                                <w:lang w:eastAsia="en-US"/>
                              </w:rPr>
                              <w:t xml:space="preserve"> </w:t>
                            </w:r>
                            <w:r w:rsidRPr="00D97F10">
                              <w:rPr>
                                <w:rFonts w:ascii="Arial" w:hAnsi="Arial" w:cstheme="minorHAnsi"/>
                                <w:color w:val="005EB8"/>
                                <w:sz w:val="22"/>
                                <w:lang w:eastAsia="en-US"/>
                              </w:rPr>
                              <w:t>is not applicable for shared care and prescribing should remain with the specialist.</w:t>
                            </w:r>
                            <w:r w:rsidRPr="00D97F10">
                              <w:rPr>
                                <w:rFonts w:ascii="Arial" w:hAnsi="Arial" w:cstheme="minorHAnsi"/>
                                <w:color w:val="005EB8"/>
                                <w:sz w:val="22"/>
                                <w:lang w:eastAsia="en-US"/>
                              </w:rPr>
                              <w:br/>
                            </w:r>
                          </w:p>
                          <w:p w14:paraId="331A37F3" w14:textId="630FD22A" w:rsidR="006F533B" w:rsidRDefault="00C172E4" w:rsidP="00995C9E">
                            <w:pPr>
                              <w:pStyle w:val="ListParagraph"/>
                              <w:spacing w:after="0" w:line="240" w:lineRule="auto"/>
                              <w:rPr>
                                <w:rFonts w:eastAsia="Times New Roman" w:cs="Arial"/>
                                <w:iCs/>
                                <w:color w:val="000000"/>
                                <w:sz w:val="22"/>
                              </w:rPr>
                            </w:pPr>
                            <w:r w:rsidRPr="00D97F10">
                              <w:rPr>
                                <w:rFonts w:eastAsia="Times New Roman" w:cs="Arial"/>
                                <w:iCs/>
                                <w:color w:val="000000"/>
                                <w:sz w:val="22"/>
                              </w:rPr>
                              <w:t xml:space="preserve">The above dose instructions have been agreed by SWL clinical networks. It was also agreed that doses </w:t>
                            </w:r>
                            <w:r w:rsidR="00D97F10">
                              <w:rPr>
                                <w:rFonts w:eastAsia="Times New Roman" w:cs="Arial"/>
                                <w:iCs/>
                                <w:color w:val="000000"/>
                                <w:sz w:val="22"/>
                              </w:rPr>
                              <w:t>≥</w:t>
                            </w:r>
                            <w:r w:rsidRPr="00D97F10">
                              <w:rPr>
                                <w:rFonts w:eastAsia="Times New Roman" w:cs="Arial"/>
                                <w:iCs/>
                                <w:color w:val="000000"/>
                                <w:sz w:val="22"/>
                              </w:rPr>
                              <w:t xml:space="preserve">5mg/kg should </w:t>
                            </w:r>
                            <w:r w:rsidRPr="00D97F10">
                              <w:rPr>
                                <w:rFonts w:eastAsia="Times New Roman" w:cs="Arial"/>
                                <w:b/>
                                <w:bCs/>
                                <w:iCs/>
                                <w:color w:val="000000"/>
                                <w:sz w:val="22"/>
                              </w:rPr>
                              <w:t>not</w:t>
                            </w:r>
                            <w:r w:rsidRPr="00D97F10">
                              <w:rPr>
                                <w:rFonts w:eastAsia="Times New Roman" w:cs="Arial"/>
                                <w:iCs/>
                                <w:color w:val="000000"/>
                                <w:sz w:val="22"/>
                              </w:rPr>
                              <w:t xml:space="preserve"> be applicable for shared care and should </w:t>
                            </w:r>
                            <w:r w:rsidRPr="00B24FF2">
                              <w:rPr>
                                <w:rFonts w:eastAsia="Times New Roman" w:cs="Arial"/>
                                <w:iCs/>
                                <w:color w:val="000000"/>
                                <w:sz w:val="22"/>
                              </w:rPr>
                              <w:t>remain with the specialist.</w:t>
                            </w:r>
                            <w:r w:rsidR="00D97F10" w:rsidRPr="00D97F10">
                              <w:rPr>
                                <w:rFonts w:eastAsia="Times New Roman" w:cs="Arial"/>
                                <w:iCs/>
                                <w:color w:val="000000"/>
                                <w:sz w:val="22"/>
                              </w:rPr>
                              <w:t xml:space="preserve"> </w:t>
                            </w:r>
                          </w:p>
                          <w:p w14:paraId="2AE0DC03" w14:textId="0992FA0A" w:rsidR="00C172E4" w:rsidRPr="00D97F10" w:rsidRDefault="00D97F10" w:rsidP="00995C9E">
                            <w:pPr>
                              <w:pStyle w:val="ListParagraph"/>
                              <w:spacing w:after="0" w:line="240" w:lineRule="auto"/>
                              <w:rPr>
                                <w:rFonts w:eastAsia="Times New Roman" w:cs="Arial"/>
                                <w:iCs/>
                                <w:color w:val="000000"/>
                                <w:sz w:val="22"/>
                              </w:rPr>
                            </w:pPr>
                            <w:r w:rsidRPr="00D97F10">
                              <w:rPr>
                                <w:rFonts w:eastAsia="Times New Roman" w:cs="Arial"/>
                                <w:iCs/>
                                <w:color w:val="000000"/>
                                <w:sz w:val="22"/>
                              </w:rPr>
                              <w:t xml:space="preserve">The above dose recommendation is based on </w:t>
                            </w:r>
                            <w:hyperlink r:id="rId12" w:history="1">
                              <w:r w:rsidRPr="00D97F10">
                                <w:rPr>
                                  <w:rStyle w:val="Hyperlink"/>
                                  <w:rFonts w:eastAsia="Times New Roman" w:cs="Arial"/>
                                  <w:iCs/>
                                  <w:sz w:val="22"/>
                                </w:rPr>
                                <w:t>RCOPH guideline</w:t>
                              </w:r>
                            </w:hyperlink>
                            <w:r w:rsidRPr="00D97F10">
                              <w:rPr>
                                <w:rFonts w:eastAsia="Times New Roman" w:cs="Arial"/>
                                <w:iCs/>
                                <w:color w:val="000000"/>
                                <w:sz w:val="22"/>
                              </w:rPr>
                              <w:t xml:space="preserve"> &amp; </w:t>
                            </w:r>
                            <w:hyperlink r:id="rId13" w:history="1">
                              <w:r w:rsidRPr="00D97F10">
                                <w:rPr>
                                  <w:rStyle w:val="Hyperlink"/>
                                  <w:rFonts w:cs="Arial"/>
                                  <w:sz w:val="22"/>
                                </w:rPr>
                                <w:t>AAO guidance</w:t>
                              </w:r>
                            </w:hyperlink>
                            <w:r w:rsidR="007728C3">
                              <w:rPr>
                                <w:rFonts w:cs="Arial"/>
                                <w:color w:val="000000"/>
                                <w:sz w:val="22"/>
                              </w:rPr>
                              <w:t xml:space="preserve"> and </w:t>
                            </w:r>
                            <w:hyperlink r:id="rId14" w:history="1">
                              <w:r w:rsidR="007728C3" w:rsidRPr="00982DEF">
                                <w:rPr>
                                  <w:rStyle w:val="Hyperlink"/>
                                  <w:rFonts w:cs="Arial"/>
                                  <w:sz w:val="22"/>
                                </w:rPr>
                                <w:t>RMOC guidance</w:t>
                              </w:r>
                            </w:hyperlink>
                            <w:r w:rsidR="007728C3">
                              <w:rPr>
                                <w:rFonts w:cs="Arial"/>
                                <w:color w:val="000000"/>
                                <w:sz w:val="22"/>
                              </w:rPr>
                              <w:t xml:space="preserve">. </w:t>
                            </w:r>
                          </w:p>
                          <w:p w14:paraId="129811E6" w14:textId="77777777" w:rsidR="00C172E4" w:rsidRPr="00D97F10" w:rsidRDefault="00C172E4" w:rsidP="00995C9E">
                            <w:pPr>
                              <w:pStyle w:val="ListParagraph"/>
                              <w:spacing w:after="0"/>
                              <w:rPr>
                                <w:rFonts w:eastAsia="Arial" w:cs="Arial"/>
                                <w:color w:val="000000" w:themeColor="text1"/>
                                <w:sz w:val="22"/>
                              </w:rPr>
                            </w:pPr>
                          </w:p>
                          <w:p w14:paraId="7AD82E11" w14:textId="0E4A7D0A" w:rsidR="00BD5B28" w:rsidRPr="008912BD" w:rsidRDefault="00307FE2" w:rsidP="00995C9E">
                            <w:pPr>
                              <w:pStyle w:val="ListParagraph"/>
                              <w:numPr>
                                <w:ilvl w:val="0"/>
                                <w:numId w:val="22"/>
                              </w:numPr>
                              <w:spacing w:after="0"/>
                              <w:rPr>
                                <w:rFonts w:eastAsia="Arial" w:cs="Arial"/>
                                <w:color w:val="000000" w:themeColor="text1"/>
                                <w:sz w:val="22"/>
                              </w:rPr>
                            </w:pPr>
                            <w:r w:rsidRPr="00D97F10">
                              <w:rPr>
                                <w:rFonts w:eastAsia="Times New Roman" w:cs="Arial"/>
                                <w:sz w:val="22"/>
                                <w:lang w:eastAsia="en-GB"/>
                              </w:rPr>
                              <w:t xml:space="preserve">To reiterate, as stated in </w:t>
                            </w:r>
                            <w:hyperlink w:anchor="_Baseline_investigations,_initial" w:history="1">
                              <w:r w:rsidRPr="00B24FF2">
                                <w:rPr>
                                  <w:rStyle w:val="Hyperlink"/>
                                  <w:rFonts w:eastAsia="Times New Roman" w:cs="Arial"/>
                                  <w:sz w:val="22"/>
                                  <w:lang w:eastAsia="en-GB"/>
                                </w:rPr>
                                <w:t>section 8</w:t>
                              </w:r>
                            </w:hyperlink>
                            <w:r w:rsidRPr="00D97F10">
                              <w:rPr>
                                <w:rFonts w:eastAsia="Times New Roman" w:cs="Arial"/>
                                <w:sz w:val="22"/>
                                <w:lang w:eastAsia="en-GB"/>
                              </w:rPr>
                              <w:t>: ‘</w:t>
                            </w:r>
                            <w:r w:rsidRPr="00D97F10">
                              <w:rPr>
                                <w:rFonts w:eastAsia="Arial" w:cs="Arial"/>
                                <w:sz w:val="22"/>
                              </w:rPr>
                              <w:t xml:space="preserve">The specialist will retain the responsibility for monitoring the patient’s ongoing response to treatment and advise if a dose change or treatment cessation is appropriate. This should usually be undertaken annually. After each review, advise primary care whether treatment should be continued, confirm the ongoing dose, and whether the ongoing monitoring outlined in </w:t>
                            </w:r>
                            <w:hyperlink w:anchor="_Ongoing_monitoring_requirements" w:history="1">
                              <w:r w:rsidRPr="00B24FF2">
                                <w:rPr>
                                  <w:rStyle w:val="Hyperlink"/>
                                  <w:rFonts w:eastAsia="Arial" w:cs="Arial"/>
                                  <w:sz w:val="22"/>
                                </w:rPr>
                                <w:t>section 9</w:t>
                              </w:r>
                            </w:hyperlink>
                            <w:r w:rsidRPr="00D97F10">
                              <w:rPr>
                                <w:rFonts w:eastAsia="Arial" w:cs="Arial"/>
                                <w:sz w:val="22"/>
                              </w:rPr>
                              <w:t xml:space="preserve"> remains appropriate.’</w:t>
                            </w:r>
                          </w:p>
                          <w:p w14:paraId="3187545D" w14:textId="77777777" w:rsidR="008912BD" w:rsidRPr="008912BD" w:rsidRDefault="008912BD" w:rsidP="008912BD">
                            <w:pPr>
                              <w:pStyle w:val="ListParagraph"/>
                              <w:spacing w:after="0"/>
                              <w:rPr>
                                <w:rFonts w:eastAsia="Arial" w:cs="Arial"/>
                                <w:color w:val="000000" w:themeColor="text1"/>
                                <w:sz w:val="22"/>
                              </w:rPr>
                            </w:pPr>
                          </w:p>
                          <w:p w14:paraId="20D50301" w14:textId="77777777" w:rsidR="00BD5B28" w:rsidRPr="008912BD" w:rsidRDefault="00BD5B28" w:rsidP="008912BD">
                            <w:pPr>
                              <w:spacing w:after="0" w:line="240" w:lineRule="auto"/>
                              <w:ind w:left="360"/>
                              <w:rPr>
                                <w:rFonts w:ascii="Aptos" w:hAnsi="Aptos"/>
                                <w:b/>
                                <w:bCs/>
                                <w:sz w:val="20"/>
                                <w:szCs w:val="20"/>
                              </w:rPr>
                            </w:pPr>
                            <w:r w:rsidRPr="008912BD">
                              <w:rPr>
                                <w:b/>
                                <w:bCs/>
                                <w:sz w:val="20"/>
                                <w:szCs w:val="20"/>
                              </w:rPr>
                              <w:t>Version Control History</w:t>
                            </w:r>
                          </w:p>
                          <w:p w14:paraId="26E0F3D7" w14:textId="77777777" w:rsidR="00BD5B28" w:rsidRPr="008912BD" w:rsidRDefault="00BD5B28" w:rsidP="008912BD">
                            <w:pPr>
                              <w:spacing w:after="0" w:line="240" w:lineRule="auto"/>
                              <w:ind w:left="360"/>
                              <w:rPr>
                                <w:sz w:val="20"/>
                                <w:szCs w:val="20"/>
                              </w:rPr>
                            </w:pPr>
                            <w:r w:rsidRPr="008912BD">
                              <w:rPr>
                                <w:sz w:val="20"/>
                                <w:szCs w:val="20"/>
                              </w:rPr>
                              <w:t>Date: 15</w:t>
                            </w:r>
                            <w:r w:rsidRPr="008912BD">
                              <w:rPr>
                                <w:sz w:val="20"/>
                                <w:szCs w:val="20"/>
                                <w:vertAlign w:val="superscript"/>
                              </w:rPr>
                              <w:t>th</w:t>
                            </w:r>
                            <w:r w:rsidRPr="008912BD">
                              <w:rPr>
                                <w:sz w:val="20"/>
                                <w:szCs w:val="20"/>
                              </w:rPr>
                              <w:t xml:space="preserve"> February 2023, updated January 25</w:t>
                            </w:r>
                          </w:p>
                          <w:p w14:paraId="1EF7349B" w14:textId="77777777" w:rsidR="00BD5B28" w:rsidRPr="008912BD" w:rsidRDefault="00BD5B28" w:rsidP="008912BD">
                            <w:pPr>
                              <w:spacing w:after="0" w:line="240" w:lineRule="auto"/>
                              <w:ind w:left="360"/>
                              <w:rPr>
                                <w:sz w:val="20"/>
                                <w:szCs w:val="20"/>
                              </w:rPr>
                            </w:pPr>
                            <w:r w:rsidRPr="008912BD">
                              <w:rPr>
                                <w:sz w:val="20"/>
                                <w:szCs w:val="20"/>
                              </w:rPr>
                              <w:t>Version: 1.1</w:t>
                            </w:r>
                          </w:p>
                          <w:p w14:paraId="0CA9EC50" w14:textId="77777777" w:rsidR="00BD5B28" w:rsidRPr="008912BD" w:rsidRDefault="00BD5B28" w:rsidP="008912BD">
                            <w:pPr>
                              <w:spacing w:after="0" w:line="240" w:lineRule="auto"/>
                              <w:ind w:left="360"/>
                              <w:rPr>
                                <w:sz w:val="20"/>
                                <w:szCs w:val="20"/>
                              </w:rPr>
                            </w:pPr>
                            <w:r w:rsidRPr="008912BD">
                              <w:rPr>
                                <w:sz w:val="20"/>
                                <w:szCs w:val="20"/>
                              </w:rPr>
                              <w:t>Type of change: Minor</w:t>
                            </w:r>
                          </w:p>
                          <w:p w14:paraId="6DDB6FE8" w14:textId="77777777" w:rsidR="00BD5B28" w:rsidRPr="008912BD" w:rsidRDefault="00BD5B28" w:rsidP="008912BD">
                            <w:pPr>
                              <w:spacing w:after="0" w:line="240" w:lineRule="auto"/>
                              <w:ind w:left="360"/>
                              <w:rPr>
                                <w:sz w:val="20"/>
                                <w:szCs w:val="20"/>
                              </w:rPr>
                            </w:pPr>
                            <w:r w:rsidRPr="008912BD">
                              <w:rPr>
                                <w:sz w:val="20"/>
                                <w:szCs w:val="20"/>
                              </w:rPr>
                              <w:t>Summary of change: Review date extended to February 26</w:t>
                            </w:r>
                          </w:p>
                          <w:p w14:paraId="14431925" w14:textId="77777777" w:rsidR="00307FE2" w:rsidRDefault="00307FE2" w:rsidP="008912BD">
                            <w:pPr>
                              <w:pStyle w:val="ListParagraph"/>
                              <w:spacing w:after="0"/>
                              <w:rPr>
                                <w:sz w:val="20"/>
                                <w:szCs w:val="20"/>
                              </w:rPr>
                            </w:pPr>
                          </w:p>
                          <w:p w14:paraId="6BDEFEAC" w14:textId="77777777" w:rsidR="008912BD" w:rsidRPr="00255B8C" w:rsidRDefault="008912BD" w:rsidP="008912BD">
                            <w:pPr>
                              <w:pStyle w:val="ListParagraph"/>
                              <w:spacing w:after="0" w:line="240" w:lineRule="auto"/>
                              <w:ind w:left="340"/>
                              <w:rPr>
                                <w:sz w:val="20"/>
                                <w:szCs w:val="20"/>
                              </w:rPr>
                            </w:pPr>
                            <w:r w:rsidRPr="00255B8C">
                              <w:rPr>
                                <w:sz w:val="20"/>
                                <w:szCs w:val="20"/>
                              </w:rPr>
                              <w:t>Date: 15</w:t>
                            </w:r>
                            <w:r w:rsidRPr="00255B8C">
                              <w:rPr>
                                <w:sz w:val="20"/>
                                <w:szCs w:val="20"/>
                                <w:vertAlign w:val="superscript"/>
                              </w:rPr>
                              <w:t>th</w:t>
                            </w:r>
                            <w:r w:rsidRPr="00255B8C">
                              <w:rPr>
                                <w:sz w:val="20"/>
                                <w:szCs w:val="20"/>
                              </w:rPr>
                              <w:t xml:space="preserve"> February 2023, updated December 2025</w:t>
                            </w:r>
                          </w:p>
                          <w:p w14:paraId="64DD0258" w14:textId="77777777" w:rsidR="008912BD" w:rsidRPr="00255B8C" w:rsidRDefault="008912BD" w:rsidP="008912BD">
                            <w:pPr>
                              <w:pStyle w:val="ListParagraph"/>
                              <w:spacing w:after="0" w:line="240" w:lineRule="auto"/>
                              <w:ind w:left="340"/>
                              <w:rPr>
                                <w:sz w:val="20"/>
                                <w:szCs w:val="20"/>
                              </w:rPr>
                            </w:pPr>
                            <w:r w:rsidRPr="00255B8C">
                              <w:rPr>
                                <w:sz w:val="20"/>
                                <w:szCs w:val="20"/>
                              </w:rPr>
                              <w:t>Version: 1.2</w:t>
                            </w:r>
                          </w:p>
                          <w:p w14:paraId="0DAFDF89" w14:textId="77777777" w:rsidR="008912BD" w:rsidRPr="00255B8C" w:rsidRDefault="008912BD" w:rsidP="008912BD">
                            <w:pPr>
                              <w:pStyle w:val="ListParagraph"/>
                              <w:spacing w:after="0" w:line="240" w:lineRule="auto"/>
                              <w:ind w:left="340"/>
                              <w:rPr>
                                <w:sz w:val="20"/>
                                <w:szCs w:val="20"/>
                              </w:rPr>
                            </w:pPr>
                            <w:r w:rsidRPr="00255B8C">
                              <w:rPr>
                                <w:sz w:val="20"/>
                                <w:szCs w:val="20"/>
                              </w:rPr>
                              <w:t>Type of change: Minor</w:t>
                            </w:r>
                          </w:p>
                          <w:p w14:paraId="2F1F3E06" w14:textId="77777777" w:rsidR="008912BD" w:rsidRPr="00255B8C" w:rsidRDefault="008912BD" w:rsidP="008912BD">
                            <w:pPr>
                              <w:pStyle w:val="ListParagraph"/>
                              <w:spacing w:after="0" w:line="240" w:lineRule="auto"/>
                              <w:ind w:left="340"/>
                              <w:rPr>
                                <w:sz w:val="20"/>
                                <w:szCs w:val="20"/>
                              </w:rPr>
                            </w:pPr>
                            <w:r w:rsidRPr="00255B8C">
                              <w:rPr>
                                <w:sz w:val="20"/>
                                <w:szCs w:val="20"/>
                              </w:rPr>
                              <w:t>Summary of change: Review date extended to February 2028</w:t>
                            </w:r>
                          </w:p>
                          <w:p w14:paraId="6D092E6E" w14:textId="77777777" w:rsidR="008912BD" w:rsidRDefault="008912BD" w:rsidP="008912BD">
                            <w:pPr>
                              <w:pStyle w:val="ListParagraph"/>
                              <w:spacing w:after="0"/>
                              <w:rPr>
                                <w:sz w:val="20"/>
                                <w:szCs w:val="20"/>
                              </w:rPr>
                            </w:pPr>
                          </w:p>
                          <w:p w14:paraId="497D8D50" w14:textId="77777777" w:rsidR="008912BD" w:rsidRPr="0042420D" w:rsidRDefault="008912BD" w:rsidP="00307FE2">
                            <w:pPr>
                              <w:pStyle w:val="ListParagrap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72C7BD" id="_x0000_t202" coordsize="21600,21600" o:spt="202" path="m,l,21600r21600,l21600,xe">
                <v:stroke joinstyle="miter"/>
                <v:path gradientshapeok="t" o:connecttype="rect"/>
              </v:shapetype>
              <v:shape id="Text Box 10" o:spid="_x0000_s1026" type="#_x0000_t202" style="position:absolute;left:0;text-align:left;margin-left:-44.65pt;margin-top:24.05pt;width:525pt;height:55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" filled="f" strokecolor="#00b050" strokeweight="3pt">
                <v:textbox>
                  <w:txbxContent>
                    <w:p w14:paraId="1598D7B7" w14:textId="77777777" w:rsidR="00307FE2" w:rsidRDefault="00307FE2" w:rsidP="00995C9E">
                      <w:pPr>
                        <w:spacing w:after="0" w:line="20" w:lineRule="atLeast"/>
                        <w:rPr>
                          <w:rFonts w:cs="Arial"/>
                          <w:b/>
                          <w:bCs/>
                          <w:sz w:val="22"/>
                        </w:rPr>
                      </w:pPr>
                      <w:r w:rsidRPr="00576E09">
                        <w:rPr>
                          <w:rFonts w:cstheme="minorHAnsi"/>
                          <w:b/>
                          <w:bCs/>
                          <w:color w:val="005EB8"/>
                          <w:sz w:val="28"/>
                        </w:rPr>
                        <w:t>SWL L</w:t>
                      </w:r>
                      <w:r>
                        <w:rPr>
                          <w:rFonts w:cstheme="minorHAnsi"/>
                          <w:b/>
                          <w:bCs/>
                          <w:color w:val="005EB8"/>
                          <w:sz w:val="28"/>
                        </w:rPr>
                        <w:t>ocal</w:t>
                      </w:r>
                      <w:r w:rsidRPr="00576E09">
                        <w:rPr>
                          <w:rFonts w:cstheme="minorHAnsi"/>
                          <w:b/>
                          <w:bCs/>
                          <w:color w:val="005EB8"/>
                          <w:sz w:val="28"/>
                        </w:rPr>
                        <w:t xml:space="preserve"> A</w:t>
                      </w:r>
                      <w:r>
                        <w:rPr>
                          <w:rFonts w:cstheme="minorHAnsi"/>
                          <w:b/>
                          <w:bCs/>
                          <w:color w:val="005EB8"/>
                          <w:sz w:val="28"/>
                        </w:rPr>
                        <w:t>daptation</w:t>
                      </w:r>
                      <w:r>
                        <w:rPr>
                          <w:rFonts w:cstheme="minorHAnsi"/>
                          <w:b/>
                          <w:bCs/>
                          <w:color w:val="005EB8"/>
                          <w:sz w:val="28"/>
                        </w:rPr>
                        <w:br/>
                      </w:r>
                      <w:r>
                        <w:rPr>
                          <w:rFonts w:cs="Arial"/>
                          <w:b/>
                          <w:bCs/>
                          <w:sz w:val="22"/>
                        </w:rPr>
                        <w:t>March 2023</w:t>
                      </w:r>
                    </w:p>
                    <w:p w14:paraId="46503DE7" w14:textId="77777777" w:rsidR="00BD5B28" w:rsidRPr="002F77E3" w:rsidRDefault="00BD5B28" w:rsidP="00995C9E">
                      <w:pPr>
                        <w:spacing w:after="0" w:line="20" w:lineRule="atLeast"/>
                        <w:rPr>
                          <w:rFonts w:cstheme="minorHAnsi"/>
                          <w:b/>
                          <w:bCs/>
                          <w:color w:val="005EB8"/>
                          <w:sz w:val="28"/>
                        </w:rPr>
                      </w:pPr>
                    </w:p>
                    <w:p w14:paraId="2398502A" w14:textId="618735ED" w:rsidR="00307FE2" w:rsidRDefault="00307FE2" w:rsidP="00995C9E">
                      <w:pPr>
                        <w:spacing w:after="0"/>
                        <w:rPr>
                          <w:rStyle w:val="Hyperlink"/>
                          <w:rFonts w:cs="Arial"/>
                          <w:sz w:val="22"/>
                          <w:lang w:eastAsia="en-GB"/>
                        </w:rPr>
                      </w:pPr>
                      <w:r w:rsidRPr="006B5715">
                        <w:rPr>
                          <w:rFonts w:cs="Arial"/>
                          <w:sz w:val="22"/>
                        </w:rPr>
                        <w:t xml:space="preserve">Please </w:t>
                      </w:r>
                      <w:r>
                        <w:rPr>
                          <w:rFonts w:cs="Arial"/>
                          <w:sz w:val="22"/>
                        </w:rPr>
                        <w:t xml:space="preserve">follow link to </w:t>
                      </w:r>
                      <w:r w:rsidRPr="006B5715">
                        <w:rPr>
                          <w:rFonts w:cs="Arial"/>
                          <w:sz w:val="22"/>
                        </w:rPr>
                        <w:t>local amendment regarding</w:t>
                      </w:r>
                      <w:r w:rsidRPr="00110AD5">
                        <w:rPr>
                          <w:rFonts w:cs="Arial"/>
                          <w:b/>
                          <w:bCs/>
                          <w:sz w:val="22"/>
                        </w:rPr>
                        <w:t xml:space="preserve"> </w:t>
                      </w:r>
                      <w:hyperlink w:anchor="_Locally_agreed_off-label" w:history="1">
                        <w:r w:rsidRPr="00B24FF2">
                          <w:rPr>
                            <w:rStyle w:val="Hyperlink"/>
                            <w:rFonts w:cs="Arial"/>
                            <w:sz w:val="22"/>
                            <w:lang w:eastAsia="en-GB"/>
                          </w:rPr>
                          <w:t>Locally agreed off-label use</w:t>
                        </w:r>
                      </w:hyperlink>
                    </w:p>
                    <w:p w14:paraId="590BC102" w14:textId="6DB558B7" w:rsidR="00C172E4" w:rsidRDefault="00C172E4" w:rsidP="00995C9E">
                      <w:pPr>
                        <w:pStyle w:val="ListParagraph"/>
                        <w:numPr>
                          <w:ilvl w:val="0"/>
                          <w:numId w:val="22"/>
                        </w:numPr>
                        <w:spacing w:after="0"/>
                        <w:rPr>
                          <w:rFonts w:eastAsia="Arial" w:cs="Arial"/>
                          <w:color w:val="000000" w:themeColor="text1"/>
                          <w:sz w:val="22"/>
                        </w:rPr>
                      </w:pPr>
                      <w:r w:rsidRPr="00D97F10">
                        <w:rPr>
                          <w:rFonts w:eastAsia="Arial" w:cs="Arial"/>
                          <w:color w:val="000000" w:themeColor="text1"/>
                          <w:sz w:val="22"/>
                        </w:rPr>
                        <w:t xml:space="preserve">To minimise risk of toxicity, the dose instructions in </w:t>
                      </w:r>
                      <w:hyperlink w:anchor="_Initiation_and_ongoing" w:history="1">
                        <w:r w:rsidRPr="00B24FF2">
                          <w:rPr>
                            <w:rStyle w:val="Hyperlink"/>
                            <w:rFonts w:eastAsia="Arial" w:cs="Arial"/>
                            <w:sz w:val="22"/>
                          </w:rPr>
                          <w:t>section 5</w:t>
                        </w:r>
                      </w:hyperlink>
                      <w:r w:rsidRPr="00D97F10">
                        <w:rPr>
                          <w:rFonts w:eastAsia="Arial" w:cs="Arial"/>
                          <w:color w:val="000000" w:themeColor="text1"/>
                          <w:sz w:val="22"/>
                        </w:rPr>
                        <w:t xml:space="preserve"> have been changed to the following (new addition highlighted in blue):</w:t>
                      </w:r>
                    </w:p>
                    <w:p w14:paraId="5DDA697D" w14:textId="77777777" w:rsidR="00BD5B28" w:rsidRPr="00D97F10" w:rsidRDefault="00BD5B28" w:rsidP="00995C9E">
                      <w:pPr>
                        <w:pStyle w:val="ListParagraph"/>
                        <w:spacing w:after="0"/>
                        <w:rPr>
                          <w:rFonts w:eastAsia="Arial" w:cs="Arial"/>
                          <w:color w:val="000000" w:themeColor="text1"/>
                          <w:sz w:val="22"/>
                        </w:rPr>
                      </w:pPr>
                    </w:p>
                    <w:p w14:paraId="6DD18429" w14:textId="77777777" w:rsidR="00C172E4" w:rsidRPr="00D97F10" w:rsidRDefault="00C172E4" w:rsidP="00995C9E">
                      <w:pPr>
                        <w:pStyle w:val="ListParagraph"/>
                        <w:spacing w:after="0"/>
                        <w:rPr>
                          <w:rFonts w:eastAsia="Times New Roman" w:cs="Arial"/>
                          <w:b/>
                          <w:iCs/>
                          <w:color w:val="000000"/>
                          <w:sz w:val="22"/>
                          <w:u w:val="single"/>
                        </w:rPr>
                      </w:pPr>
                      <w:r w:rsidRPr="00D97F10">
                        <w:rPr>
                          <w:rFonts w:eastAsia="Times New Roman" w:cs="Arial"/>
                          <w:b/>
                          <w:iCs/>
                          <w:color w:val="000000"/>
                          <w:sz w:val="22"/>
                          <w:u w:val="single"/>
                        </w:rPr>
                        <w:t>Initial stabilisation:</w:t>
                      </w:r>
                    </w:p>
                    <w:p w14:paraId="776DE252" w14:textId="720C8166" w:rsidR="00C172E4" w:rsidRPr="005500FF" w:rsidRDefault="00C172E4" w:rsidP="00995C9E">
                      <w:pPr>
                        <w:spacing w:after="0"/>
                        <w:ind w:left="720"/>
                        <w:rPr>
                          <w:rFonts w:eastAsia="Times New Roman" w:cs="Arial"/>
                          <w:iCs/>
                          <w:color w:val="000000"/>
                          <w:sz w:val="22"/>
                        </w:rPr>
                      </w:pPr>
                      <w:r w:rsidRPr="00D97F10">
                        <w:rPr>
                          <w:rFonts w:eastAsia="Times New Roman" w:cs="Arial"/>
                          <w:iCs/>
                          <w:color w:val="000000"/>
                          <w:sz w:val="22"/>
                        </w:rPr>
                        <w:t xml:space="preserve">200mg to 400 mg daily. Dose should not exceed </w:t>
                      </w:r>
                      <w:r w:rsidRPr="00D97F10">
                        <w:rPr>
                          <w:rFonts w:eastAsia="Times New Roman" w:cs="Arial"/>
                          <w:iCs/>
                          <w:strike/>
                          <w:color w:val="000000"/>
                          <w:sz w:val="22"/>
                        </w:rPr>
                        <w:t>6.5 mg/kg/day</w:t>
                      </w:r>
                      <w:r w:rsidRPr="00D97F10">
                        <w:rPr>
                          <w:rFonts w:eastAsia="Times New Roman" w:cs="Arial"/>
                          <w:iCs/>
                          <w:color w:val="000000"/>
                          <w:sz w:val="22"/>
                        </w:rPr>
                        <w:t xml:space="preserve"> </w:t>
                      </w:r>
                      <w:r w:rsidRPr="00D97F10">
                        <w:rPr>
                          <w:rFonts w:cstheme="minorHAnsi"/>
                          <w:color w:val="005EB8"/>
                          <w:sz w:val="22"/>
                        </w:rPr>
                        <w:t>5mg/kg/day</w:t>
                      </w:r>
                      <w:r w:rsidRPr="00D97F10">
                        <w:rPr>
                          <w:rFonts w:eastAsia="Times New Roman" w:cs="Arial"/>
                          <w:iCs/>
                          <w:color w:val="000000"/>
                          <w:sz w:val="22"/>
                        </w:rPr>
                        <w:t xml:space="preserve"> (based on actual body weight) </w:t>
                      </w:r>
                      <w:r w:rsidRPr="00D97F10">
                        <w:rPr>
                          <w:rFonts w:cstheme="minorHAnsi"/>
                          <w:color w:val="005EB8"/>
                          <w:sz w:val="22"/>
                        </w:rPr>
                        <w:t>or 400mg per day, whichever is lowest. Note, dose should not exceed 400mg/day regardless of weight.</w:t>
                      </w:r>
                      <w:r w:rsidR="00D97F10">
                        <w:rPr>
                          <w:rFonts w:eastAsia="Times New Roman" w:cs="Arial"/>
                          <w:iCs/>
                          <w:color w:val="000000"/>
                          <w:sz w:val="22"/>
                        </w:rPr>
                        <w:t xml:space="preserve"> </w:t>
                      </w:r>
                      <w:r w:rsidRPr="00D97F10">
                        <w:rPr>
                          <w:rFonts w:eastAsia="Times New Roman" w:cs="Arial"/>
                          <w:b/>
                          <w:iCs/>
                          <w:color w:val="000000"/>
                          <w:sz w:val="22"/>
                        </w:rPr>
                        <w:t>The initial period</w:t>
                      </w:r>
                      <w:r w:rsidRPr="00D97F10">
                        <w:rPr>
                          <w:rFonts w:eastAsia="Times New Roman" w:cs="Arial"/>
                          <w:iCs/>
                          <w:color w:val="000000"/>
                          <w:sz w:val="22"/>
                        </w:rPr>
                        <w:t xml:space="preserve"> </w:t>
                      </w:r>
                      <w:r w:rsidRPr="00D97F10">
                        <w:rPr>
                          <w:rFonts w:eastAsia="Times New Roman" w:cs="Arial"/>
                          <w:b/>
                          <w:iCs/>
                          <w:sz w:val="22"/>
                        </w:rPr>
                        <w:t>must be prescribed by the initiating specialist.</w:t>
                      </w:r>
                    </w:p>
                    <w:p w14:paraId="176736AC" w14:textId="77777777" w:rsidR="00C172E4" w:rsidRPr="00D97F10" w:rsidRDefault="00C172E4" w:rsidP="00995C9E">
                      <w:pPr>
                        <w:spacing w:after="0"/>
                        <w:ind w:left="720"/>
                        <w:rPr>
                          <w:rFonts w:eastAsia="Times New Roman" w:cs="Arial"/>
                          <w:iCs/>
                          <w:color w:val="000000"/>
                          <w:sz w:val="22"/>
                        </w:rPr>
                      </w:pPr>
                      <w:r w:rsidRPr="00D97F10">
                        <w:rPr>
                          <w:rFonts w:eastAsia="Times New Roman" w:cs="Arial"/>
                          <w:b/>
                          <w:iCs/>
                          <w:color w:val="000000"/>
                          <w:sz w:val="22"/>
                          <w:u w:val="single"/>
                        </w:rPr>
                        <w:t>Maintenance dose (following initial stabilisation):</w:t>
                      </w:r>
                    </w:p>
                    <w:p w14:paraId="6DA91B8E" w14:textId="7D735B86" w:rsidR="00C172E4" w:rsidRPr="00D97F10" w:rsidRDefault="00C172E4" w:rsidP="00995C9E">
                      <w:pPr>
                        <w:spacing w:after="0"/>
                        <w:ind w:left="720"/>
                        <w:rPr>
                          <w:rFonts w:eastAsia="Times New Roman" w:cs="Arial"/>
                          <w:iCs/>
                          <w:color w:val="000000"/>
                          <w:sz w:val="22"/>
                        </w:rPr>
                      </w:pPr>
                      <w:r w:rsidRPr="00D97F10">
                        <w:rPr>
                          <w:rFonts w:eastAsia="Times New Roman" w:cs="Arial"/>
                          <w:iCs/>
                          <w:color w:val="000000"/>
                          <w:sz w:val="22"/>
                        </w:rPr>
                        <w:t xml:space="preserve">200mg to 400 mg daily. The risk of significant toxicity increases with doses above 5 mg/kg/day (based on actual body weight). </w:t>
                      </w:r>
                      <w:r w:rsidRPr="00D97F10">
                        <w:rPr>
                          <w:rFonts w:cstheme="minorHAnsi"/>
                          <w:color w:val="005EB8"/>
                          <w:sz w:val="22"/>
                        </w:rPr>
                        <w:t>Note, dose should not exceed 400mg/day regardless of weight.</w:t>
                      </w:r>
                    </w:p>
                    <w:p w14:paraId="0B9303D6" w14:textId="77777777" w:rsidR="00C172E4" w:rsidRPr="00D97F10" w:rsidRDefault="00C172E4" w:rsidP="00995C9E">
                      <w:pPr>
                        <w:spacing w:after="0"/>
                        <w:ind w:left="720"/>
                        <w:rPr>
                          <w:rFonts w:eastAsia="Times New Roman" w:cs="Arial"/>
                          <w:b/>
                          <w:iCs/>
                          <w:color w:val="000000"/>
                          <w:sz w:val="22"/>
                        </w:rPr>
                      </w:pPr>
                      <w:r w:rsidRPr="00D97F10">
                        <w:rPr>
                          <w:rFonts w:eastAsia="Times New Roman" w:cs="Arial"/>
                          <w:b/>
                          <w:iCs/>
                          <w:color w:val="000000"/>
                          <w:sz w:val="22"/>
                        </w:rPr>
                        <w:t>The initial maintenance dose must be prescribed by the initiating specialist.</w:t>
                      </w:r>
                    </w:p>
                    <w:p w14:paraId="50FF326B" w14:textId="77777777" w:rsidR="00D97F10" w:rsidRPr="00D97F10" w:rsidRDefault="00D97F10" w:rsidP="00995C9E">
                      <w:pPr>
                        <w:pStyle w:val="xmsonormal"/>
                        <w:shd w:val="clear" w:color="auto" w:fill="FFFFFF"/>
                        <w:ind w:left="720"/>
                        <w:rPr>
                          <w:rStyle w:val="contentpasted0"/>
                          <w:i/>
                          <w:iCs/>
                          <w:color w:val="FF0000"/>
                          <w:sz w:val="22"/>
                        </w:rPr>
                      </w:pPr>
                    </w:p>
                    <w:p w14:paraId="67CD7DC2" w14:textId="7D55B20F" w:rsidR="00C172E4" w:rsidRPr="00D97F10" w:rsidRDefault="00D97F10" w:rsidP="00995C9E">
                      <w:pPr>
                        <w:pStyle w:val="xmsonormal"/>
                        <w:shd w:val="clear" w:color="auto" w:fill="FFFFFF"/>
                        <w:ind w:left="720"/>
                        <w:rPr>
                          <w:rFonts w:ascii="Arial" w:hAnsi="Arial" w:cstheme="minorHAnsi"/>
                          <w:color w:val="005EB8"/>
                          <w:sz w:val="22"/>
                          <w:lang w:eastAsia="en-US"/>
                        </w:rPr>
                      </w:pPr>
                      <w:r w:rsidRPr="00D97F10">
                        <w:rPr>
                          <w:rFonts w:ascii="Arial" w:hAnsi="Arial" w:cstheme="minorHAnsi"/>
                          <w:color w:val="005EB8"/>
                          <w:sz w:val="22"/>
                          <w:lang w:eastAsia="en-US"/>
                        </w:rPr>
                        <w:t>In exceptional circumstances, where doses exceeding 5mg/kg/day are required, this</w:t>
                      </w:r>
                      <w:r>
                        <w:rPr>
                          <w:rFonts w:ascii="Arial" w:hAnsi="Arial" w:cstheme="minorHAnsi"/>
                          <w:color w:val="005EB8"/>
                          <w:sz w:val="22"/>
                          <w:lang w:eastAsia="en-US"/>
                        </w:rPr>
                        <w:t xml:space="preserve"> </w:t>
                      </w:r>
                      <w:r w:rsidRPr="00D97F10">
                        <w:rPr>
                          <w:rFonts w:ascii="Arial" w:hAnsi="Arial" w:cstheme="minorHAnsi"/>
                          <w:color w:val="005EB8"/>
                          <w:sz w:val="22"/>
                          <w:lang w:eastAsia="en-US"/>
                        </w:rPr>
                        <w:t>is not applicable for shared care and prescribing should remain with the specialist.</w:t>
                      </w:r>
                      <w:r w:rsidRPr="00D97F10">
                        <w:rPr>
                          <w:rFonts w:ascii="Arial" w:hAnsi="Arial" w:cstheme="minorHAnsi"/>
                          <w:color w:val="005EB8"/>
                          <w:sz w:val="22"/>
                          <w:lang w:eastAsia="en-US"/>
                        </w:rPr>
                        <w:br/>
                      </w:r>
                    </w:p>
                    <w:p w14:paraId="331A37F3" w14:textId="630FD22A" w:rsidR="006F533B" w:rsidRDefault="00C172E4" w:rsidP="00995C9E">
                      <w:pPr>
                        <w:pStyle w:val="ListParagraph"/>
                        <w:spacing w:after="0" w:line="240" w:lineRule="auto"/>
                        <w:rPr>
                          <w:rFonts w:eastAsia="Times New Roman" w:cs="Arial"/>
                          <w:iCs/>
                          <w:color w:val="000000"/>
                          <w:sz w:val="22"/>
                        </w:rPr>
                      </w:pPr>
                      <w:r w:rsidRPr="00D97F10">
                        <w:rPr>
                          <w:rFonts w:eastAsia="Times New Roman" w:cs="Arial"/>
                          <w:iCs/>
                          <w:color w:val="000000"/>
                          <w:sz w:val="22"/>
                        </w:rPr>
                        <w:t xml:space="preserve">The above dose instructions have been agreed by SWL clinical networks. It was also agreed that doses </w:t>
                      </w:r>
                      <w:r w:rsidR="00D97F10">
                        <w:rPr>
                          <w:rFonts w:eastAsia="Times New Roman" w:cs="Arial"/>
                          <w:iCs/>
                          <w:color w:val="000000"/>
                          <w:sz w:val="22"/>
                        </w:rPr>
                        <w:t>≥</w:t>
                      </w:r>
                      <w:r w:rsidRPr="00D97F10">
                        <w:rPr>
                          <w:rFonts w:eastAsia="Times New Roman" w:cs="Arial"/>
                          <w:iCs/>
                          <w:color w:val="000000"/>
                          <w:sz w:val="22"/>
                        </w:rPr>
                        <w:t xml:space="preserve">5mg/kg should </w:t>
                      </w:r>
                      <w:r w:rsidRPr="00D97F10">
                        <w:rPr>
                          <w:rFonts w:eastAsia="Times New Roman" w:cs="Arial"/>
                          <w:b/>
                          <w:bCs/>
                          <w:iCs/>
                          <w:color w:val="000000"/>
                          <w:sz w:val="22"/>
                        </w:rPr>
                        <w:t>not</w:t>
                      </w:r>
                      <w:r w:rsidRPr="00D97F10">
                        <w:rPr>
                          <w:rFonts w:eastAsia="Times New Roman" w:cs="Arial"/>
                          <w:iCs/>
                          <w:color w:val="000000"/>
                          <w:sz w:val="22"/>
                        </w:rPr>
                        <w:t xml:space="preserve"> be applicable for shared care and should </w:t>
                      </w:r>
                      <w:r w:rsidRPr="00B24FF2">
                        <w:rPr>
                          <w:rFonts w:eastAsia="Times New Roman" w:cs="Arial"/>
                          <w:iCs/>
                          <w:color w:val="000000"/>
                          <w:sz w:val="22"/>
                        </w:rPr>
                        <w:t>remain with the specialist.</w:t>
                      </w:r>
                      <w:r w:rsidR="00D97F10" w:rsidRPr="00D97F10">
                        <w:rPr>
                          <w:rFonts w:eastAsia="Times New Roman" w:cs="Arial"/>
                          <w:iCs/>
                          <w:color w:val="000000"/>
                          <w:sz w:val="22"/>
                        </w:rPr>
                        <w:t xml:space="preserve"> </w:t>
                      </w:r>
                    </w:p>
                    <w:p w14:paraId="2AE0DC03" w14:textId="0992FA0A" w:rsidR="00C172E4" w:rsidRPr="00D97F10" w:rsidRDefault="00D97F10" w:rsidP="00995C9E">
                      <w:pPr>
                        <w:pStyle w:val="ListParagraph"/>
                        <w:spacing w:after="0" w:line="240" w:lineRule="auto"/>
                        <w:rPr>
                          <w:rFonts w:eastAsia="Times New Roman" w:cs="Arial"/>
                          <w:iCs/>
                          <w:color w:val="000000"/>
                          <w:sz w:val="22"/>
                        </w:rPr>
                      </w:pPr>
                      <w:r w:rsidRPr="00D97F10">
                        <w:rPr>
                          <w:rFonts w:eastAsia="Times New Roman" w:cs="Arial"/>
                          <w:iCs/>
                          <w:color w:val="000000"/>
                          <w:sz w:val="22"/>
                        </w:rPr>
                        <w:t xml:space="preserve">The above dose recommendation is based on </w:t>
                      </w:r>
                      <w:hyperlink r:id="rId15" w:history="1">
                        <w:r w:rsidRPr="00D97F10">
                          <w:rPr>
                            <w:rStyle w:val="Hyperlink"/>
                            <w:rFonts w:eastAsia="Times New Roman" w:cs="Arial"/>
                            <w:iCs/>
                            <w:sz w:val="22"/>
                          </w:rPr>
                          <w:t>RCOPH guideline</w:t>
                        </w:r>
                      </w:hyperlink>
                      <w:r w:rsidRPr="00D97F10">
                        <w:rPr>
                          <w:rFonts w:eastAsia="Times New Roman" w:cs="Arial"/>
                          <w:iCs/>
                          <w:color w:val="000000"/>
                          <w:sz w:val="22"/>
                        </w:rPr>
                        <w:t xml:space="preserve"> &amp; </w:t>
                      </w:r>
                      <w:hyperlink r:id="rId16" w:history="1">
                        <w:r w:rsidRPr="00D97F10">
                          <w:rPr>
                            <w:rStyle w:val="Hyperlink"/>
                            <w:rFonts w:cs="Arial"/>
                            <w:sz w:val="22"/>
                          </w:rPr>
                          <w:t>AAO guidance</w:t>
                        </w:r>
                      </w:hyperlink>
                      <w:r w:rsidR="007728C3">
                        <w:rPr>
                          <w:rFonts w:cs="Arial"/>
                          <w:color w:val="000000"/>
                          <w:sz w:val="22"/>
                        </w:rPr>
                        <w:t xml:space="preserve"> and </w:t>
                      </w:r>
                      <w:hyperlink r:id="rId17" w:history="1">
                        <w:r w:rsidR="007728C3" w:rsidRPr="00982DEF">
                          <w:rPr>
                            <w:rStyle w:val="Hyperlink"/>
                            <w:rFonts w:cs="Arial"/>
                            <w:sz w:val="22"/>
                          </w:rPr>
                          <w:t>RMOC guidance</w:t>
                        </w:r>
                      </w:hyperlink>
                      <w:r w:rsidR="007728C3">
                        <w:rPr>
                          <w:rFonts w:cs="Arial"/>
                          <w:color w:val="000000"/>
                          <w:sz w:val="22"/>
                        </w:rPr>
                        <w:t xml:space="preserve">. </w:t>
                      </w:r>
                    </w:p>
                    <w:p w14:paraId="129811E6" w14:textId="77777777" w:rsidR="00C172E4" w:rsidRPr="00D97F10" w:rsidRDefault="00C172E4" w:rsidP="00995C9E">
                      <w:pPr>
                        <w:pStyle w:val="ListParagraph"/>
                        <w:spacing w:after="0"/>
                        <w:rPr>
                          <w:rFonts w:eastAsia="Arial" w:cs="Arial"/>
                          <w:color w:val="000000" w:themeColor="text1"/>
                          <w:sz w:val="22"/>
                        </w:rPr>
                      </w:pPr>
                    </w:p>
                    <w:p w14:paraId="7AD82E11" w14:textId="0E4A7D0A" w:rsidR="00BD5B28" w:rsidRPr="008912BD" w:rsidRDefault="00307FE2" w:rsidP="00995C9E">
                      <w:pPr>
                        <w:pStyle w:val="ListParagraph"/>
                        <w:numPr>
                          <w:ilvl w:val="0"/>
                          <w:numId w:val="22"/>
                        </w:numPr>
                        <w:spacing w:after="0"/>
                        <w:rPr>
                          <w:rFonts w:eastAsia="Arial" w:cs="Arial"/>
                          <w:color w:val="000000" w:themeColor="text1"/>
                          <w:sz w:val="22"/>
                        </w:rPr>
                      </w:pPr>
                      <w:r w:rsidRPr="00D97F10">
                        <w:rPr>
                          <w:rFonts w:eastAsia="Times New Roman" w:cs="Arial"/>
                          <w:sz w:val="22"/>
                          <w:lang w:eastAsia="en-GB"/>
                        </w:rPr>
                        <w:t xml:space="preserve">To reiterate, as stated in </w:t>
                      </w:r>
                      <w:hyperlink w:anchor="_Baseline_investigations,_initial" w:history="1">
                        <w:r w:rsidRPr="00B24FF2">
                          <w:rPr>
                            <w:rStyle w:val="Hyperlink"/>
                            <w:rFonts w:eastAsia="Times New Roman" w:cs="Arial"/>
                            <w:sz w:val="22"/>
                            <w:lang w:eastAsia="en-GB"/>
                          </w:rPr>
                          <w:t>section 8</w:t>
                        </w:r>
                      </w:hyperlink>
                      <w:r w:rsidRPr="00D97F10">
                        <w:rPr>
                          <w:rFonts w:eastAsia="Times New Roman" w:cs="Arial"/>
                          <w:sz w:val="22"/>
                          <w:lang w:eastAsia="en-GB"/>
                        </w:rPr>
                        <w:t>: ‘</w:t>
                      </w:r>
                      <w:r w:rsidRPr="00D97F10">
                        <w:rPr>
                          <w:rFonts w:eastAsia="Arial" w:cs="Arial"/>
                          <w:sz w:val="22"/>
                        </w:rPr>
                        <w:t xml:space="preserve">The specialist will retain the responsibility for monitoring the patient’s ongoing response to treatment and advise if a dose change or treatment cessation is appropriate. This should usually be undertaken annually. After each review, advise primary care whether treatment should be continued, confirm the ongoing dose, and whether the ongoing monitoring outlined in </w:t>
                      </w:r>
                      <w:hyperlink w:anchor="_Ongoing_monitoring_requirements" w:history="1">
                        <w:r w:rsidRPr="00B24FF2">
                          <w:rPr>
                            <w:rStyle w:val="Hyperlink"/>
                            <w:rFonts w:eastAsia="Arial" w:cs="Arial"/>
                            <w:sz w:val="22"/>
                          </w:rPr>
                          <w:t>section 9</w:t>
                        </w:r>
                      </w:hyperlink>
                      <w:r w:rsidRPr="00D97F10">
                        <w:rPr>
                          <w:rFonts w:eastAsia="Arial" w:cs="Arial"/>
                          <w:sz w:val="22"/>
                        </w:rPr>
                        <w:t xml:space="preserve"> remains appropriate.’</w:t>
                      </w:r>
                    </w:p>
                    <w:p w14:paraId="3187545D" w14:textId="77777777" w:rsidR="008912BD" w:rsidRPr="008912BD" w:rsidRDefault="008912BD" w:rsidP="008912BD">
                      <w:pPr>
                        <w:pStyle w:val="ListParagraph"/>
                        <w:spacing w:after="0"/>
                        <w:rPr>
                          <w:rFonts w:eastAsia="Arial" w:cs="Arial"/>
                          <w:color w:val="000000" w:themeColor="text1"/>
                          <w:sz w:val="22"/>
                        </w:rPr>
                      </w:pPr>
                    </w:p>
                    <w:p w14:paraId="20D50301" w14:textId="77777777" w:rsidR="00BD5B28" w:rsidRPr="008912BD" w:rsidRDefault="00BD5B28" w:rsidP="008912BD">
                      <w:pPr>
                        <w:spacing w:after="0" w:line="240" w:lineRule="auto"/>
                        <w:ind w:left="360"/>
                        <w:rPr>
                          <w:rFonts w:ascii="Aptos" w:hAnsi="Aptos"/>
                          <w:b/>
                          <w:bCs/>
                          <w:sz w:val="20"/>
                          <w:szCs w:val="20"/>
                        </w:rPr>
                      </w:pPr>
                      <w:r w:rsidRPr="008912BD">
                        <w:rPr>
                          <w:b/>
                          <w:bCs/>
                          <w:sz w:val="20"/>
                          <w:szCs w:val="20"/>
                        </w:rPr>
                        <w:t>Version Control History</w:t>
                      </w:r>
                    </w:p>
                    <w:p w14:paraId="26E0F3D7" w14:textId="77777777" w:rsidR="00BD5B28" w:rsidRPr="008912BD" w:rsidRDefault="00BD5B28" w:rsidP="008912BD">
                      <w:pPr>
                        <w:spacing w:after="0" w:line="240" w:lineRule="auto"/>
                        <w:ind w:left="360"/>
                        <w:rPr>
                          <w:sz w:val="20"/>
                          <w:szCs w:val="20"/>
                        </w:rPr>
                      </w:pPr>
                      <w:r w:rsidRPr="008912BD">
                        <w:rPr>
                          <w:sz w:val="20"/>
                          <w:szCs w:val="20"/>
                        </w:rPr>
                        <w:t>Date: 15</w:t>
                      </w:r>
                      <w:r w:rsidRPr="008912BD">
                        <w:rPr>
                          <w:sz w:val="20"/>
                          <w:szCs w:val="20"/>
                          <w:vertAlign w:val="superscript"/>
                        </w:rPr>
                        <w:t>th</w:t>
                      </w:r>
                      <w:r w:rsidRPr="008912BD">
                        <w:rPr>
                          <w:sz w:val="20"/>
                          <w:szCs w:val="20"/>
                        </w:rPr>
                        <w:t xml:space="preserve"> February 2023, updated January 25</w:t>
                      </w:r>
                    </w:p>
                    <w:p w14:paraId="1EF7349B" w14:textId="77777777" w:rsidR="00BD5B28" w:rsidRPr="008912BD" w:rsidRDefault="00BD5B28" w:rsidP="008912BD">
                      <w:pPr>
                        <w:spacing w:after="0" w:line="240" w:lineRule="auto"/>
                        <w:ind w:left="360"/>
                        <w:rPr>
                          <w:sz w:val="20"/>
                          <w:szCs w:val="20"/>
                        </w:rPr>
                      </w:pPr>
                      <w:r w:rsidRPr="008912BD">
                        <w:rPr>
                          <w:sz w:val="20"/>
                          <w:szCs w:val="20"/>
                        </w:rPr>
                        <w:t>Version: 1.1</w:t>
                      </w:r>
                    </w:p>
                    <w:p w14:paraId="0CA9EC50" w14:textId="77777777" w:rsidR="00BD5B28" w:rsidRPr="008912BD" w:rsidRDefault="00BD5B28" w:rsidP="008912BD">
                      <w:pPr>
                        <w:spacing w:after="0" w:line="240" w:lineRule="auto"/>
                        <w:ind w:left="360"/>
                        <w:rPr>
                          <w:sz w:val="20"/>
                          <w:szCs w:val="20"/>
                        </w:rPr>
                      </w:pPr>
                      <w:r w:rsidRPr="008912BD">
                        <w:rPr>
                          <w:sz w:val="20"/>
                          <w:szCs w:val="20"/>
                        </w:rPr>
                        <w:t>Type of change: Minor</w:t>
                      </w:r>
                    </w:p>
                    <w:p w14:paraId="6DDB6FE8" w14:textId="77777777" w:rsidR="00BD5B28" w:rsidRPr="008912BD" w:rsidRDefault="00BD5B28" w:rsidP="008912BD">
                      <w:pPr>
                        <w:spacing w:after="0" w:line="240" w:lineRule="auto"/>
                        <w:ind w:left="360"/>
                        <w:rPr>
                          <w:sz w:val="20"/>
                          <w:szCs w:val="20"/>
                        </w:rPr>
                      </w:pPr>
                      <w:r w:rsidRPr="008912BD">
                        <w:rPr>
                          <w:sz w:val="20"/>
                          <w:szCs w:val="20"/>
                        </w:rPr>
                        <w:t>Summary of change: Review date extended to February 26</w:t>
                      </w:r>
                    </w:p>
                    <w:p w14:paraId="14431925" w14:textId="77777777" w:rsidR="00307FE2" w:rsidRDefault="00307FE2" w:rsidP="008912BD">
                      <w:pPr>
                        <w:pStyle w:val="ListParagraph"/>
                        <w:spacing w:after="0"/>
                        <w:rPr>
                          <w:sz w:val="20"/>
                          <w:szCs w:val="20"/>
                        </w:rPr>
                      </w:pPr>
                    </w:p>
                    <w:p w14:paraId="6BDEFEAC" w14:textId="77777777" w:rsidR="008912BD" w:rsidRPr="00255B8C" w:rsidRDefault="008912BD" w:rsidP="008912BD">
                      <w:pPr>
                        <w:pStyle w:val="ListParagraph"/>
                        <w:spacing w:after="0" w:line="240" w:lineRule="auto"/>
                        <w:ind w:left="340"/>
                        <w:rPr>
                          <w:sz w:val="20"/>
                          <w:szCs w:val="20"/>
                        </w:rPr>
                      </w:pPr>
                      <w:r w:rsidRPr="00255B8C">
                        <w:rPr>
                          <w:sz w:val="20"/>
                          <w:szCs w:val="20"/>
                        </w:rPr>
                        <w:t>Date: 15</w:t>
                      </w:r>
                      <w:r w:rsidRPr="00255B8C">
                        <w:rPr>
                          <w:sz w:val="20"/>
                          <w:szCs w:val="20"/>
                          <w:vertAlign w:val="superscript"/>
                        </w:rPr>
                        <w:t>th</w:t>
                      </w:r>
                      <w:r w:rsidRPr="00255B8C">
                        <w:rPr>
                          <w:sz w:val="20"/>
                          <w:szCs w:val="20"/>
                        </w:rPr>
                        <w:t xml:space="preserve"> February 2023, updated December 2025</w:t>
                      </w:r>
                    </w:p>
                    <w:p w14:paraId="64DD0258" w14:textId="77777777" w:rsidR="008912BD" w:rsidRPr="00255B8C" w:rsidRDefault="008912BD" w:rsidP="008912BD">
                      <w:pPr>
                        <w:pStyle w:val="ListParagraph"/>
                        <w:spacing w:after="0" w:line="240" w:lineRule="auto"/>
                        <w:ind w:left="340"/>
                        <w:rPr>
                          <w:sz w:val="20"/>
                          <w:szCs w:val="20"/>
                        </w:rPr>
                      </w:pPr>
                      <w:r w:rsidRPr="00255B8C">
                        <w:rPr>
                          <w:sz w:val="20"/>
                          <w:szCs w:val="20"/>
                        </w:rPr>
                        <w:t>Version: 1.2</w:t>
                      </w:r>
                    </w:p>
                    <w:p w14:paraId="0DAFDF89" w14:textId="77777777" w:rsidR="008912BD" w:rsidRPr="00255B8C" w:rsidRDefault="008912BD" w:rsidP="008912BD">
                      <w:pPr>
                        <w:pStyle w:val="ListParagraph"/>
                        <w:spacing w:after="0" w:line="240" w:lineRule="auto"/>
                        <w:ind w:left="340"/>
                        <w:rPr>
                          <w:sz w:val="20"/>
                          <w:szCs w:val="20"/>
                        </w:rPr>
                      </w:pPr>
                      <w:r w:rsidRPr="00255B8C">
                        <w:rPr>
                          <w:sz w:val="20"/>
                          <w:szCs w:val="20"/>
                        </w:rPr>
                        <w:t>Type of change: Minor</w:t>
                      </w:r>
                    </w:p>
                    <w:p w14:paraId="2F1F3E06" w14:textId="77777777" w:rsidR="008912BD" w:rsidRPr="00255B8C" w:rsidRDefault="008912BD" w:rsidP="008912BD">
                      <w:pPr>
                        <w:pStyle w:val="ListParagraph"/>
                        <w:spacing w:after="0" w:line="240" w:lineRule="auto"/>
                        <w:ind w:left="340"/>
                        <w:rPr>
                          <w:sz w:val="20"/>
                          <w:szCs w:val="20"/>
                        </w:rPr>
                      </w:pPr>
                      <w:r w:rsidRPr="00255B8C">
                        <w:rPr>
                          <w:sz w:val="20"/>
                          <w:szCs w:val="20"/>
                        </w:rPr>
                        <w:t>Summary of change: Review date extended to February 2028</w:t>
                      </w:r>
                    </w:p>
                    <w:p w14:paraId="6D092E6E" w14:textId="77777777" w:rsidR="008912BD" w:rsidRDefault="008912BD" w:rsidP="008912BD">
                      <w:pPr>
                        <w:pStyle w:val="ListParagraph"/>
                        <w:spacing w:after="0"/>
                        <w:rPr>
                          <w:sz w:val="20"/>
                          <w:szCs w:val="20"/>
                        </w:rPr>
                      </w:pPr>
                    </w:p>
                    <w:p w14:paraId="497D8D50" w14:textId="77777777" w:rsidR="008912BD" w:rsidRPr="0042420D" w:rsidRDefault="008912BD" w:rsidP="00307FE2">
                      <w:pPr>
                        <w:pStyle w:val="ListParagraph"/>
                        <w:rPr>
                          <w:sz w:val="20"/>
                          <w:szCs w:val="20"/>
                        </w:rPr>
                      </w:pPr>
                    </w:p>
                  </w:txbxContent>
                </v:textbox>
                <w10:wrap type="through" anchorx="margin"/>
              </v:shape>
            </w:pict>
          </mc:Fallback>
        </mc:AlternateContent>
      </w:r>
      <w:r w:rsidR="004206F9" w:rsidRPr="00D70482">
        <w:rPr>
          <w:sz w:val="24"/>
        </w:rPr>
        <w:t>Version 1</w:t>
      </w:r>
      <w:r w:rsidR="00BD5B28" w:rsidRPr="00D70482">
        <w:rPr>
          <w:sz w:val="24"/>
        </w:rPr>
        <w:t>.</w:t>
      </w:r>
      <w:r w:rsidR="008912BD">
        <w:rPr>
          <w:sz w:val="24"/>
        </w:rPr>
        <w:t>2</w:t>
      </w:r>
    </w:p>
    <w:p w14:paraId="363F5317" w14:textId="77777777" w:rsidR="00995C9E" w:rsidRPr="00AA2C35" w:rsidRDefault="00995C9E" w:rsidP="00995C9E">
      <w:pPr>
        <w:spacing w:after="0" w:line="240" w:lineRule="auto"/>
        <w:ind w:hanging="567"/>
      </w:pPr>
      <w:r w:rsidRPr="00AA2C35">
        <w:lastRenderedPageBreak/>
        <w:t>Approved by: Integrated medicines committee (IMOC)</w:t>
      </w:r>
    </w:p>
    <w:p w14:paraId="36636B1A" w14:textId="77777777" w:rsidR="00995C9E" w:rsidRPr="00AA2C35" w:rsidRDefault="00995C9E" w:rsidP="00995C9E">
      <w:pPr>
        <w:spacing w:after="0" w:line="240" w:lineRule="auto"/>
        <w:ind w:hanging="567"/>
      </w:pPr>
      <w:r w:rsidRPr="00AA2C35">
        <w:t>Approval date: 15</w:t>
      </w:r>
      <w:r w:rsidRPr="00AA2C35">
        <w:rPr>
          <w:vertAlign w:val="superscript"/>
        </w:rPr>
        <w:t>th</w:t>
      </w:r>
      <w:r w:rsidRPr="00AA2C35">
        <w:t xml:space="preserve"> February 2023</w:t>
      </w:r>
    </w:p>
    <w:p w14:paraId="1F10A4CE" w14:textId="77777777" w:rsidR="00995C9E" w:rsidRPr="00AA2C35" w:rsidRDefault="00995C9E" w:rsidP="00995C9E">
      <w:pPr>
        <w:spacing w:after="0" w:line="240" w:lineRule="auto"/>
        <w:ind w:left="-567"/>
      </w:pPr>
      <w:r w:rsidRPr="00AA2C35">
        <w:t>Review Date: January 2025, as per NHS England. Extended to February 2028, agreed by</w:t>
      </w:r>
      <w:r>
        <w:t xml:space="preserve"> </w:t>
      </w:r>
      <w:r w:rsidRPr="00AA2C35">
        <w:t>Integrated Medicines Optimisation Committee December 2025</w:t>
      </w:r>
    </w:p>
    <w:p w14:paraId="3CE40178" w14:textId="77777777" w:rsidR="00BD5B28" w:rsidRDefault="00BD5B28" w:rsidP="00BD5B28">
      <w:pPr>
        <w:ind w:left="-709"/>
        <w:rPr>
          <w:rFonts w:eastAsia="Arial" w:cs="Arial"/>
          <w:szCs w:val="24"/>
        </w:rPr>
      </w:pPr>
    </w:p>
    <w:p w14:paraId="4DB54D52" w14:textId="77777777" w:rsidR="00BD5B28" w:rsidRDefault="00BD5B28" w:rsidP="00BD5B28">
      <w:pPr>
        <w:ind w:left="-709"/>
        <w:rPr>
          <w:rFonts w:eastAsia="Calibri" w:cs="Arial"/>
          <w:b/>
          <w:bCs/>
          <w:szCs w:val="24"/>
          <w:shd w:val="clear" w:color="auto" w:fill="FFFFFF"/>
        </w:rPr>
      </w:pPr>
      <w:r w:rsidRPr="00CF00BA">
        <w:rPr>
          <w:noProof/>
        </w:rPr>
        <mc:AlternateContent>
          <mc:Choice Requires="wps">
            <w:drawing>
              <wp:inline distT="45720" distB="45720" distL="114300" distR="114300" wp14:anchorId="3F641EF4" wp14:editId="7F045127">
                <wp:extent cx="6616700" cy="1078302"/>
                <wp:effectExtent l="0" t="0" r="12700" b="26670"/>
                <wp:docPr id="668743880" name="Text Box 668743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078302"/>
                        </a:xfrm>
                        <a:prstGeom prst="rect">
                          <a:avLst/>
                        </a:prstGeom>
                        <a:solidFill>
                          <a:srgbClr val="FFFFFF"/>
                        </a:solidFill>
                        <a:ln w="9525">
                          <a:solidFill>
                            <a:srgbClr val="000000"/>
                          </a:solidFill>
                          <a:miter lim="800000"/>
                          <a:headEnd/>
                          <a:tailEnd/>
                        </a:ln>
                      </wps:spPr>
                      <wps:txbx>
                        <w:txbxContent>
                          <w:p w14:paraId="0F2E171A" w14:textId="77777777" w:rsidR="00BD5B28" w:rsidRPr="00C55EA7" w:rsidRDefault="00BD5B28" w:rsidP="00BD5B28">
                            <w:pPr>
                              <w:spacing w:after="200"/>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8"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9"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0"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1"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7638F3EB" w14:textId="77777777" w:rsidR="00BD5B28" w:rsidRPr="00450216" w:rsidRDefault="00BD5B28" w:rsidP="00BD5B28">
                            <w:pPr>
                              <w:spacing w:after="50"/>
                              <w:rPr>
                                <w:b/>
                                <w:bCs/>
                              </w:rPr>
                            </w:pPr>
                          </w:p>
                        </w:txbxContent>
                      </wps:txbx>
                      <wps:bodyPr rot="0" vert="horz" wrap="square" lIns="91440" tIns="45720" rIns="91440" bIns="45720" anchor="t" anchorCtr="0">
                        <a:noAutofit/>
                      </wps:bodyPr>
                    </wps:wsp>
                  </a:graphicData>
                </a:graphic>
              </wp:inline>
            </w:drawing>
          </mc:Choice>
          <mc:Fallback>
            <w:pict>
              <v:shape w14:anchorId="3F641EF4" id="Text Box 668743880" o:spid="_x0000_s1027" type="#_x0000_t202" style="width:521pt;height:8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">
                <v:textbox>
                  <w:txbxContent>
                    <w:p w14:paraId="0F2E171A" w14:textId="77777777" w:rsidR="00BD5B28" w:rsidRPr="00C55EA7" w:rsidRDefault="00BD5B28" w:rsidP="00BD5B28">
                      <w:pPr>
                        <w:spacing w:after="200"/>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22"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23"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4"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5"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7638F3EB" w14:textId="77777777" w:rsidR="00BD5B28" w:rsidRPr="00450216" w:rsidRDefault="00BD5B28" w:rsidP="00BD5B28">
                      <w:pPr>
                        <w:spacing w:after="50"/>
                        <w:rPr>
                          <w:b/>
                          <w:bCs/>
                        </w:rPr>
                      </w:pPr>
                    </w:p>
                  </w:txbxContent>
                </v:textbox>
                <w10:anchorlock/>
              </v:shape>
            </w:pict>
          </mc:Fallback>
        </mc:AlternateContent>
      </w:r>
    </w:p>
    <w:p w14:paraId="7384CB48" w14:textId="77777777" w:rsidR="007C7494" w:rsidRDefault="007C7494" w:rsidP="004206F9">
      <w:pPr>
        <w:ind w:left="-709"/>
      </w:pPr>
    </w:p>
    <w:p w14:paraId="2F356782" w14:textId="77777777" w:rsidR="00BD5B28" w:rsidRDefault="00BD5B28" w:rsidP="004206F9">
      <w:pPr>
        <w:ind w:left="-709"/>
      </w:pPr>
    </w:p>
    <w:p w14:paraId="69FD2FF5" w14:textId="0BDD6974" w:rsidR="00BD5B28" w:rsidRPr="00CF00BA" w:rsidRDefault="00BD5B28" w:rsidP="004206F9">
      <w:pPr>
        <w:ind w:left="-709"/>
        <w:sectPr w:rsidR="00BD5B28" w:rsidRPr="00CF00BA" w:rsidSect="00995C9E">
          <w:footerReference w:type="default" r:id="rId26"/>
          <w:headerReference w:type="first" r:id="rId27"/>
          <w:pgSz w:w="11906" w:h="16838"/>
          <w:pgMar w:top="2835" w:right="1418" w:bottom="567" w:left="1418" w:header="709" w:footer="709" w:gutter="0"/>
          <w:cols w:space="708"/>
          <w:titlePg/>
          <w:docGrid w:linePitch="360"/>
        </w:sect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8"/>
        <w:gridCol w:w="3389"/>
        <w:gridCol w:w="5228"/>
      </w:tblGrid>
      <w:tr w:rsidR="00055685" w:rsidRPr="00CF00BA" w14:paraId="146E6787" w14:textId="77777777" w:rsidTr="009AF2D1">
        <w:trPr>
          <w:jc w:val="center"/>
        </w:trPr>
        <w:tc>
          <w:tcPr>
            <w:tcW w:w="10455" w:type="dxa"/>
            <w:gridSpan w:val="3"/>
            <w:tcBorders>
              <w:bottom w:val="single" w:sz="4" w:space="0" w:color="auto"/>
            </w:tcBorders>
            <w:shd w:val="clear" w:color="auto" w:fill="F2F2F2" w:themeFill="background1" w:themeFillShade="F2"/>
          </w:tcPr>
          <w:p w14:paraId="7A244829" w14:textId="42ED3BDE" w:rsidR="00055685" w:rsidRPr="00CF00BA" w:rsidRDefault="00055685" w:rsidP="007C7494">
            <w:pPr>
              <w:pStyle w:val="Heading2"/>
              <w:spacing w:before="0"/>
              <w:rPr>
                <w:lang w:eastAsia="en-GB"/>
              </w:rPr>
            </w:pPr>
            <w:bookmarkStart w:id="0" w:name="Responsibilities"/>
            <w:r w:rsidRPr="00CF00BA">
              <w:rPr>
                <w:lang w:eastAsia="en-GB"/>
              </w:rPr>
              <w:t>Specialist responsibilities</w:t>
            </w:r>
          </w:p>
          <w:bookmarkEnd w:id="0"/>
          <w:p w14:paraId="368C3DE3" w14:textId="79F5D814" w:rsidR="000469BF" w:rsidRPr="00CF00BA" w:rsidRDefault="000469BF" w:rsidP="00EA58C4">
            <w:pPr>
              <w:numPr>
                <w:ilvl w:val="0"/>
                <w:numId w:val="11"/>
              </w:numPr>
              <w:spacing w:after="0"/>
              <w:ind w:left="357" w:hanging="357"/>
              <w:rPr>
                <w:rFonts w:eastAsia="Times New Roman" w:cs="Arial"/>
                <w:iCs/>
                <w:color w:val="000000"/>
                <w:szCs w:val="24"/>
                <w:lang w:eastAsia="en-GB"/>
              </w:rPr>
            </w:pPr>
            <w:r w:rsidRPr="00CF00BA">
              <w:rPr>
                <w:rFonts w:eastAsia="Times New Roman" w:cs="Arial"/>
                <w:iCs/>
                <w:color w:val="000000"/>
                <w:szCs w:val="24"/>
                <w:lang w:eastAsia="en-GB"/>
              </w:rPr>
              <w:t>Assess the patient and provide diagnosis; ensure that this diagnosis is within scope of this shared care protocol (</w:t>
            </w:r>
            <w:hyperlink w:anchor="Two_indications" w:history="1">
              <w:r w:rsidRPr="00CF00BA">
                <w:rPr>
                  <w:rFonts w:eastAsia="Times New Roman" w:cs="Arial"/>
                  <w:iCs/>
                  <w:color w:val="0000FF" w:themeColor="hyperlink"/>
                  <w:szCs w:val="24"/>
                  <w:u w:val="single"/>
                  <w:lang w:eastAsia="en-GB"/>
                </w:rPr>
                <w:t>section 2</w:t>
              </w:r>
            </w:hyperlink>
            <w:r w:rsidRPr="00CF00BA">
              <w:rPr>
                <w:rFonts w:eastAsia="Times New Roman" w:cs="Arial"/>
                <w:iCs/>
                <w:color w:val="0000FF" w:themeColor="hyperlink"/>
                <w:szCs w:val="24"/>
                <w:u w:val="single"/>
                <w:lang w:eastAsia="en-GB"/>
              </w:rPr>
              <w:t>)</w:t>
            </w:r>
            <w:r w:rsidRPr="00CF00BA">
              <w:rPr>
                <w:rFonts w:eastAsia="Times New Roman" w:cs="Arial"/>
                <w:iCs/>
                <w:color w:val="000000"/>
                <w:szCs w:val="24"/>
                <w:lang w:eastAsia="en-GB"/>
              </w:rPr>
              <w:t xml:space="preserve"> and communicated to primary care.</w:t>
            </w:r>
          </w:p>
          <w:p w14:paraId="3D2EF493" w14:textId="2E2962B0" w:rsidR="000469BF" w:rsidRPr="00CF00BA" w:rsidRDefault="000469BF" w:rsidP="00EA58C4">
            <w:pPr>
              <w:numPr>
                <w:ilvl w:val="0"/>
                <w:numId w:val="11"/>
              </w:numPr>
              <w:spacing w:after="0"/>
              <w:ind w:left="357" w:hanging="357"/>
              <w:rPr>
                <w:rFonts w:eastAsia="Times New Roman" w:cs="Arial"/>
                <w:iCs/>
                <w:color w:val="000000"/>
                <w:szCs w:val="24"/>
                <w:lang w:eastAsia="en-GB"/>
              </w:rPr>
            </w:pPr>
            <w:r w:rsidRPr="00CF00BA">
              <w:rPr>
                <w:rFonts w:eastAsia="Times New Roman" w:cs="Arial"/>
                <w:iCs/>
                <w:color w:val="000000"/>
                <w:szCs w:val="24"/>
                <w:lang w:eastAsia="en-GB"/>
              </w:rPr>
              <w:t xml:space="preserve">Use a shared decision making approach; discuss the benefits and risks of the treatment with the patient and/or their carer and provide the appropriate counselling (see </w:t>
            </w:r>
            <w:hyperlink w:anchor="Eleven_advice_to_patients" w:history="1">
              <w:r w:rsidRPr="00CF00BA">
                <w:rPr>
                  <w:rFonts w:eastAsia="Times New Roman" w:cs="Arial"/>
                  <w:iCs/>
                  <w:color w:val="0000FF" w:themeColor="hyperlink"/>
                  <w:szCs w:val="24"/>
                  <w:u w:val="single"/>
                  <w:lang w:eastAsia="en-GB"/>
                </w:rPr>
                <w:t>section 11</w:t>
              </w:r>
            </w:hyperlink>
            <w:r w:rsidRPr="00CF00BA">
              <w:rPr>
                <w:rFonts w:eastAsia="Times New Roman" w:cs="Arial"/>
                <w:iCs/>
                <w:color w:val="000000"/>
                <w:szCs w:val="24"/>
                <w:lang w:eastAsia="en-GB"/>
              </w:rPr>
              <w:t>), to enable the patient to reach an informed decision. Obtain and document patient consent. Provide an appropriate patient information leaflet.</w:t>
            </w:r>
          </w:p>
          <w:p w14:paraId="4D696D57" w14:textId="77777777" w:rsidR="000469BF" w:rsidRPr="00CF00BA" w:rsidRDefault="000469BF" w:rsidP="00EA58C4">
            <w:pPr>
              <w:numPr>
                <w:ilvl w:val="0"/>
                <w:numId w:val="11"/>
              </w:numPr>
              <w:spacing w:after="0"/>
              <w:ind w:left="357" w:hanging="357"/>
              <w:rPr>
                <w:rFonts w:eastAsia="Times New Roman" w:cs="Arial"/>
                <w:iCs/>
                <w:color w:val="000000"/>
                <w:szCs w:val="24"/>
                <w:lang w:eastAsia="en-GB"/>
              </w:rPr>
            </w:pPr>
            <w:r w:rsidRPr="00CF00BA">
              <w:rPr>
                <w:rFonts w:eastAsia="Times New Roman" w:cs="Arial"/>
                <w:iCs/>
                <w:color w:val="000000"/>
                <w:szCs w:val="24"/>
                <w:lang w:eastAsia="en-GB"/>
              </w:rPr>
              <w:t xml:space="preserve">Assess for contraindications and cautions (see </w:t>
            </w:r>
            <w:hyperlink w:anchor="Four_cx_and_cautions" w:history="1">
              <w:r w:rsidRPr="00CF00BA">
                <w:rPr>
                  <w:rFonts w:eastAsia="Times New Roman" w:cs="Arial"/>
                  <w:iCs/>
                  <w:color w:val="0000FF" w:themeColor="hyperlink"/>
                  <w:szCs w:val="24"/>
                  <w:u w:val="single"/>
                  <w:lang w:eastAsia="en-GB"/>
                </w:rPr>
                <w:t>section 4</w:t>
              </w:r>
            </w:hyperlink>
            <w:r w:rsidRPr="00CF00BA">
              <w:rPr>
                <w:rFonts w:eastAsia="Times New Roman" w:cs="Arial"/>
                <w:iCs/>
                <w:color w:val="000000"/>
                <w:szCs w:val="24"/>
                <w:lang w:eastAsia="en-GB"/>
              </w:rPr>
              <w:t>)</w:t>
            </w:r>
            <w:r w:rsidRPr="00CF00BA">
              <w:rPr>
                <w:rFonts w:cs="Arial"/>
                <w:color w:val="000000"/>
                <w:szCs w:val="24"/>
              </w:rPr>
              <w:t xml:space="preserve"> </w:t>
            </w:r>
            <w:r w:rsidRPr="00CF00BA">
              <w:rPr>
                <w:rFonts w:eastAsia="Times New Roman" w:cs="Arial"/>
                <w:iCs/>
                <w:color w:val="000000"/>
                <w:szCs w:val="24"/>
                <w:lang w:eastAsia="en-GB"/>
              </w:rPr>
              <w:t xml:space="preserve">and interactions (see </w:t>
            </w:r>
            <w:hyperlink w:anchor="Seven_interactions" w:history="1">
              <w:r w:rsidRPr="00CF00BA">
                <w:rPr>
                  <w:rFonts w:eastAsia="Times New Roman" w:cs="Arial"/>
                  <w:iCs/>
                  <w:color w:val="0000FF" w:themeColor="hyperlink"/>
                  <w:szCs w:val="24"/>
                  <w:u w:val="single"/>
                  <w:lang w:eastAsia="en-GB"/>
                </w:rPr>
                <w:t>section 7</w:t>
              </w:r>
            </w:hyperlink>
            <w:r w:rsidRPr="00CF00BA">
              <w:rPr>
                <w:rFonts w:eastAsia="Times New Roman" w:cs="Arial"/>
                <w:iCs/>
                <w:color w:val="000000"/>
                <w:szCs w:val="24"/>
                <w:lang w:eastAsia="en-GB"/>
              </w:rPr>
              <w:t>).</w:t>
            </w:r>
          </w:p>
          <w:p w14:paraId="60947673" w14:textId="77777777" w:rsidR="000469BF" w:rsidRPr="00CF00BA" w:rsidRDefault="000469BF" w:rsidP="00EA58C4">
            <w:pPr>
              <w:numPr>
                <w:ilvl w:val="0"/>
                <w:numId w:val="11"/>
              </w:numPr>
              <w:spacing w:after="0"/>
              <w:ind w:left="357" w:hanging="357"/>
              <w:rPr>
                <w:rFonts w:eastAsia="Times New Roman" w:cs="Arial"/>
                <w:iCs/>
                <w:color w:val="000000"/>
                <w:szCs w:val="24"/>
                <w:lang w:eastAsia="en-GB"/>
              </w:rPr>
            </w:pPr>
            <w:r w:rsidRPr="00CF00BA">
              <w:rPr>
                <w:rFonts w:eastAsia="Times New Roman" w:cs="Arial"/>
                <w:iCs/>
                <w:color w:val="000000"/>
                <w:szCs w:val="24"/>
                <w:lang w:eastAsia="en-GB"/>
              </w:rPr>
              <w:t xml:space="preserve">Conduct required baseline investigations and initial monitoring (see </w:t>
            </w:r>
            <w:hyperlink w:anchor="Eight_specialist_monitoring" w:history="1">
              <w:r w:rsidRPr="00CF00BA">
                <w:rPr>
                  <w:rFonts w:eastAsia="Times New Roman" w:cs="Arial"/>
                  <w:iCs/>
                  <w:color w:val="0000FF" w:themeColor="hyperlink"/>
                  <w:szCs w:val="24"/>
                  <w:u w:val="single"/>
                  <w:lang w:eastAsia="en-GB"/>
                </w:rPr>
                <w:t>section 8</w:t>
              </w:r>
            </w:hyperlink>
            <w:r w:rsidRPr="00CF00BA">
              <w:rPr>
                <w:rFonts w:eastAsia="Times New Roman" w:cs="Arial"/>
                <w:iCs/>
                <w:color w:val="000000"/>
                <w:szCs w:val="24"/>
                <w:lang w:eastAsia="en-GB"/>
              </w:rPr>
              <w:t>).</w:t>
            </w:r>
          </w:p>
          <w:p w14:paraId="3A90FD6F" w14:textId="77777777" w:rsidR="000469BF" w:rsidRPr="00CF00BA" w:rsidRDefault="000469BF" w:rsidP="00EA58C4">
            <w:pPr>
              <w:numPr>
                <w:ilvl w:val="0"/>
                <w:numId w:val="11"/>
              </w:numPr>
              <w:spacing w:after="0"/>
              <w:ind w:left="357" w:hanging="357"/>
              <w:rPr>
                <w:rFonts w:eastAsia="Times New Roman" w:cs="Arial"/>
                <w:iCs/>
                <w:color w:val="000000"/>
                <w:szCs w:val="24"/>
                <w:lang w:eastAsia="en-GB"/>
              </w:rPr>
            </w:pPr>
            <w:r w:rsidRPr="00CF00BA">
              <w:rPr>
                <w:rFonts w:eastAsia="Times New Roman" w:cs="Arial"/>
                <w:iCs/>
                <w:color w:val="000000"/>
                <w:szCs w:val="24"/>
                <w:lang w:eastAsia="en-GB"/>
              </w:rPr>
              <w:t xml:space="preserve">Initiate and optimise treatment as outlined in </w:t>
            </w:r>
            <w:hyperlink w:anchor="Five_dosing" w:history="1">
              <w:r w:rsidRPr="00CF00BA">
                <w:rPr>
                  <w:rFonts w:eastAsia="Times New Roman" w:cs="Arial"/>
                  <w:iCs/>
                  <w:color w:val="0000FF" w:themeColor="hyperlink"/>
                  <w:szCs w:val="24"/>
                  <w:u w:val="single"/>
                  <w:lang w:eastAsia="en-GB"/>
                </w:rPr>
                <w:t>section 5</w:t>
              </w:r>
            </w:hyperlink>
            <w:r w:rsidRPr="00CF00BA">
              <w:rPr>
                <w:rFonts w:eastAsia="Times New Roman" w:cs="Arial"/>
                <w:iCs/>
                <w:color w:val="000000"/>
                <w:szCs w:val="24"/>
                <w:lang w:eastAsia="en-GB"/>
              </w:rPr>
              <w:t xml:space="preserve">. </w:t>
            </w:r>
          </w:p>
          <w:p w14:paraId="67575520" w14:textId="77777777" w:rsidR="000469BF" w:rsidRPr="00CF00BA" w:rsidRDefault="000469BF" w:rsidP="00EA58C4">
            <w:pPr>
              <w:numPr>
                <w:ilvl w:val="0"/>
                <w:numId w:val="11"/>
              </w:numPr>
              <w:spacing w:after="0"/>
              <w:ind w:left="357" w:hanging="357"/>
              <w:rPr>
                <w:rFonts w:eastAsia="Times New Roman" w:cs="Arial"/>
                <w:iCs/>
                <w:color w:val="000000"/>
                <w:szCs w:val="24"/>
                <w:lang w:eastAsia="en-GB"/>
              </w:rPr>
            </w:pPr>
            <w:r w:rsidRPr="00CF00BA">
              <w:rPr>
                <w:rFonts w:eastAsia="Times New Roman" w:cs="Arial"/>
                <w:iCs/>
                <w:color w:val="000000"/>
                <w:szCs w:val="24"/>
                <w:lang w:eastAsia="en-GB"/>
              </w:rPr>
              <w:t>Prescribe the maintenance treatment for at least 4 weeks. Prescribe sufficient medication to enable transfer to primary care, including where there are unforeseen delays to transfer of care.</w:t>
            </w:r>
          </w:p>
          <w:p w14:paraId="1C69A99C" w14:textId="77777777" w:rsidR="000469BF" w:rsidRPr="00CF00BA" w:rsidRDefault="000469BF" w:rsidP="00EA58C4">
            <w:pPr>
              <w:numPr>
                <w:ilvl w:val="0"/>
                <w:numId w:val="11"/>
              </w:numPr>
              <w:spacing w:after="0"/>
              <w:ind w:left="357" w:hanging="357"/>
              <w:rPr>
                <w:rFonts w:eastAsia="Times New Roman" w:cs="Arial"/>
                <w:iCs/>
                <w:color w:val="000000"/>
                <w:szCs w:val="24"/>
                <w:lang w:eastAsia="en-GB"/>
              </w:rPr>
            </w:pPr>
            <w:r w:rsidRPr="00CF00BA">
              <w:rPr>
                <w:rFonts w:eastAsia="Times New Roman" w:cs="Arial"/>
                <w:iCs/>
                <w:color w:val="000000"/>
                <w:szCs w:val="24"/>
                <w:lang w:eastAsia="en-GB"/>
              </w:rPr>
              <w:t>Once treatment is optimised, complete the shared care documentation and send to patient’s GP practice detailing the diagnosis, current and ongoing dose, and baseline test results. Include contact information (</w:t>
            </w:r>
            <w:hyperlink w:anchor="Thirteen_specialist_contact" w:history="1">
              <w:r w:rsidRPr="00CF00BA">
                <w:rPr>
                  <w:rFonts w:eastAsia="Times New Roman" w:cs="Arial"/>
                  <w:iCs/>
                  <w:color w:val="0000FF" w:themeColor="hyperlink"/>
                  <w:szCs w:val="24"/>
                  <w:u w:val="single"/>
                  <w:lang w:eastAsia="en-GB"/>
                </w:rPr>
                <w:t>section 13</w:t>
              </w:r>
            </w:hyperlink>
            <w:r w:rsidRPr="00CF00BA">
              <w:rPr>
                <w:rFonts w:eastAsia="Times New Roman" w:cs="Arial"/>
                <w:iCs/>
                <w:color w:val="000000"/>
                <w:szCs w:val="24"/>
                <w:lang w:eastAsia="en-GB"/>
              </w:rPr>
              <w:t>).</w:t>
            </w:r>
          </w:p>
          <w:p w14:paraId="1C9C7840" w14:textId="77777777" w:rsidR="000469BF" w:rsidRPr="00CF00BA" w:rsidRDefault="000469BF" w:rsidP="00EA58C4">
            <w:pPr>
              <w:numPr>
                <w:ilvl w:val="0"/>
                <w:numId w:val="11"/>
              </w:numPr>
              <w:spacing w:after="0"/>
              <w:ind w:left="357" w:hanging="357"/>
              <w:rPr>
                <w:rFonts w:eastAsia="Times New Roman" w:cs="Arial"/>
                <w:iCs/>
                <w:color w:val="000000"/>
                <w:szCs w:val="24"/>
                <w:lang w:eastAsia="en-GB"/>
              </w:rPr>
            </w:pPr>
            <w:r w:rsidRPr="00CF00BA">
              <w:rPr>
                <w:rFonts w:eastAsia="Times New Roman" w:cs="Arial"/>
                <w:iCs/>
                <w:color w:val="000000"/>
                <w:szCs w:val="24"/>
                <w:lang w:eastAsia="en-GB"/>
              </w:rPr>
              <w:t xml:space="preserve">Conduct the required reviews in </w:t>
            </w:r>
            <w:hyperlink w:anchor="Eight_specialist_monitoring" w:history="1">
              <w:r w:rsidRPr="00CF00BA">
                <w:rPr>
                  <w:rFonts w:eastAsia="Times New Roman" w:cs="Arial"/>
                  <w:iCs/>
                  <w:color w:val="0000FF" w:themeColor="hyperlink"/>
                  <w:szCs w:val="24"/>
                  <w:u w:val="single"/>
                  <w:lang w:eastAsia="en-GB"/>
                </w:rPr>
                <w:t>section 8</w:t>
              </w:r>
            </w:hyperlink>
            <w:r w:rsidRPr="00CF00BA">
              <w:rPr>
                <w:rFonts w:eastAsia="Times New Roman" w:cs="Arial"/>
                <w:iCs/>
                <w:color w:val="0000FF" w:themeColor="hyperlink"/>
                <w:szCs w:val="24"/>
                <w:u w:val="single"/>
                <w:lang w:eastAsia="en-GB"/>
              </w:rPr>
              <w:t xml:space="preserve"> </w:t>
            </w:r>
            <w:r w:rsidRPr="00CF00BA">
              <w:rPr>
                <w:rFonts w:eastAsia="Times New Roman" w:cs="Arial"/>
                <w:iCs/>
                <w:color w:val="000000"/>
                <w:szCs w:val="24"/>
                <w:lang w:eastAsia="en-GB"/>
              </w:rPr>
              <w:t>and communicate the results to primary care. After each review, advise primary care whether treatment should be continued and confirm the ongoing dose.</w:t>
            </w:r>
          </w:p>
          <w:p w14:paraId="39BDFA07" w14:textId="77777777" w:rsidR="000469BF" w:rsidRPr="00CF00BA" w:rsidRDefault="000469BF" w:rsidP="00EA58C4">
            <w:pPr>
              <w:numPr>
                <w:ilvl w:val="0"/>
                <w:numId w:val="11"/>
              </w:numPr>
              <w:spacing w:after="0"/>
              <w:ind w:left="357" w:hanging="357"/>
              <w:rPr>
                <w:rFonts w:eastAsia="Times New Roman" w:cs="Arial"/>
                <w:iCs/>
                <w:color w:val="000000"/>
                <w:szCs w:val="24"/>
                <w:lang w:eastAsia="en-GB"/>
              </w:rPr>
            </w:pPr>
            <w:r w:rsidRPr="00CF00BA">
              <w:rPr>
                <w:rFonts w:eastAsia="Times New Roman" w:cs="Arial"/>
                <w:iCs/>
                <w:color w:val="000000"/>
                <w:szCs w:val="24"/>
                <w:lang w:eastAsia="en-GB"/>
              </w:rPr>
              <w:t>Give advice to primary care on continuing treatment if a woman becomes or wishes to become pregnant.</w:t>
            </w:r>
          </w:p>
          <w:p w14:paraId="482DC306" w14:textId="77777777" w:rsidR="000469BF" w:rsidRPr="00CF00BA" w:rsidRDefault="000469BF" w:rsidP="00EA58C4">
            <w:pPr>
              <w:numPr>
                <w:ilvl w:val="0"/>
                <w:numId w:val="11"/>
              </w:numPr>
              <w:spacing w:after="0"/>
              <w:ind w:left="357" w:hanging="357"/>
              <w:rPr>
                <w:rFonts w:eastAsia="Times New Roman" w:cs="Arial"/>
                <w:iCs/>
                <w:color w:val="000000"/>
                <w:szCs w:val="24"/>
                <w:lang w:eastAsia="en-GB"/>
              </w:rPr>
            </w:pPr>
            <w:r w:rsidRPr="00CF00BA">
              <w:rPr>
                <w:rFonts w:eastAsia="Times New Roman" w:cs="Arial"/>
                <w:iCs/>
                <w:color w:val="000000"/>
                <w:szCs w:val="24"/>
                <w:lang w:eastAsia="en-GB"/>
              </w:rPr>
              <w:t>Provide advice to primary care on the management of adverse effects if required.</w:t>
            </w:r>
          </w:p>
          <w:p w14:paraId="6907684B" w14:textId="427B9B87" w:rsidR="000469BF" w:rsidRPr="00CF00BA" w:rsidRDefault="000469BF" w:rsidP="00EA58C4">
            <w:pPr>
              <w:numPr>
                <w:ilvl w:val="0"/>
                <w:numId w:val="11"/>
              </w:numPr>
              <w:spacing w:after="0"/>
              <w:ind w:left="357" w:hanging="357"/>
              <w:rPr>
                <w:rFonts w:eastAsia="Times New Roman" w:cs="Arial"/>
                <w:iCs/>
                <w:color w:val="000000"/>
                <w:szCs w:val="24"/>
                <w:lang w:eastAsia="en-GB"/>
              </w:rPr>
            </w:pPr>
            <w:r w:rsidRPr="00CF00BA">
              <w:rPr>
                <w:rFonts w:eastAsia="Times New Roman" w:cs="Arial"/>
                <w:iCs/>
                <w:color w:val="000000"/>
                <w:szCs w:val="24"/>
                <w:lang w:eastAsia="en-GB"/>
              </w:rPr>
              <w:lastRenderedPageBreak/>
              <w:t xml:space="preserve">After the patient has been on hydroxychloroquine for five years, refer for ophthalmology monitoring. Patients who are at higher risk of retinal toxicity will need to be referred earlier (see </w:t>
            </w:r>
            <w:hyperlink w:anchor="Nine_primary_care_monitoring" w:history="1">
              <w:r w:rsidRPr="00CF00BA">
                <w:rPr>
                  <w:rFonts w:eastAsia="Times New Roman" w:cs="Arial"/>
                  <w:iCs/>
                  <w:color w:val="0000FF" w:themeColor="hyperlink"/>
                  <w:szCs w:val="24"/>
                  <w:u w:val="single"/>
                  <w:lang w:eastAsia="en-GB"/>
                </w:rPr>
                <w:t>section 9</w:t>
              </w:r>
            </w:hyperlink>
            <w:r w:rsidRPr="00CF00BA">
              <w:rPr>
                <w:rFonts w:eastAsia="Times New Roman" w:cs="Arial"/>
                <w:iCs/>
                <w:color w:val="000000"/>
                <w:szCs w:val="24"/>
                <w:lang w:eastAsia="en-GB"/>
              </w:rPr>
              <w:t>).</w:t>
            </w:r>
          </w:p>
          <w:p w14:paraId="777ACBA6" w14:textId="77777777" w:rsidR="00055685" w:rsidRPr="00CF00BA" w:rsidRDefault="00055685" w:rsidP="007C7494">
            <w:pPr>
              <w:pStyle w:val="Heading2"/>
              <w:rPr>
                <w:lang w:eastAsia="en-GB"/>
              </w:rPr>
            </w:pPr>
            <w:r w:rsidRPr="00CF00BA">
              <w:rPr>
                <w:lang w:eastAsia="en-GB"/>
              </w:rPr>
              <w:t>Primary care responsibilities</w:t>
            </w:r>
          </w:p>
          <w:p w14:paraId="5CA4FFD3" w14:textId="77777777" w:rsidR="000469BF" w:rsidRPr="00CF00BA" w:rsidRDefault="000469BF" w:rsidP="00EA58C4">
            <w:pPr>
              <w:numPr>
                <w:ilvl w:val="0"/>
                <w:numId w:val="11"/>
              </w:numPr>
              <w:spacing w:after="0"/>
              <w:ind w:left="357" w:hanging="357"/>
              <w:contextualSpacing/>
              <w:rPr>
                <w:rFonts w:eastAsia="Times New Roman" w:cs="Arial"/>
                <w:iCs/>
                <w:color w:val="000000"/>
                <w:szCs w:val="24"/>
                <w:lang w:eastAsia="en-GB"/>
              </w:rPr>
            </w:pPr>
            <w:r w:rsidRPr="00CF00BA">
              <w:rPr>
                <w:rFonts w:eastAsia="Times New Roman" w:cs="Arial"/>
                <w:iCs/>
                <w:color w:val="000000"/>
                <w:szCs w:val="24"/>
                <w:lang w:eastAsia="en-GB"/>
              </w:rPr>
              <w:t xml:space="preserve">Respond to the request from the specialist for shared care in writing. It is asked that this be undertaken within 14 days of the request being made, where possible. </w:t>
            </w:r>
          </w:p>
          <w:p w14:paraId="40F72C20" w14:textId="77777777" w:rsidR="000469BF" w:rsidRPr="00CF00BA" w:rsidRDefault="000469BF" w:rsidP="00EA58C4">
            <w:pPr>
              <w:numPr>
                <w:ilvl w:val="0"/>
                <w:numId w:val="11"/>
              </w:numPr>
              <w:spacing w:after="0"/>
              <w:ind w:left="357" w:hanging="357"/>
              <w:contextualSpacing/>
              <w:rPr>
                <w:rFonts w:eastAsia="Times New Roman" w:cs="Arial"/>
                <w:iCs/>
                <w:color w:val="000000"/>
                <w:szCs w:val="24"/>
                <w:lang w:eastAsia="en-GB"/>
              </w:rPr>
            </w:pPr>
            <w:r w:rsidRPr="00CF00BA">
              <w:rPr>
                <w:rFonts w:eastAsia="Times New Roman" w:cs="Arial"/>
                <w:iCs/>
                <w:color w:val="000000"/>
                <w:szCs w:val="24"/>
                <w:lang w:eastAsia="en-GB"/>
              </w:rPr>
              <w:t xml:space="preserve">If accepted, prescribe ongoing treatment as detailed in the specialists request and as per </w:t>
            </w:r>
            <w:hyperlink w:anchor="Five_dosing" w:history="1">
              <w:r w:rsidRPr="00CF00BA">
                <w:rPr>
                  <w:rFonts w:eastAsia="Times New Roman" w:cs="Arial"/>
                  <w:iCs/>
                  <w:color w:val="0000FF" w:themeColor="hyperlink"/>
                  <w:szCs w:val="24"/>
                  <w:u w:val="single"/>
                  <w:lang w:eastAsia="en-GB"/>
                </w:rPr>
                <w:t>section 5</w:t>
              </w:r>
            </w:hyperlink>
            <w:r w:rsidRPr="00CF00BA">
              <w:rPr>
                <w:rFonts w:eastAsia="Times New Roman" w:cs="Arial"/>
                <w:iCs/>
                <w:color w:val="000000"/>
                <w:szCs w:val="24"/>
                <w:lang w:eastAsia="en-GB"/>
              </w:rPr>
              <w:t xml:space="preserve"> taking into any account potential drug interactions in </w:t>
            </w:r>
            <w:hyperlink w:anchor="Seven_interactions" w:history="1">
              <w:r w:rsidRPr="00CF00BA">
                <w:rPr>
                  <w:rFonts w:eastAsia="Times New Roman" w:cs="Arial"/>
                  <w:iCs/>
                  <w:color w:val="0000FF" w:themeColor="hyperlink"/>
                  <w:szCs w:val="24"/>
                  <w:u w:val="single"/>
                  <w:lang w:eastAsia="en-GB"/>
                </w:rPr>
                <w:t>section 7</w:t>
              </w:r>
            </w:hyperlink>
            <w:r w:rsidRPr="00CF00BA">
              <w:rPr>
                <w:rFonts w:eastAsia="Times New Roman" w:cs="Arial"/>
                <w:iCs/>
                <w:color w:val="000000"/>
                <w:szCs w:val="24"/>
                <w:lang w:eastAsia="en-GB"/>
              </w:rPr>
              <w:t>.</w:t>
            </w:r>
          </w:p>
          <w:p w14:paraId="6564A5BC" w14:textId="77777777" w:rsidR="000469BF" w:rsidRPr="00CF00BA" w:rsidRDefault="000469BF" w:rsidP="00EA58C4">
            <w:pPr>
              <w:numPr>
                <w:ilvl w:val="0"/>
                <w:numId w:val="11"/>
              </w:numPr>
              <w:spacing w:after="0"/>
              <w:ind w:left="357" w:hanging="357"/>
              <w:contextualSpacing/>
              <w:rPr>
                <w:rFonts w:eastAsia="Times New Roman" w:cs="Arial"/>
                <w:iCs/>
                <w:color w:val="000000"/>
                <w:szCs w:val="24"/>
                <w:lang w:eastAsia="en-GB"/>
              </w:rPr>
            </w:pPr>
            <w:r w:rsidRPr="00CF00BA">
              <w:rPr>
                <w:rFonts w:eastAsia="Times New Roman" w:cs="Arial"/>
                <w:iCs/>
                <w:color w:val="000000"/>
                <w:szCs w:val="24"/>
                <w:lang w:eastAsia="en-GB"/>
              </w:rPr>
              <w:t>Adjust the dose of hydroxychloroquine prescribed as advised by the specialist.</w:t>
            </w:r>
          </w:p>
          <w:p w14:paraId="6136FC87" w14:textId="77777777" w:rsidR="000469BF" w:rsidRPr="00CF00BA" w:rsidRDefault="000469BF" w:rsidP="00EA58C4">
            <w:pPr>
              <w:numPr>
                <w:ilvl w:val="0"/>
                <w:numId w:val="11"/>
              </w:numPr>
              <w:spacing w:after="0"/>
              <w:ind w:left="357" w:hanging="357"/>
              <w:contextualSpacing/>
              <w:rPr>
                <w:rFonts w:eastAsia="Times New Roman" w:cs="Arial"/>
                <w:iCs/>
                <w:color w:val="000000"/>
                <w:szCs w:val="24"/>
                <w:lang w:eastAsia="en-GB"/>
              </w:rPr>
            </w:pPr>
            <w:r w:rsidRPr="00CF00BA">
              <w:rPr>
                <w:rFonts w:eastAsia="Times New Roman" w:cs="Arial"/>
                <w:iCs/>
                <w:color w:val="000000"/>
                <w:szCs w:val="24"/>
                <w:lang w:eastAsia="en-GB"/>
              </w:rPr>
              <w:t xml:space="preserve">Assess for possible interactions with hydroxychloroquine when starting new medicines (see </w:t>
            </w:r>
            <w:hyperlink w:anchor="Seven_interactions" w:history="1">
              <w:r w:rsidRPr="00CF00BA">
                <w:rPr>
                  <w:rFonts w:eastAsia="Times New Roman" w:cs="Arial"/>
                  <w:iCs/>
                  <w:color w:val="0000FF" w:themeColor="hyperlink"/>
                  <w:szCs w:val="24"/>
                  <w:u w:val="single"/>
                  <w:lang w:eastAsia="en-GB"/>
                </w:rPr>
                <w:t>section 7</w:t>
              </w:r>
            </w:hyperlink>
            <w:r w:rsidRPr="00CF00BA">
              <w:rPr>
                <w:rFonts w:eastAsia="Times New Roman" w:cs="Arial"/>
                <w:iCs/>
                <w:color w:val="000000"/>
                <w:szCs w:val="24"/>
                <w:lang w:eastAsia="en-GB"/>
              </w:rPr>
              <w:t>).</w:t>
            </w:r>
          </w:p>
          <w:p w14:paraId="1582C214" w14:textId="77777777" w:rsidR="000469BF" w:rsidRPr="00CF00BA" w:rsidRDefault="000469BF" w:rsidP="00EA58C4">
            <w:pPr>
              <w:numPr>
                <w:ilvl w:val="0"/>
                <w:numId w:val="11"/>
              </w:numPr>
              <w:spacing w:after="0"/>
              <w:ind w:left="357" w:hanging="357"/>
              <w:contextualSpacing/>
              <w:rPr>
                <w:rFonts w:eastAsia="Times New Roman" w:cs="Arial"/>
                <w:iCs/>
                <w:color w:val="000000"/>
                <w:szCs w:val="24"/>
                <w:lang w:eastAsia="en-GB"/>
              </w:rPr>
            </w:pPr>
            <w:r w:rsidRPr="00CF00BA">
              <w:rPr>
                <w:rFonts w:eastAsia="Times New Roman" w:cs="Arial"/>
                <w:iCs/>
                <w:color w:val="000000"/>
                <w:szCs w:val="24"/>
                <w:lang w:eastAsia="en-GB"/>
              </w:rPr>
              <w:t xml:space="preserve">Manage any adverse effects as detailed in </w:t>
            </w:r>
            <w:hyperlink w:anchor="Ten_ADRs_and_Management" w:history="1">
              <w:r w:rsidRPr="00CF00BA">
                <w:rPr>
                  <w:rFonts w:eastAsia="Times New Roman" w:cs="Arial"/>
                  <w:iCs/>
                  <w:color w:val="0000FF" w:themeColor="hyperlink"/>
                  <w:szCs w:val="24"/>
                  <w:u w:val="single"/>
                  <w:lang w:eastAsia="en-GB"/>
                </w:rPr>
                <w:t>section 10</w:t>
              </w:r>
            </w:hyperlink>
            <w:r w:rsidRPr="00CF00BA">
              <w:rPr>
                <w:rFonts w:eastAsia="Times New Roman" w:cs="Arial"/>
                <w:iCs/>
                <w:color w:val="000000"/>
                <w:szCs w:val="24"/>
                <w:lang w:eastAsia="en-GB"/>
              </w:rPr>
              <w:t xml:space="preserve"> and discuss with specialist team when required.</w:t>
            </w:r>
          </w:p>
          <w:p w14:paraId="545C367B" w14:textId="77777777" w:rsidR="000469BF" w:rsidRPr="00CF00BA" w:rsidRDefault="000469BF" w:rsidP="00EA58C4">
            <w:pPr>
              <w:numPr>
                <w:ilvl w:val="0"/>
                <w:numId w:val="11"/>
              </w:numPr>
              <w:spacing w:after="0"/>
              <w:ind w:left="357" w:hanging="357"/>
              <w:contextualSpacing/>
              <w:rPr>
                <w:rFonts w:eastAsia="Times New Roman" w:cs="Arial"/>
                <w:iCs/>
                <w:color w:val="000000"/>
                <w:szCs w:val="24"/>
                <w:lang w:eastAsia="en-GB"/>
              </w:rPr>
            </w:pPr>
            <w:r w:rsidRPr="00CF00BA">
              <w:rPr>
                <w:rFonts w:eastAsia="Times New Roman" w:cs="Arial"/>
                <w:iCs/>
                <w:color w:val="000000"/>
                <w:szCs w:val="24"/>
                <w:lang w:eastAsia="en-GB"/>
              </w:rPr>
              <w:t>Stop hydroxychloroquine and discuss urgently with the specialist if retinopathy or cardiomyopathy are confirmed.</w:t>
            </w:r>
          </w:p>
          <w:p w14:paraId="70A2F5E1" w14:textId="77777777" w:rsidR="000469BF" w:rsidRPr="00CF00BA" w:rsidRDefault="000469BF" w:rsidP="00EA58C4">
            <w:pPr>
              <w:numPr>
                <w:ilvl w:val="0"/>
                <w:numId w:val="11"/>
              </w:numPr>
              <w:spacing w:after="0"/>
              <w:ind w:left="357" w:hanging="357"/>
              <w:contextualSpacing/>
              <w:rPr>
                <w:rFonts w:eastAsia="Times New Roman" w:cs="Arial"/>
                <w:iCs/>
                <w:color w:val="000000"/>
                <w:szCs w:val="24"/>
                <w:lang w:eastAsia="en-GB"/>
              </w:rPr>
            </w:pPr>
            <w:r w:rsidRPr="00CF00BA">
              <w:rPr>
                <w:rFonts w:eastAsia="Times New Roman" w:cs="Arial"/>
                <w:iCs/>
                <w:color w:val="000000"/>
                <w:szCs w:val="24"/>
                <w:lang w:eastAsia="en-GB"/>
              </w:rPr>
              <w:t xml:space="preserve">Discuss other adverse effects with the specialist team as clinically appropriate (see </w:t>
            </w:r>
            <w:hyperlink w:anchor="Ten_ADRs_and_Management" w:history="1">
              <w:r w:rsidRPr="00CF00BA">
                <w:rPr>
                  <w:rFonts w:eastAsia="Times New Roman" w:cs="Arial"/>
                  <w:iCs/>
                  <w:color w:val="0000FF" w:themeColor="hyperlink"/>
                  <w:szCs w:val="24"/>
                  <w:u w:val="single"/>
                  <w:lang w:eastAsia="en-GB"/>
                </w:rPr>
                <w:t>section 10</w:t>
              </w:r>
            </w:hyperlink>
            <w:r w:rsidRPr="00CF00BA">
              <w:rPr>
                <w:rFonts w:eastAsia="Times New Roman" w:cs="Arial"/>
                <w:iCs/>
                <w:color w:val="000000"/>
                <w:szCs w:val="24"/>
                <w:lang w:eastAsia="en-GB"/>
              </w:rPr>
              <w:t xml:space="preserve">). </w:t>
            </w:r>
          </w:p>
          <w:p w14:paraId="36BFB9D7" w14:textId="77777777" w:rsidR="000469BF" w:rsidRPr="00CF00BA" w:rsidRDefault="000469BF" w:rsidP="00EA58C4">
            <w:pPr>
              <w:numPr>
                <w:ilvl w:val="0"/>
                <w:numId w:val="11"/>
              </w:numPr>
              <w:spacing w:after="0"/>
              <w:ind w:left="357" w:hanging="357"/>
              <w:contextualSpacing/>
              <w:rPr>
                <w:rFonts w:eastAsia="Times New Roman" w:cs="Arial"/>
                <w:iCs/>
                <w:color w:val="000000"/>
                <w:szCs w:val="24"/>
                <w:lang w:eastAsia="en-GB"/>
              </w:rPr>
            </w:pPr>
            <w:r w:rsidRPr="00CF00BA">
              <w:rPr>
                <w:rFonts w:eastAsia="Times New Roman" w:cs="Arial"/>
                <w:iCs/>
                <w:color w:val="000000"/>
                <w:szCs w:val="24"/>
                <w:lang w:eastAsia="en-GB"/>
              </w:rPr>
              <w:t>Contact the specialist team for advice if the patient becomes or plans to become pregnant.</w:t>
            </w:r>
          </w:p>
          <w:p w14:paraId="744945BE" w14:textId="77777777" w:rsidR="000469BF" w:rsidRPr="00CF00BA" w:rsidRDefault="000469BF" w:rsidP="00EA58C4">
            <w:pPr>
              <w:numPr>
                <w:ilvl w:val="0"/>
                <w:numId w:val="11"/>
              </w:numPr>
              <w:spacing w:after="0"/>
              <w:ind w:left="357" w:hanging="357"/>
              <w:contextualSpacing/>
              <w:rPr>
                <w:rFonts w:eastAsia="Times New Roman" w:cs="Arial"/>
                <w:iCs/>
                <w:color w:val="000000"/>
                <w:szCs w:val="24"/>
                <w:lang w:eastAsia="en-GB"/>
              </w:rPr>
            </w:pPr>
            <w:r w:rsidRPr="00CF00BA">
              <w:rPr>
                <w:rFonts w:eastAsia="Times New Roman" w:cs="Arial"/>
                <w:iCs/>
                <w:color w:val="000000"/>
                <w:szCs w:val="24"/>
                <w:lang w:eastAsia="en-GB"/>
              </w:rPr>
              <w:t>Stop treatment as advised by the specialist.</w:t>
            </w:r>
          </w:p>
          <w:p w14:paraId="3A0585A8" w14:textId="77777777" w:rsidR="000469BF" w:rsidRPr="00CF00BA" w:rsidRDefault="000469BF" w:rsidP="00EA58C4">
            <w:pPr>
              <w:numPr>
                <w:ilvl w:val="0"/>
                <w:numId w:val="11"/>
              </w:numPr>
              <w:spacing w:after="0"/>
              <w:ind w:left="357" w:hanging="357"/>
              <w:contextualSpacing/>
              <w:rPr>
                <w:rFonts w:eastAsia="Times New Roman" w:cs="Arial"/>
                <w:iCs/>
                <w:color w:val="000000"/>
                <w:szCs w:val="24"/>
                <w:lang w:eastAsia="en-GB"/>
              </w:rPr>
            </w:pPr>
            <w:r w:rsidRPr="00CF00BA">
              <w:rPr>
                <w:rFonts w:eastAsia="Times New Roman" w:cs="Arial"/>
                <w:iCs/>
                <w:color w:val="000000"/>
                <w:szCs w:val="24"/>
                <w:lang w:eastAsia="en-GB"/>
              </w:rPr>
              <w:t xml:space="preserve">Remind the specialist when the patient is approaching five years on hydroxychloroquine and will require referral to ophthalmology for retinal toxicity monitoring. Patients who are at higher risk of retinal toxicity will need to be referred earlier (see </w:t>
            </w:r>
            <w:hyperlink w:anchor="Nine_primary_care_monitoring" w:history="1">
              <w:r w:rsidRPr="00CF00BA">
                <w:rPr>
                  <w:rFonts w:eastAsia="Times New Roman" w:cs="Arial"/>
                  <w:iCs/>
                  <w:color w:val="0000FF" w:themeColor="hyperlink"/>
                  <w:szCs w:val="24"/>
                  <w:u w:val="single"/>
                  <w:lang w:eastAsia="en-GB"/>
                </w:rPr>
                <w:t>section 9</w:t>
              </w:r>
            </w:hyperlink>
            <w:r w:rsidRPr="00CF00BA">
              <w:rPr>
                <w:rFonts w:eastAsia="Times New Roman" w:cs="Arial"/>
                <w:iCs/>
                <w:color w:val="000000"/>
                <w:szCs w:val="24"/>
                <w:lang w:eastAsia="en-GB"/>
              </w:rPr>
              <w:t>).</w:t>
            </w:r>
          </w:p>
          <w:p w14:paraId="0D4A677D" w14:textId="0FE9BA9D" w:rsidR="00055685" w:rsidRPr="00CF00BA" w:rsidRDefault="00055685" w:rsidP="00FA713C">
            <w:pPr>
              <w:pStyle w:val="Heading2"/>
              <w:rPr>
                <w:lang w:eastAsia="en-GB"/>
              </w:rPr>
            </w:pPr>
            <w:r w:rsidRPr="00CF00BA">
              <w:rPr>
                <w:lang w:eastAsia="en-GB"/>
              </w:rPr>
              <w:t>Patient and/or carer responsibilities</w:t>
            </w:r>
          </w:p>
          <w:p w14:paraId="093D38BF" w14:textId="77777777" w:rsidR="000469BF" w:rsidRPr="00CF00BA" w:rsidRDefault="000469BF" w:rsidP="006E68A7">
            <w:pPr>
              <w:numPr>
                <w:ilvl w:val="0"/>
                <w:numId w:val="11"/>
              </w:numPr>
              <w:spacing w:before="60" w:after="60"/>
              <w:ind w:left="357" w:hanging="357"/>
              <w:rPr>
                <w:rFonts w:eastAsia="Times New Roman" w:cs="Arial"/>
                <w:iCs/>
                <w:color w:val="000000"/>
                <w:szCs w:val="24"/>
                <w:lang w:eastAsia="en-GB"/>
              </w:rPr>
            </w:pPr>
            <w:r w:rsidRPr="00CF00BA">
              <w:rPr>
                <w:rFonts w:eastAsia="Times New Roman" w:cs="Arial"/>
                <w:iCs/>
                <w:color w:val="000000"/>
                <w:szCs w:val="24"/>
                <w:lang w:eastAsia="en-GB"/>
              </w:rPr>
              <w:t>Take hydroxychloroquine as prescribed and do not stop taking it without speaking to their primary care prescriber or specialist. Tell anyone who prescribes them a medicine that they are taking hydroxychloroquine.</w:t>
            </w:r>
          </w:p>
          <w:p w14:paraId="0CB69AFB" w14:textId="77777777" w:rsidR="000469BF" w:rsidRPr="00CF00BA" w:rsidRDefault="000469BF" w:rsidP="006E68A7">
            <w:pPr>
              <w:numPr>
                <w:ilvl w:val="0"/>
                <w:numId w:val="11"/>
              </w:numPr>
              <w:spacing w:before="60" w:after="60"/>
              <w:ind w:left="357" w:hanging="357"/>
              <w:rPr>
                <w:rFonts w:eastAsia="Times New Roman" w:cs="Arial"/>
                <w:iCs/>
                <w:color w:val="000000"/>
                <w:szCs w:val="24"/>
                <w:lang w:eastAsia="en-GB"/>
              </w:rPr>
            </w:pPr>
            <w:r w:rsidRPr="00CF00BA">
              <w:rPr>
                <w:rFonts w:eastAsia="Times New Roman" w:cs="Arial"/>
                <w:iCs/>
                <w:color w:val="000000"/>
                <w:szCs w:val="24"/>
                <w:lang w:eastAsia="en-GB"/>
              </w:rPr>
              <w:t xml:space="preserve">Attend regularly for monitoring and review appointments with primary care, specialist, and ophthalmology. Be aware that medicines may be stopped if they do not attend appointments. </w:t>
            </w:r>
          </w:p>
          <w:p w14:paraId="54644D60" w14:textId="77777777" w:rsidR="000469BF" w:rsidRPr="00CF00BA" w:rsidRDefault="000469BF" w:rsidP="006E68A7">
            <w:pPr>
              <w:numPr>
                <w:ilvl w:val="0"/>
                <w:numId w:val="11"/>
              </w:numPr>
              <w:spacing w:before="60" w:after="60"/>
              <w:ind w:left="357" w:hanging="357"/>
              <w:rPr>
                <w:rFonts w:eastAsia="Times New Roman" w:cs="Arial"/>
                <w:iCs/>
                <w:color w:val="000000"/>
                <w:szCs w:val="24"/>
                <w:lang w:eastAsia="en-GB"/>
              </w:rPr>
            </w:pPr>
            <w:r w:rsidRPr="00CF00BA">
              <w:rPr>
                <w:rFonts w:eastAsia="Times New Roman" w:cs="Arial"/>
                <w:iCs/>
                <w:color w:val="000000"/>
                <w:szCs w:val="24"/>
                <w:lang w:eastAsia="en-GB"/>
              </w:rPr>
              <w:t xml:space="preserve">Report adverse effects to their primary care prescriber. Seek immediate medical attention if they develop any symptoms as detailed in </w:t>
            </w:r>
            <w:hyperlink w:anchor="Eleven_advice_to_patients" w:history="1">
              <w:r w:rsidRPr="00CF00BA">
                <w:rPr>
                  <w:rFonts w:eastAsia="Times New Roman" w:cs="Arial"/>
                  <w:iCs/>
                  <w:color w:val="0000FF" w:themeColor="hyperlink"/>
                  <w:szCs w:val="24"/>
                  <w:u w:val="single"/>
                  <w:lang w:eastAsia="en-GB"/>
                </w:rPr>
                <w:t>section 11</w:t>
              </w:r>
            </w:hyperlink>
            <w:r w:rsidRPr="00CF00BA">
              <w:rPr>
                <w:rFonts w:eastAsia="Times New Roman" w:cs="Arial"/>
                <w:iCs/>
                <w:color w:val="000000"/>
                <w:szCs w:val="24"/>
                <w:lang w:eastAsia="en-GB"/>
              </w:rPr>
              <w:t>.</w:t>
            </w:r>
          </w:p>
          <w:p w14:paraId="26F92C93" w14:textId="77777777" w:rsidR="000469BF" w:rsidRPr="00CF00BA" w:rsidRDefault="000469BF" w:rsidP="006E68A7">
            <w:pPr>
              <w:numPr>
                <w:ilvl w:val="0"/>
                <w:numId w:val="11"/>
              </w:numPr>
              <w:spacing w:before="60" w:after="60"/>
              <w:ind w:left="357" w:hanging="357"/>
              <w:rPr>
                <w:rFonts w:eastAsia="Times New Roman" w:cs="Arial"/>
                <w:iCs/>
                <w:color w:val="000000"/>
                <w:szCs w:val="24"/>
                <w:lang w:eastAsia="en-GB"/>
              </w:rPr>
            </w:pPr>
            <w:r w:rsidRPr="00CF00BA">
              <w:rPr>
                <w:rFonts w:eastAsia="Times New Roman" w:cs="Arial"/>
                <w:iCs/>
                <w:color w:val="000000"/>
                <w:szCs w:val="24"/>
                <w:lang w:eastAsia="en-GB"/>
              </w:rPr>
              <w:t>Report the use of any over the counter medications to their prescriber and be aware they should discuss the use of hydroxychloroquine with their pharmacist before purchasing any OTC medicines.</w:t>
            </w:r>
          </w:p>
          <w:p w14:paraId="61DDC8D4" w14:textId="402FCEEE" w:rsidR="00055685" w:rsidRPr="00CF00BA" w:rsidRDefault="000469BF" w:rsidP="006E68A7">
            <w:pPr>
              <w:pStyle w:val="ListParagraph"/>
              <w:numPr>
                <w:ilvl w:val="0"/>
                <w:numId w:val="11"/>
              </w:numPr>
              <w:spacing w:after="120"/>
              <w:ind w:left="357" w:hanging="357"/>
              <w:rPr>
                <w:rFonts w:cs="Arial"/>
                <w:color w:val="000000"/>
                <w:u w:val="single"/>
              </w:rPr>
            </w:pPr>
            <w:r w:rsidRPr="00CF00BA">
              <w:rPr>
                <w:rFonts w:eastAsia="Times New Roman" w:cs="Arial"/>
                <w:iCs/>
                <w:color w:val="000000"/>
                <w:szCs w:val="24"/>
                <w:lang w:eastAsia="en-GB"/>
              </w:rPr>
              <w:t>Inform the specialist or primary care prescriber immediately if they become pregnant or wish to become pregnant.</w:t>
            </w:r>
          </w:p>
        </w:tc>
      </w:tr>
      <w:tr w:rsidR="00055685" w:rsidRPr="00CF00BA" w14:paraId="2BBEC1D0" w14:textId="77777777" w:rsidTr="009AF2D1">
        <w:trPr>
          <w:jc w:val="center"/>
        </w:trPr>
        <w:tc>
          <w:tcPr>
            <w:tcW w:w="10455" w:type="dxa"/>
            <w:gridSpan w:val="3"/>
            <w:tcBorders>
              <w:bottom w:val="nil"/>
            </w:tcBorders>
            <w:shd w:val="clear" w:color="auto" w:fill="F2F2F2" w:themeFill="background1" w:themeFillShade="F2"/>
          </w:tcPr>
          <w:p w14:paraId="14521365" w14:textId="6DDD4E82" w:rsidR="00055685" w:rsidRPr="00CF00BA" w:rsidRDefault="00055685" w:rsidP="00FA713C">
            <w:pPr>
              <w:pStyle w:val="Heading1"/>
              <w:tabs>
                <w:tab w:val="right" w:pos="10238"/>
              </w:tabs>
              <w:rPr>
                <w:rFonts w:cs="Arial"/>
              </w:rPr>
            </w:pPr>
            <w:bookmarkStart w:id="1" w:name="One_background"/>
            <w:r w:rsidRPr="00CF00BA">
              <w:rPr>
                <w:lang w:eastAsia="en-GB"/>
              </w:rPr>
              <w:lastRenderedPageBreak/>
              <w:t>Background</w:t>
            </w:r>
            <w:bookmarkEnd w:id="1"/>
            <w:r w:rsidRPr="00CF00BA">
              <w:rPr>
                <w:lang w:eastAsia="en-GB"/>
              </w:rPr>
              <w:t xml:space="preserve"> </w:t>
            </w:r>
            <w:r w:rsidRPr="00CF00BA">
              <w:rPr>
                <w:lang w:eastAsia="en-GB"/>
              </w:rPr>
              <w:tab/>
            </w:r>
            <w:hyperlink w:anchor="Responsibilities" w:history="1">
              <w:r w:rsidR="00FA713C" w:rsidRPr="00CF00BA">
                <w:rPr>
                  <w:rStyle w:val="Hyperlink"/>
                  <w:rFonts w:eastAsia="Times New Roman" w:cs="Arial"/>
                  <w:b w:val="0"/>
                  <w:bCs w:val="0"/>
                  <w:sz w:val="24"/>
                  <w:szCs w:val="24"/>
                  <w:lang w:eastAsia="en-GB"/>
                </w:rPr>
                <w:t>Back to top</w:t>
              </w:r>
            </w:hyperlink>
          </w:p>
        </w:tc>
      </w:tr>
      <w:tr w:rsidR="00055685" w:rsidRPr="00CF00BA" w14:paraId="295ECE79" w14:textId="77777777" w:rsidTr="009AF2D1">
        <w:trPr>
          <w:jc w:val="center"/>
        </w:trPr>
        <w:tc>
          <w:tcPr>
            <w:tcW w:w="10455" w:type="dxa"/>
            <w:gridSpan w:val="3"/>
            <w:tcBorders>
              <w:top w:val="nil"/>
              <w:bottom w:val="single" w:sz="4" w:space="0" w:color="auto"/>
            </w:tcBorders>
          </w:tcPr>
          <w:p w14:paraId="56B48295" w14:textId="77777777" w:rsidR="000469BF" w:rsidRPr="00CF00BA" w:rsidRDefault="000469BF" w:rsidP="006E68A7">
            <w:pPr>
              <w:spacing w:before="60" w:after="60"/>
            </w:pPr>
            <w:r w:rsidRPr="00CF00BA">
              <w:t xml:space="preserve">Hydroxychloroquine is an antimalarial and a disease modifying anti-rheumatic drug (DMARD) with several pharmacological actions which may be involved in its therapeutic effect. </w:t>
            </w:r>
          </w:p>
          <w:p w14:paraId="548264B8" w14:textId="69C2FAFF" w:rsidR="00CC6A32" w:rsidRPr="00CF00BA" w:rsidRDefault="000469BF" w:rsidP="006E68A7">
            <w:r w:rsidRPr="00CF00BA">
              <w:t>Hydroxychloroquine is not licensed for all indications included in this shared care protocol. Its use for the indications below is however supported by various sources and bodies including the BNF, NICE, British Society for Rheumatology (BSR) and British Health Professionals in Rheumatology (BHPR), British Association of Dermatologists (BAD) and British Thoracic Society (BTS).</w:t>
            </w:r>
          </w:p>
        </w:tc>
      </w:tr>
      <w:tr w:rsidR="00055685" w:rsidRPr="00CF00BA" w14:paraId="061A519D" w14:textId="77777777" w:rsidTr="009AF2D1">
        <w:trPr>
          <w:jc w:val="center"/>
        </w:trPr>
        <w:tc>
          <w:tcPr>
            <w:tcW w:w="10455" w:type="dxa"/>
            <w:gridSpan w:val="3"/>
            <w:tcBorders>
              <w:bottom w:val="nil"/>
            </w:tcBorders>
            <w:shd w:val="clear" w:color="auto" w:fill="F2F2F2" w:themeFill="background1" w:themeFillShade="F2"/>
          </w:tcPr>
          <w:p w14:paraId="31A445E6" w14:textId="7822028A" w:rsidR="00055685" w:rsidRPr="00CF00BA" w:rsidRDefault="00055685" w:rsidP="00595041">
            <w:pPr>
              <w:pStyle w:val="Heading1"/>
              <w:tabs>
                <w:tab w:val="right" w:pos="10240"/>
              </w:tabs>
              <w:rPr>
                <w:lang w:eastAsia="en-GB"/>
              </w:rPr>
            </w:pPr>
            <w:bookmarkStart w:id="2" w:name="Two_indications"/>
            <w:r w:rsidRPr="00CF00BA">
              <w:rPr>
                <w:lang w:eastAsia="en-GB"/>
              </w:rPr>
              <w:t>Indications</w:t>
            </w:r>
            <w:bookmarkEnd w:id="2"/>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tc>
      </w:tr>
      <w:tr w:rsidR="00055685" w:rsidRPr="00CF00BA" w14:paraId="29A3FC11" w14:textId="77777777" w:rsidTr="009AF2D1">
        <w:trPr>
          <w:jc w:val="center"/>
        </w:trPr>
        <w:tc>
          <w:tcPr>
            <w:tcW w:w="10455" w:type="dxa"/>
            <w:gridSpan w:val="3"/>
            <w:tcBorders>
              <w:top w:val="nil"/>
              <w:bottom w:val="single" w:sz="4" w:space="0" w:color="auto"/>
            </w:tcBorders>
          </w:tcPr>
          <w:p w14:paraId="6ECB5A2A" w14:textId="77777777" w:rsidR="00516AFA" w:rsidRPr="00CF00BA" w:rsidRDefault="00516AFA" w:rsidP="006E68A7">
            <w:pPr>
              <w:spacing w:before="60" w:after="60"/>
              <w:rPr>
                <w:rFonts w:eastAsia="Times New Roman" w:cstheme="minorHAnsi"/>
                <w:color w:val="000000"/>
                <w:lang w:eastAsia="en-GB"/>
              </w:rPr>
            </w:pPr>
            <w:r w:rsidRPr="00CF00BA">
              <w:rPr>
                <w:rFonts w:eastAsia="Times New Roman" w:cstheme="minorHAnsi"/>
                <w:color w:val="000000"/>
                <w:lang w:eastAsia="en-GB"/>
              </w:rPr>
              <w:t>Hydroxychloroquine is licensed for treatment of:</w:t>
            </w:r>
          </w:p>
          <w:p w14:paraId="0A4EFFB6" w14:textId="77777777" w:rsidR="00516AFA" w:rsidRPr="00CF00BA" w:rsidRDefault="00516AFA" w:rsidP="006E68A7">
            <w:pPr>
              <w:pStyle w:val="ListParagraph"/>
              <w:numPr>
                <w:ilvl w:val="0"/>
                <w:numId w:val="12"/>
              </w:numPr>
              <w:spacing w:before="60" w:after="60"/>
              <w:rPr>
                <w:rFonts w:eastAsia="Times New Roman" w:cstheme="minorHAnsi"/>
                <w:color w:val="000000"/>
                <w:lang w:eastAsia="en-GB"/>
              </w:rPr>
            </w:pPr>
            <w:r w:rsidRPr="00CF00BA">
              <w:rPr>
                <w:rFonts w:eastAsia="Times New Roman" w:cstheme="minorHAnsi"/>
                <w:color w:val="000000"/>
                <w:lang w:eastAsia="en-GB"/>
              </w:rPr>
              <w:t xml:space="preserve">Active rheumatoid arthritis </w:t>
            </w:r>
          </w:p>
          <w:p w14:paraId="13B4A5BD" w14:textId="77777777" w:rsidR="00516AFA" w:rsidRPr="00CF00BA" w:rsidRDefault="00516AFA" w:rsidP="006E68A7">
            <w:pPr>
              <w:pStyle w:val="ListParagraph"/>
              <w:numPr>
                <w:ilvl w:val="0"/>
                <w:numId w:val="12"/>
              </w:numPr>
              <w:spacing w:before="60" w:after="60"/>
              <w:rPr>
                <w:rFonts w:eastAsia="Times New Roman" w:cstheme="minorHAnsi"/>
                <w:color w:val="000000"/>
                <w:lang w:eastAsia="en-GB"/>
              </w:rPr>
            </w:pPr>
            <w:r w:rsidRPr="00CF00BA">
              <w:rPr>
                <w:rFonts w:eastAsia="Times New Roman" w:cstheme="minorHAnsi"/>
                <w:color w:val="000000"/>
                <w:lang w:eastAsia="en-GB"/>
              </w:rPr>
              <w:t xml:space="preserve">Systemic and discoid lupus erythematosus </w:t>
            </w:r>
          </w:p>
          <w:p w14:paraId="1446F51E" w14:textId="77777777" w:rsidR="00516AFA" w:rsidRPr="00CF00BA" w:rsidRDefault="00516AFA" w:rsidP="006E68A7">
            <w:pPr>
              <w:pStyle w:val="ListParagraph"/>
              <w:numPr>
                <w:ilvl w:val="0"/>
                <w:numId w:val="12"/>
              </w:numPr>
              <w:spacing w:before="60" w:after="60"/>
              <w:rPr>
                <w:rFonts w:eastAsia="Times New Roman" w:cstheme="minorHAnsi"/>
                <w:color w:val="000000"/>
                <w:lang w:eastAsia="en-GB"/>
              </w:rPr>
            </w:pPr>
            <w:r w:rsidRPr="00CF00BA">
              <w:rPr>
                <w:rFonts w:eastAsia="Times New Roman" w:cstheme="minorHAnsi"/>
                <w:color w:val="000000"/>
                <w:lang w:eastAsia="en-GB"/>
              </w:rPr>
              <w:t xml:space="preserve">Dermatological conditions caused or aggravated by sunlight </w:t>
            </w:r>
          </w:p>
          <w:p w14:paraId="01362EE2" w14:textId="77777777" w:rsidR="00516AFA" w:rsidRPr="00CF00BA" w:rsidRDefault="00516AFA" w:rsidP="006E68A7">
            <w:pPr>
              <w:spacing w:before="60" w:after="60"/>
              <w:rPr>
                <w:rFonts w:eastAsia="Times New Roman" w:cstheme="minorHAnsi"/>
                <w:color w:val="000000"/>
                <w:lang w:eastAsia="en-GB"/>
              </w:rPr>
            </w:pPr>
          </w:p>
          <w:p w14:paraId="16B1434F" w14:textId="77777777" w:rsidR="00516AFA" w:rsidRPr="00CF00BA" w:rsidRDefault="00516AFA" w:rsidP="006E68A7">
            <w:pPr>
              <w:rPr>
                <w:rFonts w:eastAsia="Times New Roman" w:cstheme="minorHAnsi"/>
                <w:color w:val="000000"/>
                <w:lang w:eastAsia="en-GB"/>
              </w:rPr>
            </w:pPr>
            <w:r w:rsidRPr="00CF00BA">
              <w:rPr>
                <w:rFonts w:eastAsia="Times New Roman" w:cstheme="minorHAnsi"/>
                <w:color w:val="000000"/>
                <w:lang w:eastAsia="en-GB"/>
              </w:rPr>
              <w:t xml:space="preserve">This shared care protocol also includes treatment of chronic inflammatory conditions where off-label use of hydroxychloroquine is appropriate, including </w:t>
            </w:r>
            <w:r w:rsidRPr="00CF00BA">
              <w:rPr>
                <w:rFonts w:cstheme="minorHAnsi"/>
                <w:color w:val="000000"/>
              </w:rPr>
              <w:t>but not limited to the following specialities and conditions</w:t>
            </w:r>
            <w:r w:rsidRPr="00CF00BA">
              <w:rPr>
                <w:rFonts w:eastAsia="Times New Roman" w:cstheme="minorHAnsi"/>
                <w:color w:val="000000"/>
                <w:lang w:eastAsia="en-GB"/>
              </w:rPr>
              <w:t>:</w:t>
            </w:r>
          </w:p>
          <w:p w14:paraId="296FF1D0" w14:textId="77777777" w:rsidR="00516AFA" w:rsidRPr="00CF00BA" w:rsidRDefault="00516AFA" w:rsidP="006E68A7">
            <w:pPr>
              <w:pStyle w:val="ListParagraph"/>
              <w:numPr>
                <w:ilvl w:val="0"/>
                <w:numId w:val="12"/>
              </w:numPr>
              <w:spacing w:before="60" w:after="60"/>
              <w:rPr>
                <w:rFonts w:cs="Arial"/>
                <w:color w:val="000000"/>
              </w:rPr>
            </w:pPr>
            <w:r w:rsidRPr="00CF00BA">
              <w:rPr>
                <w:rFonts w:cs="Arial"/>
                <w:color w:val="000000"/>
              </w:rPr>
              <w:t>Rheumatology (e.g. inflammatory arthritis, connective tissue disease,</w:t>
            </w:r>
            <w:r w:rsidRPr="00CF00BA">
              <w:rPr>
                <w:rFonts w:eastAsia="Times New Roman" w:cstheme="minorHAnsi"/>
                <w:color w:val="000000"/>
                <w:lang w:eastAsia="en-GB"/>
              </w:rPr>
              <w:t xml:space="preserve"> Sjögren’s syndrome,</w:t>
            </w:r>
            <w:r w:rsidRPr="00CF00BA">
              <w:rPr>
                <w:rFonts w:cs="Arial"/>
                <w:color w:val="000000"/>
              </w:rPr>
              <w:t xml:space="preserve"> myositis)</w:t>
            </w:r>
          </w:p>
          <w:p w14:paraId="469C7BD0" w14:textId="77777777" w:rsidR="00516AFA" w:rsidRPr="00CF00BA" w:rsidRDefault="00516AFA" w:rsidP="006E68A7">
            <w:pPr>
              <w:pStyle w:val="ListParagraph"/>
              <w:numPr>
                <w:ilvl w:val="0"/>
                <w:numId w:val="12"/>
              </w:numPr>
              <w:spacing w:before="60" w:after="60"/>
              <w:rPr>
                <w:rFonts w:cs="Arial"/>
                <w:color w:val="000000"/>
              </w:rPr>
            </w:pPr>
            <w:r w:rsidRPr="00CF00BA">
              <w:rPr>
                <w:rFonts w:cs="Arial"/>
                <w:color w:val="000000"/>
              </w:rPr>
              <w:t>Dermatology (e.g. urticaria, other inflammatory skin diseases)</w:t>
            </w:r>
          </w:p>
          <w:p w14:paraId="7C46A214" w14:textId="77777777" w:rsidR="00516AFA" w:rsidRPr="00CF00BA" w:rsidRDefault="00516AFA" w:rsidP="006E68A7">
            <w:pPr>
              <w:pStyle w:val="ListParagraph"/>
              <w:numPr>
                <w:ilvl w:val="0"/>
                <w:numId w:val="12"/>
              </w:numPr>
              <w:spacing w:before="60" w:after="60"/>
              <w:rPr>
                <w:rFonts w:cs="Arial"/>
                <w:color w:val="000000"/>
              </w:rPr>
            </w:pPr>
            <w:r w:rsidRPr="00CF00BA">
              <w:rPr>
                <w:rFonts w:cs="Arial"/>
                <w:color w:val="000000"/>
              </w:rPr>
              <w:t>Respiratory disease (e.g. interstitial lung disease, sarcoidosis).</w:t>
            </w:r>
          </w:p>
          <w:p w14:paraId="3CC4D4BF" w14:textId="77777777" w:rsidR="00516AFA" w:rsidRPr="00CF00BA" w:rsidRDefault="00516AFA" w:rsidP="006E68A7">
            <w:pPr>
              <w:pStyle w:val="ListParagraph"/>
              <w:numPr>
                <w:ilvl w:val="0"/>
                <w:numId w:val="12"/>
              </w:numPr>
              <w:spacing w:before="60" w:after="60"/>
              <w:rPr>
                <w:rFonts w:cs="Arial"/>
                <w:color w:val="000000"/>
              </w:rPr>
            </w:pPr>
            <w:r w:rsidRPr="00CF00BA">
              <w:rPr>
                <w:rFonts w:cs="Arial"/>
                <w:color w:val="000000"/>
              </w:rPr>
              <w:t xml:space="preserve">Renal medicine </w:t>
            </w:r>
          </w:p>
          <w:p w14:paraId="66228A69" w14:textId="77777777" w:rsidR="00516AFA" w:rsidRPr="00CF00BA" w:rsidRDefault="00516AFA" w:rsidP="006E68A7">
            <w:pPr>
              <w:spacing w:before="60" w:after="60"/>
              <w:rPr>
                <w:rFonts w:cstheme="minorHAnsi"/>
                <w:color w:val="000000"/>
              </w:rPr>
            </w:pPr>
            <w:r w:rsidRPr="00CF00BA">
              <w:rPr>
                <w:rFonts w:cstheme="minorHAnsi"/>
                <w:color w:val="000000"/>
              </w:rPr>
              <w:t xml:space="preserve">These additional indications are off-label. The initiating specialist </w:t>
            </w:r>
            <w:r w:rsidRPr="00CF00BA">
              <w:rPr>
                <w:rFonts w:cstheme="minorHAnsi"/>
                <w:color w:val="000000"/>
                <w:u w:val="single"/>
              </w:rPr>
              <w:t>must specify the indication for each patient</w:t>
            </w:r>
            <w:r w:rsidRPr="00CF00BA">
              <w:rPr>
                <w:rFonts w:cstheme="minorHAnsi"/>
                <w:color w:val="000000"/>
              </w:rPr>
              <w:t xml:space="preserve"> when initiating shared care and clearly state when use is off-label.</w:t>
            </w:r>
          </w:p>
          <w:p w14:paraId="5624D4FB" w14:textId="77777777" w:rsidR="00516AFA" w:rsidRPr="00CF00BA" w:rsidRDefault="00516AFA" w:rsidP="006E68A7">
            <w:pPr>
              <w:spacing w:before="60" w:after="60"/>
              <w:rPr>
                <w:rFonts w:cstheme="minorHAnsi"/>
                <w:color w:val="000000"/>
              </w:rPr>
            </w:pPr>
          </w:p>
          <w:p w14:paraId="45C820ED" w14:textId="4086470D" w:rsidR="00E50AEB" w:rsidRPr="00CF00BA" w:rsidRDefault="00516AFA" w:rsidP="006E68A7">
            <w:pPr>
              <w:rPr>
                <w:rFonts w:eastAsia="Times New Roman"/>
                <w:lang w:eastAsia="en-GB"/>
              </w:rPr>
            </w:pPr>
            <w:r w:rsidRPr="00CF00BA">
              <w:rPr>
                <w:rFonts w:cstheme="minorHAnsi"/>
                <w:color w:val="000000"/>
              </w:rPr>
              <w:t>This shared care protocol applies to adults aged 18 and over.</w:t>
            </w:r>
          </w:p>
        </w:tc>
      </w:tr>
      <w:tr w:rsidR="00055685" w:rsidRPr="00CF00BA" w14:paraId="0408E228" w14:textId="77777777" w:rsidTr="009AF2D1">
        <w:trPr>
          <w:jc w:val="center"/>
        </w:trPr>
        <w:tc>
          <w:tcPr>
            <w:tcW w:w="10455" w:type="dxa"/>
            <w:gridSpan w:val="3"/>
            <w:tcBorders>
              <w:bottom w:val="nil"/>
            </w:tcBorders>
            <w:shd w:val="clear" w:color="auto" w:fill="F2F2F2" w:themeFill="background1" w:themeFillShade="F2"/>
          </w:tcPr>
          <w:p w14:paraId="7FEEB7AA" w14:textId="208204A8" w:rsidR="00055685" w:rsidRPr="00CF00BA" w:rsidRDefault="00055685" w:rsidP="00846A4A">
            <w:pPr>
              <w:pStyle w:val="Heading1"/>
              <w:tabs>
                <w:tab w:val="right" w:pos="10238"/>
              </w:tabs>
              <w:rPr>
                <w:color w:val="000000"/>
                <w:sz w:val="16"/>
                <w:szCs w:val="16"/>
                <w:lang w:val="en" w:eastAsia="en-GB"/>
              </w:rPr>
            </w:pPr>
            <w:bookmarkStart w:id="3" w:name="_Locally_agreed_off-label"/>
            <w:bookmarkStart w:id="4" w:name="Three_local_indications"/>
            <w:bookmarkEnd w:id="3"/>
            <w:r w:rsidRPr="00CF00BA">
              <w:rPr>
                <w:lang w:eastAsia="en-GB"/>
              </w:rPr>
              <w:t>Locally agreed off-label use</w:t>
            </w:r>
            <w:bookmarkEnd w:id="4"/>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tc>
      </w:tr>
      <w:tr w:rsidR="00516AFA" w:rsidRPr="00CF00BA" w14:paraId="6AD485E9" w14:textId="77777777" w:rsidTr="009AF2D1">
        <w:trPr>
          <w:jc w:val="center"/>
        </w:trPr>
        <w:tc>
          <w:tcPr>
            <w:tcW w:w="10455" w:type="dxa"/>
            <w:gridSpan w:val="3"/>
            <w:tcBorders>
              <w:top w:val="nil"/>
              <w:bottom w:val="single" w:sz="4" w:space="0" w:color="auto"/>
            </w:tcBorders>
          </w:tcPr>
          <w:p w14:paraId="6B64AC17" w14:textId="77777777" w:rsidR="00A10FBB" w:rsidRPr="00373E49" w:rsidRDefault="00A10FBB" w:rsidP="00A10FBB">
            <w:pPr>
              <w:rPr>
                <w:rFonts w:eastAsia="Arial" w:cs="Arial"/>
                <w:szCs w:val="24"/>
              </w:rPr>
            </w:pPr>
            <w:r w:rsidRPr="00373E49">
              <w:rPr>
                <w:rFonts w:eastAsia="Arial" w:cs="Arial"/>
                <w:szCs w:val="24"/>
              </w:rPr>
              <w:t xml:space="preserve">The </w:t>
            </w:r>
            <w:r>
              <w:rPr>
                <w:rFonts w:eastAsia="Arial" w:cs="Arial"/>
                <w:szCs w:val="24"/>
              </w:rPr>
              <w:t xml:space="preserve">South West London Integrated Medicines Optimisation Committee </w:t>
            </w:r>
            <w:r w:rsidRPr="00373E49">
              <w:rPr>
                <w:rFonts w:eastAsia="Arial" w:cs="Arial"/>
                <w:szCs w:val="24"/>
              </w:rPr>
              <w:t>recommended the use of this document for the</w:t>
            </w:r>
            <w:r>
              <w:rPr>
                <w:rFonts w:eastAsia="Arial" w:cs="Arial"/>
                <w:szCs w:val="24"/>
              </w:rPr>
              <w:t xml:space="preserve"> indications as outlined above. </w:t>
            </w:r>
          </w:p>
          <w:p w14:paraId="102ADF20" w14:textId="77777777" w:rsidR="00A10FBB" w:rsidRPr="00373E49" w:rsidRDefault="00A10FBB" w:rsidP="00A10FBB">
            <w:pPr>
              <w:rPr>
                <w:rFonts w:eastAsia="Arial" w:cs="Arial"/>
                <w:szCs w:val="24"/>
              </w:rPr>
            </w:pPr>
            <w:r w:rsidRPr="00373E49">
              <w:rPr>
                <w:rFonts w:eastAsia="Arial" w:cs="Arial"/>
                <w:szCs w:val="24"/>
              </w:rPr>
              <w:t>The following information should be provided in correspondence to support prescribing in line with this shared care.</w:t>
            </w:r>
          </w:p>
          <w:p w14:paraId="57BE9056" w14:textId="77777777" w:rsidR="00A10FBB" w:rsidRPr="00373E49" w:rsidRDefault="00A10FBB" w:rsidP="00A10FBB">
            <w:pPr>
              <w:numPr>
                <w:ilvl w:val="0"/>
                <w:numId w:val="24"/>
              </w:numPr>
              <w:spacing w:after="50"/>
              <w:rPr>
                <w:rFonts w:eastAsia="Arial" w:cs="Arial"/>
                <w:szCs w:val="24"/>
              </w:rPr>
            </w:pPr>
            <w:r w:rsidRPr="00373E49">
              <w:rPr>
                <w:rFonts w:eastAsia="Arial" w:cs="Arial"/>
                <w:szCs w:val="24"/>
              </w:rPr>
              <w:t xml:space="preserve">Dosing specific to the indication </w:t>
            </w:r>
          </w:p>
          <w:p w14:paraId="44B4188C" w14:textId="77777777" w:rsidR="00A10FBB" w:rsidRPr="00373E49" w:rsidRDefault="00A10FBB" w:rsidP="00A10FBB">
            <w:pPr>
              <w:numPr>
                <w:ilvl w:val="0"/>
                <w:numId w:val="24"/>
              </w:numPr>
              <w:spacing w:after="50"/>
              <w:rPr>
                <w:rFonts w:eastAsia="Arial" w:cs="Arial"/>
                <w:szCs w:val="24"/>
              </w:rPr>
            </w:pPr>
            <w:r w:rsidRPr="00373E49">
              <w:rPr>
                <w:rFonts w:eastAsia="Arial" w:cs="Arial"/>
                <w:szCs w:val="24"/>
              </w:rPr>
              <w:t>Relevant interaction information</w:t>
            </w:r>
          </w:p>
          <w:p w14:paraId="4C1E7C83" w14:textId="77777777" w:rsidR="00A10FBB" w:rsidRPr="00D90889" w:rsidRDefault="00A10FBB" w:rsidP="00A10FBB">
            <w:pPr>
              <w:numPr>
                <w:ilvl w:val="0"/>
                <w:numId w:val="24"/>
              </w:numPr>
              <w:spacing w:after="50"/>
              <w:rPr>
                <w:rFonts w:eastAsia="Arial" w:cs="Arial"/>
                <w:szCs w:val="24"/>
              </w:rPr>
            </w:pPr>
            <w:r w:rsidRPr="00D90889">
              <w:rPr>
                <w:rFonts w:eastAsia="Arial" w:cs="Arial"/>
                <w:szCs w:val="24"/>
              </w:rPr>
              <w:t>Any additional monitoring requirements over and above the shared care.</w:t>
            </w:r>
          </w:p>
          <w:p w14:paraId="489B9CA2" w14:textId="77777777" w:rsidR="00A10FBB" w:rsidRPr="00373E49" w:rsidRDefault="00A10FBB" w:rsidP="00A10FBB">
            <w:pPr>
              <w:numPr>
                <w:ilvl w:val="0"/>
                <w:numId w:val="24"/>
              </w:numPr>
              <w:spacing w:after="50"/>
              <w:rPr>
                <w:rFonts w:eastAsia="Arial" w:cs="Arial"/>
                <w:szCs w:val="24"/>
              </w:rPr>
            </w:pPr>
            <w:r w:rsidRPr="00373E49">
              <w:rPr>
                <w:rFonts w:eastAsia="Arial" w:cs="Arial"/>
                <w:szCs w:val="24"/>
              </w:rPr>
              <w:lastRenderedPageBreak/>
              <w:t>Duration of treatment</w:t>
            </w:r>
          </w:p>
          <w:p w14:paraId="2FAA7D29" w14:textId="77777777" w:rsidR="00A10FBB" w:rsidRDefault="00A10FBB" w:rsidP="00A10FBB">
            <w:pPr>
              <w:numPr>
                <w:ilvl w:val="0"/>
                <w:numId w:val="24"/>
              </w:numPr>
              <w:spacing w:after="50"/>
              <w:rPr>
                <w:rFonts w:eastAsia="Arial" w:cs="Arial"/>
                <w:szCs w:val="24"/>
              </w:rPr>
            </w:pPr>
            <w:r w:rsidRPr="00373E49">
              <w:rPr>
                <w:rFonts w:eastAsia="Arial" w:cs="Arial"/>
                <w:szCs w:val="24"/>
              </w:rPr>
              <w:t>Frequency of review.</w:t>
            </w:r>
          </w:p>
          <w:p w14:paraId="3F4A6C3C" w14:textId="66CF0973" w:rsidR="2A58E9C9" w:rsidRPr="00A10FBB" w:rsidRDefault="00A10FBB" w:rsidP="00A10FBB">
            <w:pPr>
              <w:numPr>
                <w:ilvl w:val="0"/>
                <w:numId w:val="24"/>
              </w:numPr>
              <w:spacing w:after="50"/>
              <w:rPr>
                <w:rFonts w:eastAsia="Arial" w:cs="Arial"/>
                <w:szCs w:val="24"/>
              </w:rPr>
            </w:pPr>
            <w:r w:rsidRPr="00A10FBB">
              <w:rPr>
                <w:rFonts w:eastAsia="Times New Roman"/>
              </w:rPr>
              <w:t>Specific features of adverse effects or deterioration pertinent to the specific indication for which it is used</w:t>
            </w:r>
          </w:p>
        </w:tc>
      </w:tr>
      <w:tr w:rsidR="00055685" w:rsidRPr="00CF00BA" w14:paraId="6AC5F0BC" w14:textId="77777777" w:rsidTr="009AF2D1">
        <w:trPr>
          <w:jc w:val="center"/>
        </w:trPr>
        <w:tc>
          <w:tcPr>
            <w:tcW w:w="10455" w:type="dxa"/>
            <w:gridSpan w:val="3"/>
            <w:tcBorders>
              <w:bottom w:val="nil"/>
            </w:tcBorders>
            <w:shd w:val="clear" w:color="auto" w:fill="F2F2F2" w:themeFill="background1" w:themeFillShade="F2"/>
          </w:tcPr>
          <w:p w14:paraId="09AB2071" w14:textId="5380C4B8" w:rsidR="00055685" w:rsidRPr="00CF00BA" w:rsidRDefault="00055685" w:rsidP="00595041">
            <w:pPr>
              <w:pStyle w:val="Heading1"/>
              <w:tabs>
                <w:tab w:val="right" w:pos="10240"/>
              </w:tabs>
              <w:rPr>
                <w:lang w:eastAsia="en-GB"/>
              </w:rPr>
            </w:pPr>
            <w:bookmarkStart w:id="5" w:name="Four_cx_and_cautions"/>
            <w:r w:rsidRPr="00CF00BA">
              <w:rPr>
                <w:lang w:eastAsia="en-GB"/>
              </w:rPr>
              <w:lastRenderedPageBreak/>
              <w:t>Contraindications and cautions</w:t>
            </w:r>
            <w:r w:rsidRPr="00CF00BA">
              <w:tab/>
            </w:r>
            <w:hyperlink w:anchor="Responsibilities">
              <w:r w:rsidRPr="00CF00BA">
                <w:rPr>
                  <w:rStyle w:val="Hyperlink"/>
                  <w:rFonts w:eastAsia="Times New Roman" w:cs="Arial"/>
                  <w:b w:val="0"/>
                  <w:bCs w:val="0"/>
                  <w:sz w:val="24"/>
                  <w:szCs w:val="24"/>
                  <w:lang w:eastAsia="en-GB"/>
                </w:rPr>
                <w:t>Back to top</w:t>
              </w:r>
            </w:hyperlink>
          </w:p>
          <w:bookmarkEnd w:id="5"/>
          <w:p w14:paraId="7CBFF278" w14:textId="19F1C07E" w:rsidR="00055685" w:rsidRPr="00CF00BA" w:rsidRDefault="2A58E9C9" w:rsidP="2A58E9C9">
            <w:pPr>
              <w:spacing w:after="0" w:line="257" w:lineRule="auto"/>
              <w:rPr>
                <w:rFonts w:eastAsia="Arial" w:cs="Arial"/>
                <w:color w:val="000000" w:themeColor="text1"/>
                <w:szCs w:val="24"/>
              </w:rPr>
            </w:pPr>
            <w:r w:rsidRPr="00CF00BA">
              <w:rPr>
                <w:rFonts w:eastAsia="Arial" w:cs="Arial"/>
                <w:color w:val="000000" w:themeColor="text1"/>
                <w:szCs w:val="24"/>
              </w:rPr>
              <w:t>This information does not replace the Summary of Product Characteristics (</w:t>
            </w:r>
            <w:r w:rsidRPr="00CF00BA">
              <w:rPr>
                <w:rFonts w:eastAsia="Arial" w:cs="Arial"/>
                <w:szCs w:val="24"/>
              </w:rPr>
              <w:t xml:space="preserve">SPC), and should be read in conjunction with it. Please see </w:t>
            </w:r>
            <w:hyperlink r:id="rId28">
              <w:r w:rsidRPr="00CF00BA">
                <w:rPr>
                  <w:rStyle w:val="Hyperlink"/>
                  <w:rFonts w:eastAsia="Arial" w:cs="Arial"/>
                  <w:szCs w:val="24"/>
                </w:rPr>
                <w:t>BNF</w:t>
              </w:r>
            </w:hyperlink>
            <w:r w:rsidRPr="00CF00BA">
              <w:rPr>
                <w:rFonts w:eastAsia="Arial" w:cs="Arial"/>
                <w:color w:val="000000" w:themeColor="text1"/>
                <w:szCs w:val="24"/>
              </w:rPr>
              <w:t xml:space="preserve"> &amp; </w:t>
            </w:r>
            <w:hyperlink r:id="rId29">
              <w:r w:rsidRPr="00CF00BA">
                <w:rPr>
                  <w:rStyle w:val="Hyperlink"/>
                  <w:rFonts w:eastAsia="Arial" w:cs="Arial"/>
                  <w:szCs w:val="24"/>
                </w:rPr>
                <w:t>SPC</w:t>
              </w:r>
            </w:hyperlink>
            <w:r w:rsidRPr="00CF00BA">
              <w:rPr>
                <w:rFonts w:eastAsia="Arial" w:cs="Arial"/>
                <w:color w:val="000000" w:themeColor="text1"/>
                <w:szCs w:val="24"/>
              </w:rPr>
              <w:t xml:space="preserve">  f</w:t>
            </w:r>
            <w:r w:rsidRPr="00CF00BA">
              <w:rPr>
                <w:rFonts w:eastAsia="Arial" w:cs="Arial"/>
                <w:szCs w:val="24"/>
              </w:rPr>
              <w:t>or comprehensive information.</w:t>
            </w:r>
          </w:p>
        </w:tc>
      </w:tr>
      <w:tr w:rsidR="002D6DA8" w:rsidRPr="00CF00BA" w14:paraId="15455F3C" w14:textId="77777777" w:rsidTr="009AF2D1">
        <w:trPr>
          <w:jc w:val="center"/>
        </w:trPr>
        <w:tc>
          <w:tcPr>
            <w:tcW w:w="10455" w:type="dxa"/>
            <w:gridSpan w:val="3"/>
            <w:tcBorders>
              <w:top w:val="nil"/>
              <w:bottom w:val="single" w:sz="4" w:space="0" w:color="auto"/>
            </w:tcBorders>
          </w:tcPr>
          <w:p w14:paraId="5E9F1519" w14:textId="77777777" w:rsidR="00224B60" w:rsidRPr="00CF00BA" w:rsidRDefault="00224B60" w:rsidP="005C0784">
            <w:pPr>
              <w:autoSpaceDE w:val="0"/>
              <w:autoSpaceDN w:val="0"/>
              <w:adjustRightInd w:val="0"/>
              <w:spacing w:before="60" w:after="60"/>
              <w:rPr>
                <w:rFonts w:eastAsia="Times New Roman" w:cs="Arial"/>
                <w:b/>
                <w:color w:val="000000"/>
                <w:szCs w:val="24"/>
                <w:lang w:eastAsia="en-GB"/>
              </w:rPr>
            </w:pPr>
            <w:r w:rsidRPr="00CF00BA">
              <w:rPr>
                <w:rFonts w:eastAsia="Times New Roman" w:cs="Arial"/>
                <w:b/>
                <w:color w:val="000000"/>
                <w:szCs w:val="24"/>
                <w:lang w:eastAsia="en-GB"/>
              </w:rPr>
              <w:t>Contraindications:</w:t>
            </w:r>
          </w:p>
          <w:p w14:paraId="17F957D2" w14:textId="77777777" w:rsidR="00224B60" w:rsidRPr="00CF00BA" w:rsidRDefault="00224B60" w:rsidP="005C0784">
            <w:pPr>
              <w:numPr>
                <w:ilvl w:val="0"/>
                <w:numId w:val="5"/>
              </w:numPr>
              <w:autoSpaceDE w:val="0"/>
              <w:autoSpaceDN w:val="0"/>
              <w:adjustRightInd w:val="0"/>
              <w:spacing w:before="60" w:after="60"/>
              <w:rPr>
                <w:rFonts w:eastAsia="Times New Roman" w:cs="Arial"/>
                <w:bCs/>
                <w:iCs/>
                <w:color w:val="000000"/>
                <w:szCs w:val="24"/>
                <w:lang w:eastAsia="en-GB"/>
              </w:rPr>
            </w:pPr>
            <w:r w:rsidRPr="00CF00BA">
              <w:rPr>
                <w:rFonts w:eastAsia="Times New Roman" w:cs="Arial"/>
                <w:bCs/>
                <w:iCs/>
                <w:color w:val="000000"/>
                <w:szCs w:val="24"/>
                <w:lang w:eastAsia="en-GB"/>
              </w:rPr>
              <w:t>Hypersensitivity to hydroxychloroquine or 4-aminoquinoline compounds</w:t>
            </w:r>
          </w:p>
          <w:p w14:paraId="31A83135" w14:textId="000FEA60" w:rsidR="00224B60" w:rsidRPr="00CF00BA" w:rsidRDefault="00224B60" w:rsidP="005C0784">
            <w:pPr>
              <w:numPr>
                <w:ilvl w:val="0"/>
                <w:numId w:val="5"/>
              </w:numPr>
              <w:autoSpaceDE w:val="0"/>
              <w:autoSpaceDN w:val="0"/>
              <w:adjustRightInd w:val="0"/>
              <w:spacing w:before="60" w:after="60"/>
              <w:rPr>
                <w:rFonts w:eastAsia="Times New Roman" w:cs="Arial"/>
                <w:bCs/>
                <w:iCs/>
                <w:color w:val="000000"/>
                <w:szCs w:val="24"/>
                <w:lang w:eastAsia="en-GB"/>
              </w:rPr>
            </w:pPr>
            <w:r w:rsidRPr="00CF00BA">
              <w:rPr>
                <w:rFonts w:eastAsia="Times New Roman" w:cs="Arial"/>
                <w:bCs/>
                <w:iCs/>
                <w:color w:val="000000"/>
                <w:szCs w:val="24"/>
                <w:lang w:eastAsia="en-GB"/>
              </w:rPr>
              <w:t xml:space="preserve">Pre-existing maculopathy </w:t>
            </w:r>
          </w:p>
          <w:p w14:paraId="72AD7C4A" w14:textId="77777777" w:rsidR="00224B60" w:rsidRPr="00CF00BA" w:rsidRDefault="00224B60" w:rsidP="005C0784">
            <w:pPr>
              <w:autoSpaceDE w:val="0"/>
              <w:autoSpaceDN w:val="0"/>
              <w:adjustRightInd w:val="0"/>
              <w:spacing w:before="60" w:after="60"/>
              <w:rPr>
                <w:rFonts w:eastAsia="Times New Roman" w:cs="Arial"/>
                <w:b/>
                <w:color w:val="000000"/>
                <w:szCs w:val="24"/>
                <w:lang w:eastAsia="en-GB"/>
              </w:rPr>
            </w:pPr>
            <w:r w:rsidRPr="00CF00BA">
              <w:rPr>
                <w:rFonts w:eastAsia="Times New Roman" w:cs="Arial"/>
                <w:b/>
                <w:bCs/>
                <w:iCs/>
                <w:color w:val="000000"/>
                <w:szCs w:val="24"/>
                <w:lang w:eastAsia="en-GB"/>
              </w:rPr>
              <w:t>Cautions</w:t>
            </w:r>
            <w:r w:rsidRPr="00CF00BA">
              <w:rPr>
                <w:rFonts w:eastAsia="Times New Roman" w:cs="Arial"/>
                <w:b/>
                <w:color w:val="000000"/>
                <w:szCs w:val="24"/>
                <w:lang w:eastAsia="en-GB"/>
              </w:rPr>
              <w:t>:</w:t>
            </w:r>
          </w:p>
          <w:p w14:paraId="04861B5F" w14:textId="77777777" w:rsidR="00224B60" w:rsidRPr="00CF00BA" w:rsidRDefault="00224B60" w:rsidP="005C0784">
            <w:pPr>
              <w:pStyle w:val="ListParagraph"/>
              <w:numPr>
                <w:ilvl w:val="0"/>
                <w:numId w:val="5"/>
              </w:numPr>
              <w:spacing w:before="60" w:after="60"/>
              <w:rPr>
                <w:rFonts w:cs="Arial"/>
                <w:szCs w:val="24"/>
                <w:lang w:eastAsia="en-GB"/>
              </w:rPr>
            </w:pPr>
            <w:r w:rsidRPr="00CF00BA">
              <w:rPr>
                <w:rFonts w:cs="Arial"/>
                <w:szCs w:val="24"/>
                <w:lang w:eastAsia="en-GB"/>
              </w:rPr>
              <w:t>Concurrent use of medicines which may cause adverse ocular or skin reactions</w:t>
            </w:r>
          </w:p>
          <w:p w14:paraId="27D4C1FD" w14:textId="77777777" w:rsidR="00224B60" w:rsidRPr="00CF00BA" w:rsidRDefault="00224B60" w:rsidP="005C0784">
            <w:pPr>
              <w:pStyle w:val="ListParagraph"/>
              <w:numPr>
                <w:ilvl w:val="0"/>
                <w:numId w:val="5"/>
              </w:numPr>
              <w:spacing w:before="60" w:after="60"/>
              <w:rPr>
                <w:rFonts w:cs="Arial"/>
                <w:szCs w:val="24"/>
                <w:lang w:eastAsia="en-GB"/>
              </w:rPr>
            </w:pPr>
            <w:r w:rsidRPr="00CF00BA">
              <w:rPr>
                <w:rFonts w:cs="Arial"/>
                <w:szCs w:val="24"/>
                <w:lang w:eastAsia="en-GB"/>
              </w:rPr>
              <w:t>Diabetes mellitus, and those taking anti-diabetic drugs (including SGLT-2 inhibitors) for any indication (hydroxychloroquine treatment may lower blood glucose)</w:t>
            </w:r>
          </w:p>
          <w:p w14:paraId="2822BC69" w14:textId="77777777" w:rsidR="00224B60" w:rsidRPr="00CF00BA" w:rsidRDefault="00224B60" w:rsidP="005C0784">
            <w:pPr>
              <w:pStyle w:val="ListParagraph"/>
              <w:numPr>
                <w:ilvl w:val="0"/>
                <w:numId w:val="5"/>
              </w:numPr>
              <w:spacing w:before="60" w:after="60"/>
              <w:rPr>
                <w:rFonts w:cs="Arial"/>
                <w:szCs w:val="24"/>
                <w:lang w:eastAsia="en-GB"/>
              </w:rPr>
            </w:pPr>
            <w:r w:rsidRPr="00CF00BA">
              <w:rPr>
                <w:rFonts w:cs="Arial"/>
                <w:szCs w:val="24"/>
                <w:lang w:eastAsia="en-GB"/>
              </w:rPr>
              <w:t>Glucose-6-phosphate dehydrogenase deficiency</w:t>
            </w:r>
          </w:p>
          <w:p w14:paraId="57A2D625" w14:textId="77777777" w:rsidR="00224B60" w:rsidRPr="00CF00BA" w:rsidRDefault="00224B60" w:rsidP="005C0784">
            <w:pPr>
              <w:pStyle w:val="ListParagraph"/>
              <w:numPr>
                <w:ilvl w:val="0"/>
                <w:numId w:val="5"/>
              </w:numPr>
              <w:spacing w:before="60" w:after="60"/>
              <w:rPr>
                <w:rFonts w:cs="Arial"/>
                <w:szCs w:val="24"/>
                <w:lang w:eastAsia="en-GB"/>
              </w:rPr>
            </w:pPr>
            <w:r w:rsidRPr="00CF00BA">
              <w:rPr>
                <w:rFonts w:cs="Arial"/>
                <w:szCs w:val="24"/>
                <w:lang w:eastAsia="en-GB"/>
              </w:rPr>
              <w:t>Increased risk of retinopathy with high doses (&gt;5 mg/kg/day), long-term treatment (&gt;5 years), eGFR &lt;60 mL/min/1.73m</w:t>
            </w:r>
            <w:r w:rsidRPr="00CF00BA">
              <w:rPr>
                <w:rFonts w:cs="Arial"/>
                <w:szCs w:val="24"/>
                <w:vertAlign w:val="superscript"/>
                <w:lang w:eastAsia="en-GB"/>
              </w:rPr>
              <w:t>2</w:t>
            </w:r>
            <w:r w:rsidRPr="00CF00BA">
              <w:rPr>
                <w:rFonts w:cs="Arial"/>
                <w:szCs w:val="24"/>
                <w:lang w:eastAsia="en-GB"/>
              </w:rPr>
              <w:t xml:space="preserve"> or concurrent tamoxifen use. </w:t>
            </w:r>
          </w:p>
          <w:p w14:paraId="1CFE26A8" w14:textId="77777777" w:rsidR="00224B60" w:rsidRPr="00CF00BA" w:rsidRDefault="00224B60" w:rsidP="005C0784">
            <w:pPr>
              <w:pStyle w:val="ListParagraph"/>
              <w:numPr>
                <w:ilvl w:val="0"/>
                <w:numId w:val="5"/>
              </w:numPr>
              <w:spacing w:before="60" w:after="60"/>
              <w:rPr>
                <w:rFonts w:cs="Arial"/>
                <w:szCs w:val="24"/>
                <w:lang w:eastAsia="en-GB"/>
              </w:rPr>
            </w:pPr>
            <w:r w:rsidRPr="00CF00BA">
              <w:rPr>
                <w:rFonts w:cs="Arial"/>
                <w:szCs w:val="24"/>
                <w:lang w:eastAsia="en-GB"/>
              </w:rPr>
              <w:t>Myasthenia gravis or psoriasis (may exacerbate)</w:t>
            </w:r>
          </w:p>
          <w:p w14:paraId="5D1DAD02" w14:textId="77777777" w:rsidR="00224B60" w:rsidRPr="00CF00BA" w:rsidRDefault="00224B60" w:rsidP="005C0784">
            <w:pPr>
              <w:pStyle w:val="ListParagraph"/>
              <w:numPr>
                <w:ilvl w:val="0"/>
                <w:numId w:val="5"/>
              </w:numPr>
              <w:spacing w:before="60" w:after="60"/>
              <w:rPr>
                <w:rFonts w:cs="Arial"/>
                <w:szCs w:val="24"/>
                <w:lang w:eastAsia="en-GB"/>
              </w:rPr>
            </w:pPr>
            <w:r w:rsidRPr="00CF00BA">
              <w:rPr>
                <w:rFonts w:cs="Arial"/>
                <w:szCs w:val="24"/>
                <w:lang w:eastAsia="en-GB"/>
              </w:rPr>
              <w:t>Porphyria cutanea tarda, and other acute porphyrias</w:t>
            </w:r>
          </w:p>
          <w:p w14:paraId="5683057C" w14:textId="77777777" w:rsidR="00224B60" w:rsidRPr="00CF00BA" w:rsidRDefault="00224B60" w:rsidP="005C0784">
            <w:pPr>
              <w:pStyle w:val="ListParagraph"/>
              <w:numPr>
                <w:ilvl w:val="0"/>
                <w:numId w:val="5"/>
              </w:numPr>
              <w:spacing w:before="60" w:after="60"/>
              <w:rPr>
                <w:rFonts w:cs="Arial"/>
                <w:szCs w:val="24"/>
                <w:lang w:eastAsia="en-GB"/>
              </w:rPr>
            </w:pPr>
            <w:r w:rsidRPr="00CF00BA">
              <w:rPr>
                <w:rFonts w:cs="Arial"/>
                <w:szCs w:val="24"/>
                <w:lang w:eastAsia="en-GB"/>
              </w:rPr>
              <w:t>Renal or hepatic disease and concurrent use of drugs known to affect these organs</w:t>
            </w:r>
          </w:p>
          <w:p w14:paraId="7B764521" w14:textId="77777777" w:rsidR="00224B60" w:rsidRPr="00CF00BA" w:rsidRDefault="00224B60" w:rsidP="005C0784">
            <w:pPr>
              <w:pStyle w:val="ListParagraph"/>
              <w:numPr>
                <w:ilvl w:val="0"/>
                <w:numId w:val="5"/>
              </w:numPr>
              <w:spacing w:before="60" w:after="60"/>
              <w:rPr>
                <w:rFonts w:cs="Arial"/>
                <w:szCs w:val="24"/>
                <w:lang w:eastAsia="en-GB"/>
              </w:rPr>
            </w:pPr>
            <w:r w:rsidRPr="00CF00BA">
              <w:rPr>
                <w:rFonts w:cs="Arial"/>
                <w:szCs w:val="24"/>
                <w:lang w:eastAsia="en-GB"/>
              </w:rPr>
              <w:t>Sensitivity to quinine</w:t>
            </w:r>
          </w:p>
          <w:p w14:paraId="0346F017" w14:textId="77777777" w:rsidR="00224B60" w:rsidRPr="00CF00BA" w:rsidRDefault="00224B60" w:rsidP="005C0784">
            <w:pPr>
              <w:pStyle w:val="ListParagraph"/>
              <w:numPr>
                <w:ilvl w:val="0"/>
                <w:numId w:val="5"/>
              </w:numPr>
              <w:spacing w:before="60" w:after="60"/>
              <w:rPr>
                <w:rFonts w:cs="Arial"/>
                <w:szCs w:val="24"/>
                <w:lang w:eastAsia="en-GB"/>
              </w:rPr>
            </w:pPr>
            <w:r w:rsidRPr="00CF00BA">
              <w:rPr>
                <w:rFonts w:cs="Arial"/>
                <w:szCs w:val="24"/>
                <w:lang w:eastAsia="en-GB"/>
              </w:rPr>
              <w:t>Severe gastrointestinal, neurological (especially for those with a history  of epilepsy – may lower the seizure threshold), or blood disorders</w:t>
            </w:r>
          </w:p>
          <w:p w14:paraId="42E98FFB" w14:textId="53754173" w:rsidR="001B096D" w:rsidRPr="00CF00BA" w:rsidRDefault="00224B60" w:rsidP="005C0784">
            <w:pPr>
              <w:pStyle w:val="ListParagraph"/>
              <w:numPr>
                <w:ilvl w:val="0"/>
                <w:numId w:val="5"/>
              </w:numPr>
              <w:autoSpaceDE w:val="0"/>
              <w:autoSpaceDN w:val="0"/>
              <w:adjustRightInd w:val="0"/>
              <w:spacing w:after="120"/>
              <w:rPr>
                <w:rFonts w:eastAsia="Times New Roman" w:cs="Arial"/>
                <w:iCs/>
              </w:rPr>
            </w:pPr>
            <w:r w:rsidRPr="00CF00BA">
              <w:rPr>
                <w:rFonts w:cs="Arial"/>
                <w:szCs w:val="24"/>
                <w:lang w:eastAsia="en-GB"/>
              </w:rPr>
              <w:t>Significant cardiac arrhythmias due to the risk of QT interval prolongation</w:t>
            </w:r>
          </w:p>
        </w:tc>
      </w:tr>
      <w:tr w:rsidR="00055685" w:rsidRPr="00CF00BA" w14:paraId="36F2D6DF" w14:textId="77777777" w:rsidTr="009AF2D1">
        <w:trPr>
          <w:jc w:val="center"/>
        </w:trPr>
        <w:tc>
          <w:tcPr>
            <w:tcW w:w="10455" w:type="dxa"/>
            <w:gridSpan w:val="3"/>
            <w:tcBorders>
              <w:bottom w:val="nil"/>
            </w:tcBorders>
            <w:shd w:val="clear" w:color="auto" w:fill="F2F2F2" w:themeFill="background1" w:themeFillShade="F2"/>
          </w:tcPr>
          <w:p w14:paraId="3A956B78" w14:textId="2E5A4A81" w:rsidR="00055685" w:rsidRPr="00CF00BA" w:rsidRDefault="00055685" w:rsidP="00DE19AD">
            <w:pPr>
              <w:pStyle w:val="Heading1"/>
              <w:tabs>
                <w:tab w:val="right" w:pos="10240"/>
              </w:tabs>
              <w:rPr>
                <w:lang w:eastAsia="en-GB"/>
              </w:rPr>
            </w:pPr>
            <w:bookmarkStart w:id="6" w:name="_Initiation_and_ongoing"/>
            <w:bookmarkStart w:id="7" w:name="Five_dosing"/>
            <w:bookmarkEnd w:id="6"/>
            <w:r w:rsidRPr="00CF00BA">
              <w:rPr>
                <w:lang w:eastAsia="en-GB"/>
              </w:rPr>
              <w:t>Initiation and ongoing dose regime</w:t>
            </w:r>
            <w:r w:rsidR="00364CD9" w:rsidRPr="00CF00BA">
              <w:rPr>
                <w:lang w:eastAsia="en-GB"/>
              </w:rPr>
              <w:t>n</w:t>
            </w:r>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bookmarkEnd w:id="7"/>
          <w:p w14:paraId="47424437" w14:textId="08D82408" w:rsidR="0032558C" w:rsidRPr="00CF00BA" w:rsidRDefault="0032558C" w:rsidP="00BC1D5A">
            <w:pPr>
              <w:pStyle w:val="ListParagraph"/>
              <w:numPr>
                <w:ilvl w:val="0"/>
                <w:numId w:val="8"/>
              </w:numPr>
              <w:ind w:left="357" w:hanging="357"/>
              <w:rPr>
                <w:rFonts w:eastAsia="Times New Roman" w:cs="Arial"/>
                <w:lang w:eastAsia="en-GB"/>
              </w:rPr>
            </w:pPr>
            <w:r w:rsidRPr="00CF00BA">
              <w:rPr>
                <w:rFonts w:eastAsia="Times New Roman" w:cs="Arial"/>
                <w:lang w:eastAsia="en-GB"/>
              </w:rPr>
              <w:t xml:space="preserve">Transfer of monitoring and prescribing to primary care is normally after </w:t>
            </w:r>
            <w:r w:rsidRPr="00CF00BA">
              <w:rPr>
                <w:rFonts w:eastAsia="Times New Roman" w:cs="Arial"/>
                <w:szCs w:val="24"/>
                <w:lang w:eastAsia="en-GB"/>
              </w:rPr>
              <w:t xml:space="preserve">at least 12 weeks, and when </w:t>
            </w:r>
            <w:r w:rsidRPr="00CF00BA">
              <w:rPr>
                <w:rFonts w:eastAsia="Times New Roman" w:cs="Arial"/>
                <w:lang w:eastAsia="en-GB"/>
              </w:rPr>
              <w:t>the patient’s dose has been optimised and with satisfactory investigation results for at least 4 weeks</w:t>
            </w:r>
            <w:r w:rsidR="00256BBF" w:rsidRPr="00CF00BA">
              <w:rPr>
                <w:rFonts w:eastAsia="Times New Roman" w:cs="Arial"/>
                <w:lang w:eastAsia="en-GB"/>
              </w:rPr>
              <w:t>.</w:t>
            </w:r>
          </w:p>
          <w:p w14:paraId="2C925FC2" w14:textId="77777777" w:rsidR="00055685" w:rsidRPr="00CF00BA" w:rsidRDefault="00055685" w:rsidP="00BC1D5A">
            <w:pPr>
              <w:pStyle w:val="ListParagraph"/>
              <w:numPr>
                <w:ilvl w:val="0"/>
                <w:numId w:val="4"/>
              </w:numPr>
              <w:ind w:left="357" w:hanging="357"/>
              <w:rPr>
                <w:rFonts w:eastAsia="Times New Roman" w:cs="Arial"/>
                <w:szCs w:val="24"/>
                <w:lang w:eastAsia="en-GB"/>
              </w:rPr>
            </w:pPr>
            <w:r w:rsidRPr="00CF00BA">
              <w:rPr>
                <w:rFonts w:eastAsia="Times New Roman" w:cs="Arial"/>
                <w:szCs w:val="24"/>
                <w:lang w:eastAsia="en-GB"/>
              </w:rPr>
              <w:t>The duration of treatment &amp; frequency of review will be determined by the specialist, based on clinical response and tolerability.</w:t>
            </w:r>
          </w:p>
          <w:p w14:paraId="06705997" w14:textId="065868B5" w:rsidR="00055685" w:rsidRPr="00CF00BA" w:rsidRDefault="00055685" w:rsidP="00BC1D5A">
            <w:pPr>
              <w:pStyle w:val="ListParagraph"/>
              <w:numPr>
                <w:ilvl w:val="0"/>
                <w:numId w:val="4"/>
              </w:numPr>
              <w:ind w:left="357" w:hanging="357"/>
              <w:rPr>
                <w:rFonts w:eastAsia="Times New Roman" w:cs="Arial"/>
                <w:szCs w:val="24"/>
                <w:lang w:eastAsia="en-GB"/>
              </w:rPr>
            </w:pPr>
            <w:r w:rsidRPr="00CF00BA">
              <w:rPr>
                <w:rFonts w:eastAsia="Times New Roman" w:cs="Arial"/>
                <w:szCs w:val="24"/>
                <w:lang w:eastAsia="en-GB"/>
              </w:rPr>
              <w:t>All dose or formulation adjustments will be the responsibility of the initiating specialist unless directions have been discussed and agreed with the primary care clinician</w:t>
            </w:r>
            <w:r w:rsidR="00256BBF" w:rsidRPr="00CF00BA">
              <w:rPr>
                <w:rFonts w:eastAsia="Times New Roman" w:cs="Arial"/>
                <w:szCs w:val="24"/>
                <w:lang w:eastAsia="en-GB"/>
              </w:rPr>
              <w:t>.</w:t>
            </w:r>
          </w:p>
          <w:p w14:paraId="3F3031CA" w14:textId="1F29AD9B" w:rsidR="00055685" w:rsidRPr="00CF00BA" w:rsidRDefault="00055685" w:rsidP="00BC1D5A">
            <w:pPr>
              <w:pStyle w:val="ListParagraph"/>
              <w:numPr>
                <w:ilvl w:val="0"/>
                <w:numId w:val="4"/>
              </w:numPr>
              <w:spacing w:after="120"/>
              <w:rPr>
                <w:rFonts w:eastAsia="Times New Roman" w:cs="Arial"/>
                <w:iCs/>
                <w:color w:val="000000"/>
              </w:rPr>
            </w:pPr>
            <w:r w:rsidRPr="00CF00BA">
              <w:rPr>
                <w:rFonts w:eastAsia="Times New Roman" w:cs="Arial"/>
                <w:szCs w:val="24"/>
                <w:lang w:eastAsia="en-GB"/>
              </w:rPr>
              <w:t>Termination of treatment will be</w:t>
            </w:r>
            <w:r w:rsidRPr="00CF00BA">
              <w:rPr>
                <w:rFonts w:eastAsia="Times New Roman" w:cs="Arial"/>
                <w:b/>
                <w:szCs w:val="24"/>
                <w:lang w:eastAsia="en-GB"/>
              </w:rPr>
              <w:t xml:space="preserve"> </w:t>
            </w:r>
            <w:r w:rsidRPr="00CF00BA">
              <w:rPr>
                <w:rFonts w:eastAsia="Times New Roman" w:cs="Arial"/>
                <w:szCs w:val="24"/>
                <w:lang w:eastAsia="en-GB"/>
              </w:rPr>
              <w:t>the responsibility of the specialist.</w:t>
            </w:r>
          </w:p>
        </w:tc>
      </w:tr>
      <w:tr w:rsidR="00055685" w:rsidRPr="00CF00BA" w14:paraId="05FF7F42" w14:textId="77777777" w:rsidTr="009AF2D1">
        <w:trPr>
          <w:jc w:val="center"/>
        </w:trPr>
        <w:tc>
          <w:tcPr>
            <w:tcW w:w="10455" w:type="dxa"/>
            <w:gridSpan w:val="3"/>
            <w:tcBorders>
              <w:top w:val="nil"/>
            </w:tcBorders>
          </w:tcPr>
          <w:p w14:paraId="7B5E2CCE" w14:textId="77777777" w:rsidR="00224B60" w:rsidRPr="00CF00BA" w:rsidRDefault="00224B60" w:rsidP="005C0784">
            <w:pPr>
              <w:spacing w:before="60" w:after="60"/>
              <w:rPr>
                <w:rFonts w:eastAsia="Times New Roman" w:cs="Arial"/>
                <w:b/>
                <w:iCs/>
                <w:color w:val="000000"/>
                <w:szCs w:val="24"/>
                <w:u w:val="single"/>
              </w:rPr>
            </w:pPr>
            <w:r w:rsidRPr="00CF00BA">
              <w:rPr>
                <w:rFonts w:eastAsia="Times New Roman" w:cs="Arial"/>
                <w:b/>
                <w:iCs/>
                <w:color w:val="000000"/>
                <w:szCs w:val="24"/>
                <w:u w:val="single"/>
              </w:rPr>
              <w:t>Initial stabilisation:</w:t>
            </w:r>
          </w:p>
          <w:p w14:paraId="66E9CF0C" w14:textId="6D4DBE71" w:rsidR="00224B60" w:rsidRPr="00CF00BA" w:rsidRDefault="00224B60" w:rsidP="005C0784">
            <w:pPr>
              <w:spacing w:before="60" w:after="60"/>
              <w:rPr>
                <w:rFonts w:eastAsia="Times New Roman" w:cs="Arial"/>
                <w:iCs/>
                <w:color w:val="000000"/>
                <w:szCs w:val="24"/>
              </w:rPr>
            </w:pPr>
            <w:r w:rsidRPr="00CF00BA">
              <w:rPr>
                <w:rFonts w:eastAsia="Times New Roman" w:cs="Arial"/>
                <w:iCs/>
                <w:color w:val="000000"/>
                <w:szCs w:val="24"/>
              </w:rPr>
              <w:lastRenderedPageBreak/>
              <w:t xml:space="preserve">200mg to 400 mg daily. Dose should not exceed </w:t>
            </w:r>
            <w:r w:rsidR="00D97F10">
              <w:rPr>
                <w:rFonts w:eastAsia="Times New Roman" w:cs="Arial"/>
                <w:iCs/>
                <w:color w:val="000000"/>
                <w:szCs w:val="24"/>
              </w:rPr>
              <w:t xml:space="preserve">5mg/kg/day </w:t>
            </w:r>
            <w:r w:rsidRPr="00CF00BA">
              <w:rPr>
                <w:rFonts w:eastAsia="Times New Roman" w:cs="Arial"/>
                <w:iCs/>
                <w:color w:val="000000"/>
                <w:szCs w:val="24"/>
              </w:rPr>
              <w:t>(based on actual body weight)</w:t>
            </w:r>
            <w:r w:rsidR="00D97F10">
              <w:rPr>
                <w:rFonts w:eastAsia="Times New Roman" w:cs="Arial"/>
                <w:iCs/>
                <w:color w:val="000000"/>
                <w:szCs w:val="24"/>
              </w:rPr>
              <w:t xml:space="preserve"> </w:t>
            </w:r>
            <w:r w:rsidR="00D97F10" w:rsidRPr="00D97F10">
              <w:rPr>
                <w:rFonts w:eastAsia="Times New Roman" w:cs="Arial"/>
                <w:iCs/>
                <w:color w:val="000000"/>
                <w:szCs w:val="24"/>
              </w:rPr>
              <w:t>or 400mg per day, whichever is lowest. Note, dose should not exceed 400mg/day regardless of weight.</w:t>
            </w:r>
          </w:p>
          <w:p w14:paraId="32B8F513" w14:textId="77777777" w:rsidR="00224B60" w:rsidRPr="00CF00BA" w:rsidRDefault="00224B60" w:rsidP="005C0784">
            <w:pPr>
              <w:spacing w:before="60" w:after="60"/>
              <w:rPr>
                <w:rFonts w:eastAsia="Times New Roman" w:cs="Arial"/>
                <w:b/>
                <w:iCs/>
                <w:szCs w:val="24"/>
              </w:rPr>
            </w:pPr>
            <w:r w:rsidRPr="00CF00BA">
              <w:rPr>
                <w:rFonts w:eastAsia="Times New Roman" w:cs="Arial"/>
                <w:b/>
                <w:iCs/>
                <w:color w:val="000000"/>
                <w:szCs w:val="24"/>
              </w:rPr>
              <w:t>The initial period</w:t>
            </w:r>
            <w:r w:rsidRPr="00CF00BA">
              <w:rPr>
                <w:rFonts w:eastAsia="Times New Roman" w:cs="Arial"/>
                <w:iCs/>
                <w:color w:val="000000"/>
                <w:szCs w:val="24"/>
              </w:rPr>
              <w:t xml:space="preserve"> </w:t>
            </w:r>
            <w:r w:rsidRPr="00CF00BA">
              <w:rPr>
                <w:rFonts w:eastAsia="Times New Roman" w:cs="Arial"/>
                <w:b/>
                <w:iCs/>
                <w:szCs w:val="24"/>
              </w:rPr>
              <w:t>must be prescribed by the initiating specialist.</w:t>
            </w:r>
          </w:p>
          <w:p w14:paraId="7C9E9B16" w14:textId="77777777" w:rsidR="00224B60" w:rsidRPr="00CF00BA" w:rsidRDefault="00224B60" w:rsidP="005C0784">
            <w:pPr>
              <w:spacing w:before="60" w:after="60"/>
              <w:rPr>
                <w:rFonts w:eastAsia="Times New Roman" w:cs="Arial"/>
                <w:iCs/>
                <w:color w:val="000000"/>
                <w:szCs w:val="24"/>
              </w:rPr>
            </w:pPr>
          </w:p>
          <w:p w14:paraId="6BB09C3E" w14:textId="77777777" w:rsidR="00224B60" w:rsidRPr="00CF00BA" w:rsidRDefault="00224B60" w:rsidP="005C0784">
            <w:pPr>
              <w:spacing w:before="60" w:after="60"/>
              <w:rPr>
                <w:rFonts w:eastAsia="Times New Roman" w:cs="Arial"/>
                <w:iCs/>
                <w:color w:val="000000"/>
                <w:szCs w:val="24"/>
              </w:rPr>
            </w:pPr>
            <w:r w:rsidRPr="00CF00BA">
              <w:rPr>
                <w:rFonts w:eastAsia="Times New Roman" w:cs="Arial"/>
                <w:b/>
                <w:iCs/>
                <w:color w:val="000000"/>
                <w:szCs w:val="24"/>
                <w:u w:val="single"/>
              </w:rPr>
              <w:t>Maintenance dose (following initial stabilisation):</w:t>
            </w:r>
          </w:p>
          <w:p w14:paraId="7166DD19" w14:textId="1AF86227" w:rsidR="00224B60" w:rsidRPr="00CF00BA" w:rsidRDefault="00224B60" w:rsidP="005C0784">
            <w:pPr>
              <w:spacing w:before="60" w:after="60"/>
              <w:rPr>
                <w:rFonts w:eastAsia="Times New Roman" w:cs="Arial"/>
                <w:iCs/>
                <w:color w:val="000000"/>
                <w:szCs w:val="24"/>
              </w:rPr>
            </w:pPr>
            <w:r w:rsidRPr="00CF00BA">
              <w:rPr>
                <w:rFonts w:eastAsia="Times New Roman" w:cs="Arial"/>
                <w:iCs/>
                <w:color w:val="000000"/>
                <w:szCs w:val="24"/>
              </w:rPr>
              <w:t xml:space="preserve">200mg to 400 mg daily. The risk of significant toxicity increases with doses above 5 mg/kg/day (based on actual body weight). </w:t>
            </w:r>
            <w:r w:rsidR="00D97F10" w:rsidRPr="00D97F10">
              <w:rPr>
                <w:rFonts w:eastAsia="Times New Roman" w:cs="Arial"/>
                <w:iCs/>
                <w:color w:val="000000"/>
                <w:szCs w:val="24"/>
              </w:rPr>
              <w:t>Note, dose should not exceed 400mg/day regardless of weight.</w:t>
            </w:r>
          </w:p>
          <w:p w14:paraId="123CFB8D" w14:textId="1BA65527" w:rsidR="00224B60" w:rsidRDefault="00224B60" w:rsidP="005C0784">
            <w:pPr>
              <w:spacing w:before="60" w:after="60"/>
              <w:rPr>
                <w:rFonts w:eastAsia="Times New Roman" w:cs="Arial"/>
                <w:b/>
                <w:iCs/>
                <w:color w:val="000000"/>
                <w:szCs w:val="24"/>
              </w:rPr>
            </w:pPr>
            <w:r w:rsidRPr="00CF00BA">
              <w:rPr>
                <w:rFonts w:eastAsia="Times New Roman" w:cs="Arial"/>
                <w:b/>
                <w:iCs/>
                <w:color w:val="000000"/>
                <w:szCs w:val="24"/>
              </w:rPr>
              <w:t>The initial maintenance dose must be prescribed by the initiating specialist.</w:t>
            </w:r>
          </w:p>
          <w:p w14:paraId="571D721D" w14:textId="62970398" w:rsidR="00D97F10" w:rsidRDefault="00D97F10" w:rsidP="005C0784">
            <w:pPr>
              <w:spacing w:before="60" w:after="60"/>
              <w:rPr>
                <w:rFonts w:eastAsia="Times New Roman" w:cs="Arial"/>
                <w:b/>
                <w:iCs/>
                <w:color w:val="000000"/>
                <w:szCs w:val="24"/>
              </w:rPr>
            </w:pPr>
          </w:p>
          <w:p w14:paraId="5671CEC3" w14:textId="0C20816D" w:rsidR="00D97F10" w:rsidRPr="00D97F10" w:rsidRDefault="00D97F10" w:rsidP="005C0784">
            <w:pPr>
              <w:spacing w:before="60" w:after="60"/>
              <w:rPr>
                <w:rFonts w:eastAsia="Times New Roman" w:cs="Arial"/>
                <w:iCs/>
                <w:color w:val="000000"/>
                <w:szCs w:val="24"/>
              </w:rPr>
            </w:pPr>
            <w:r w:rsidRPr="00D97F10">
              <w:rPr>
                <w:rFonts w:eastAsia="Times New Roman" w:cs="Arial"/>
                <w:iCs/>
                <w:color w:val="000000"/>
                <w:szCs w:val="24"/>
              </w:rPr>
              <w:t>In exceptional circumstances, where doses exceeding 5mg/kg/day are required, this is </w:t>
            </w:r>
            <w:r w:rsidRPr="006F533B">
              <w:rPr>
                <w:rFonts w:eastAsia="Times New Roman" w:cs="Arial"/>
                <w:b/>
                <w:bCs/>
                <w:iCs/>
                <w:color w:val="000000"/>
                <w:szCs w:val="24"/>
              </w:rPr>
              <w:t>not</w:t>
            </w:r>
            <w:r w:rsidRPr="00D97F10">
              <w:rPr>
                <w:rFonts w:eastAsia="Times New Roman" w:cs="Arial"/>
                <w:iCs/>
                <w:color w:val="000000"/>
                <w:szCs w:val="24"/>
              </w:rPr>
              <w:t> applicable for shared care and prescribing should remain with the specialist.</w:t>
            </w:r>
          </w:p>
          <w:p w14:paraId="179581A7" w14:textId="77777777" w:rsidR="00224B60" w:rsidRPr="00CF00BA" w:rsidRDefault="00224B60" w:rsidP="005C0784">
            <w:pPr>
              <w:spacing w:before="60" w:after="60"/>
              <w:rPr>
                <w:rFonts w:eastAsia="Times New Roman" w:cs="Arial"/>
                <w:b/>
                <w:iCs/>
                <w:color w:val="000000"/>
                <w:szCs w:val="24"/>
                <w:u w:val="single"/>
              </w:rPr>
            </w:pPr>
            <w:r w:rsidRPr="00CF00BA">
              <w:rPr>
                <w:rFonts w:eastAsia="Times New Roman" w:cs="Arial"/>
                <w:b/>
                <w:iCs/>
                <w:color w:val="000000"/>
                <w:szCs w:val="24"/>
                <w:u w:val="single"/>
              </w:rPr>
              <w:t>Conditions requiring dose adjustment:</w:t>
            </w:r>
          </w:p>
          <w:p w14:paraId="5D9B9472" w14:textId="77777777" w:rsidR="00224B60" w:rsidRPr="00CF00BA" w:rsidRDefault="00224B60" w:rsidP="005C0784">
            <w:pPr>
              <w:spacing w:before="60" w:after="60"/>
              <w:rPr>
                <w:rFonts w:eastAsia="Times New Roman" w:cs="Arial"/>
                <w:iCs/>
                <w:color w:val="000000"/>
                <w:szCs w:val="24"/>
              </w:rPr>
            </w:pPr>
            <w:r w:rsidRPr="00CF00BA">
              <w:rPr>
                <w:rFonts w:eastAsia="Times New Roman" w:cs="Arial"/>
                <w:iCs/>
                <w:color w:val="000000"/>
                <w:szCs w:val="24"/>
              </w:rPr>
              <w:t>In patients taking 400mg daily, the dose can be reduced to 200mg when no further improvement is evident. The maintenance dose may be increased to 400mg daily if the response lessens.</w:t>
            </w:r>
          </w:p>
          <w:p w14:paraId="0103B33B" w14:textId="349ABCC5" w:rsidR="00055685" w:rsidRPr="00CF00BA" w:rsidRDefault="00224B60" w:rsidP="005C0784">
            <w:pPr>
              <w:rPr>
                <w:b/>
                <w:u w:val="single"/>
              </w:rPr>
            </w:pPr>
            <w:r w:rsidRPr="00CF00BA">
              <w:rPr>
                <w:rFonts w:eastAsia="Times New Roman" w:cs="Arial"/>
                <w:iCs/>
                <w:color w:val="000000"/>
                <w:szCs w:val="24"/>
              </w:rPr>
              <w:t>Dose adjustment and caution are recommended in renal or hepatic impairment.</w:t>
            </w:r>
            <w:r w:rsidR="009A16D5" w:rsidRPr="00CF00BA">
              <w:t xml:space="preserve"> </w:t>
            </w:r>
          </w:p>
        </w:tc>
      </w:tr>
      <w:tr w:rsidR="00055685" w:rsidRPr="00CF00BA" w14:paraId="4CDE4318" w14:textId="77777777" w:rsidTr="009AF2D1">
        <w:trPr>
          <w:jc w:val="center"/>
        </w:trPr>
        <w:tc>
          <w:tcPr>
            <w:tcW w:w="10455" w:type="dxa"/>
            <w:gridSpan w:val="3"/>
            <w:shd w:val="clear" w:color="auto" w:fill="F2F2F2" w:themeFill="background1" w:themeFillShade="F2"/>
          </w:tcPr>
          <w:p w14:paraId="4C936032" w14:textId="4743B980" w:rsidR="00055685" w:rsidRPr="00CF00BA" w:rsidRDefault="00055685" w:rsidP="00426DE1">
            <w:pPr>
              <w:pStyle w:val="Heading1"/>
              <w:tabs>
                <w:tab w:val="right" w:pos="10240"/>
              </w:tabs>
              <w:rPr>
                <w:lang w:eastAsia="en-GB"/>
              </w:rPr>
            </w:pPr>
            <w:bookmarkStart w:id="8" w:name="Six_pharmaceutical"/>
            <w:r w:rsidRPr="00CF00BA">
              <w:rPr>
                <w:lang w:eastAsia="en-GB"/>
              </w:rPr>
              <w:lastRenderedPageBreak/>
              <w:t xml:space="preserve">Pharmaceutical aspects </w:t>
            </w:r>
            <w:bookmarkEnd w:id="8"/>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tc>
      </w:tr>
      <w:tr w:rsidR="00224B60" w:rsidRPr="00CF00BA" w14:paraId="24522E4E" w14:textId="77777777" w:rsidTr="009AF2D1">
        <w:trPr>
          <w:trHeight w:val="99"/>
          <w:jc w:val="center"/>
        </w:trPr>
        <w:tc>
          <w:tcPr>
            <w:tcW w:w="1838" w:type="dxa"/>
            <w:vAlign w:val="center"/>
          </w:tcPr>
          <w:p w14:paraId="5EA76DFC" w14:textId="2E798548" w:rsidR="00224B60" w:rsidRPr="00CF00BA" w:rsidRDefault="00224B60" w:rsidP="00224B60">
            <w:pPr>
              <w:rPr>
                <w:b/>
                <w:bCs/>
                <w:iCs/>
                <w:color w:val="000000"/>
                <w:lang w:eastAsia="en-GB"/>
              </w:rPr>
            </w:pPr>
            <w:r w:rsidRPr="00CF00BA">
              <w:rPr>
                <w:rFonts w:eastAsia="Times New Roman" w:cstheme="minorHAnsi"/>
                <w:szCs w:val="24"/>
                <w:lang w:eastAsia="en-GB"/>
              </w:rPr>
              <w:t>Route of administration:</w:t>
            </w:r>
          </w:p>
        </w:tc>
        <w:tc>
          <w:tcPr>
            <w:tcW w:w="8617" w:type="dxa"/>
            <w:gridSpan w:val="2"/>
          </w:tcPr>
          <w:p w14:paraId="48C763F3" w14:textId="64DD8913" w:rsidR="00224B60" w:rsidRPr="00CF00BA" w:rsidRDefault="00224B60" w:rsidP="00224B60">
            <w:pPr>
              <w:autoSpaceDE w:val="0"/>
              <w:autoSpaceDN w:val="0"/>
              <w:adjustRightInd w:val="0"/>
              <w:spacing w:before="60" w:after="60" w:line="240" w:lineRule="auto"/>
              <w:rPr>
                <w:rFonts w:eastAsia="Times New Roman" w:cs="Arial"/>
                <w:b/>
                <w:bCs/>
                <w:iCs/>
                <w:color w:val="000000"/>
                <w:lang w:eastAsia="en-GB"/>
              </w:rPr>
            </w:pPr>
            <w:r w:rsidRPr="00CF00BA">
              <w:rPr>
                <w:rFonts w:eastAsia="Times New Roman" w:cstheme="minorHAnsi"/>
                <w:szCs w:val="24"/>
                <w:lang w:eastAsia="en-GB"/>
              </w:rPr>
              <w:t>Oral</w:t>
            </w:r>
          </w:p>
        </w:tc>
      </w:tr>
      <w:tr w:rsidR="00224B60" w:rsidRPr="00CF00BA" w14:paraId="4CD28C8C" w14:textId="77777777" w:rsidTr="009AF2D1">
        <w:trPr>
          <w:trHeight w:val="97"/>
          <w:jc w:val="center"/>
        </w:trPr>
        <w:tc>
          <w:tcPr>
            <w:tcW w:w="1838" w:type="dxa"/>
            <w:vAlign w:val="center"/>
          </w:tcPr>
          <w:p w14:paraId="18421745" w14:textId="3D1C11A6" w:rsidR="00224B60" w:rsidRPr="00CF00BA" w:rsidRDefault="00224B60" w:rsidP="00224B60">
            <w:pPr>
              <w:rPr>
                <w:b/>
                <w:bCs/>
                <w:iCs/>
                <w:color w:val="000000"/>
                <w:lang w:eastAsia="en-GB"/>
              </w:rPr>
            </w:pPr>
            <w:r w:rsidRPr="00CF00BA">
              <w:rPr>
                <w:rFonts w:eastAsia="Times New Roman" w:cstheme="minorHAnsi"/>
                <w:szCs w:val="24"/>
                <w:lang w:eastAsia="en-GB"/>
              </w:rPr>
              <w:t>Formulation:</w:t>
            </w:r>
          </w:p>
        </w:tc>
        <w:tc>
          <w:tcPr>
            <w:tcW w:w="8617" w:type="dxa"/>
            <w:gridSpan w:val="2"/>
          </w:tcPr>
          <w:p w14:paraId="75EA91BD" w14:textId="77777777" w:rsidR="00224B60" w:rsidRPr="00CF00BA" w:rsidRDefault="00224B60" w:rsidP="00224B60">
            <w:pPr>
              <w:autoSpaceDE w:val="0"/>
              <w:autoSpaceDN w:val="0"/>
              <w:adjustRightInd w:val="0"/>
              <w:spacing w:before="60" w:after="60" w:line="240" w:lineRule="auto"/>
              <w:rPr>
                <w:rFonts w:eastAsia="Times New Roman" w:cstheme="minorHAnsi"/>
                <w:bCs/>
                <w:iCs/>
                <w:color w:val="000000"/>
                <w:lang w:eastAsia="en-GB"/>
              </w:rPr>
            </w:pPr>
            <w:r w:rsidRPr="00CF00BA">
              <w:rPr>
                <w:rFonts w:eastAsia="Times New Roman" w:cstheme="minorHAnsi"/>
                <w:bCs/>
                <w:iCs/>
                <w:color w:val="000000"/>
                <w:lang w:eastAsia="en-GB"/>
              </w:rPr>
              <w:t>Hydroxychloroquine sulfate 200 mg tablets</w:t>
            </w:r>
          </w:p>
          <w:p w14:paraId="1312A1B6" w14:textId="42E5E916" w:rsidR="00224B60" w:rsidRPr="00CF00BA" w:rsidRDefault="00224B60" w:rsidP="00BC1D5A">
            <w:pPr>
              <w:pStyle w:val="ListParagraph"/>
              <w:numPr>
                <w:ilvl w:val="0"/>
                <w:numId w:val="6"/>
              </w:numPr>
              <w:shd w:val="clear" w:color="auto" w:fill="FFFFFF"/>
              <w:spacing w:after="120"/>
              <w:rPr>
                <w:rFonts w:eastAsia="Times New Roman" w:cs="Arial"/>
                <w:iCs/>
                <w:noProof/>
                <w:color w:val="000000"/>
                <w:lang w:val="en-US" w:eastAsia="en-GB"/>
              </w:rPr>
            </w:pPr>
            <w:r w:rsidRPr="00CF00BA">
              <w:rPr>
                <w:rFonts w:eastAsia="Times New Roman" w:cstheme="minorHAnsi"/>
                <w:bCs/>
                <w:iCs/>
                <w:color w:val="000000"/>
                <w:lang w:eastAsia="en-GB"/>
              </w:rPr>
              <w:t xml:space="preserve">300mg tablets are available but do not offer a clinical advantage and are not preferred. As an alternative, alternate day dosing with 200 mg and 400 mg may be used. </w:t>
            </w:r>
          </w:p>
        </w:tc>
      </w:tr>
      <w:tr w:rsidR="00224B60" w:rsidRPr="00CF00BA" w14:paraId="32A1142F" w14:textId="77777777" w:rsidTr="009AF2D1">
        <w:trPr>
          <w:trHeight w:val="97"/>
          <w:jc w:val="center"/>
        </w:trPr>
        <w:tc>
          <w:tcPr>
            <w:tcW w:w="1838" w:type="dxa"/>
            <w:vAlign w:val="center"/>
          </w:tcPr>
          <w:p w14:paraId="33657BA5" w14:textId="6D98BB80" w:rsidR="00224B60" w:rsidRPr="00CF00BA" w:rsidRDefault="00224B60" w:rsidP="00224B60">
            <w:pPr>
              <w:rPr>
                <w:b/>
                <w:bCs/>
                <w:iCs/>
                <w:color w:val="000000"/>
                <w:lang w:eastAsia="en-GB"/>
              </w:rPr>
            </w:pPr>
            <w:r w:rsidRPr="00CF00BA">
              <w:rPr>
                <w:rFonts w:eastAsia="Times New Roman" w:cstheme="minorHAnsi"/>
                <w:szCs w:val="24"/>
                <w:lang w:eastAsia="en-GB"/>
              </w:rPr>
              <w:t>Administration details:</w:t>
            </w:r>
          </w:p>
        </w:tc>
        <w:tc>
          <w:tcPr>
            <w:tcW w:w="8617" w:type="dxa"/>
            <w:gridSpan w:val="2"/>
          </w:tcPr>
          <w:p w14:paraId="0E78AD3B" w14:textId="77777777" w:rsidR="00224B60" w:rsidRPr="00CF00BA" w:rsidRDefault="00224B60" w:rsidP="00224B60">
            <w:pPr>
              <w:spacing w:before="60" w:after="60" w:line="240" w:lineRule="auto"/>
              <w:rPr>
                <w:rFonts w:eastAsia="Times New Roman" w:cstheme="minorHAnsi"/>
                <w:lang w:eastAsia="en-GB"/>
              </w:rPr>
            </w:pPr>
            <w:r w:rsidRPr="00CF00BA">
              <w:rPr>
                <w:rFonts w:eastAsia="Times New Roman" w:cstheme="minorHAnsi"/>
                <w:lang w:eastAsia="en-GB"/>
              </w:rPr>
              <w:t>Each dose should be taken with food.</w:t>
            </w:r>
          </w:p>
          <w:p w14:paraId="4466B100" w14:textId="469A6449" w:rsidR="00224B60" w:rsidRPr="00CF00BA" w:rsidRDefault="00224B60" w:rsidP="00224B60">
            <w:pPr>
              <w:rPr>
                <w:b/>
                <w:bCs/>
                <w:iCs/>
                <w:color w:val="000000"/>
                <w:lang w:eastAsia="en-GB"/>
              </w:rPr>
            </w:pPr>
            <w:r w:rsidRPr="00CF00BA">
              <w:rPr>
                <w:rFonts w:eastAsia="Times New Roman" w:cstheme="minorHAnsi"/>
                <w:lang w:eastAsia="en-GB"/>
              </w:rPr>
              <w:t xml:space="preserve">If necessary, tablets may be crushed and dispersed in water (unlicensed). </w:t>
            </w:r>
          </w:p>
        </w:tc>
      </w:tr>
      <w:tr w:rsidR="00224B60" w:rsidRPr="00CF00BA" w14:paraId="7AF4C7E7" w14:textId="77777777" w:rsidTr="009AF2D1">
        <w:trPr>
          <w:trHeight w:val="97"/>
          <w:jc w:val="center"/>
        </w:trPr>
        <w:tc>
          <w:tcPr>
            <w:tcW w:w="1838" w:type="dxa"/>
            <w:tcBorders>
              <w:bottom w:val="single" w:sz="4" w:space="0" w:color="auto"/>
            </w:tcBorders>
            <w:vAlign w:val="center"/>
          </w:tcPr>
          <w:p w14:paraId="1C2DED5A" w14:textId="00071546" w:rsidR="00224B60" w:rsidRPr="00CF00BA" w:rsidRDefault="00224B60" w:rsidP="00224B60">
            <w:pPr>
              <w:rPr>
                <w:b/>
                <w:bCs/>
                <w:iCs/>
                <w:color w:val="000000"/>
                <w:lang w:eastAsia="en-GB"/>
              </w:rPr>
            </w:pPr>
            <w:r w:rsidRPr="00CF00BA">
              <w:rPr>
                <w:rFonts w:eastAsia="Times New Roman" w:cstheme="minorHAnsi"/>
                <w:szCs w:val="24"/>
                <w:lang w:eastAsia="en-GB"/>
              </w:rPr>
              <w:t>Other important information:</w:t>
            </w:r>
          </w:p>
        </w:tc>
        <w:tc>
          <w:tcPr>
            <w:tcW w:w="8617" w:type="dxa"/>
            <w:gridSpan w:val="2"/>
            <w:tcBorders>
              <w:bottom w:val="single" w:sz="4" w:space="0" w:color="auto"/>
            </w:tcBorders>
          </w:tcPr>
          <w:p w14:paraId="689017FA" w14:textId="4D56D3C4" w:rsidR="00224B60" w:rsidRPr="00CF00BA" w:rsidRDefault="00224B60" w:rsidP="00224B60">
            <w:pPr>
              <w:rPr>
                <w:b/>
                <w:bCs/>
                <w:iCs/>
                <w:color w:val="000000"/>
                <w:lang w:eastAsia="en-GB"/>
              </w:rPr>
            </w:pPr>
            <w:r w:rsidRPr="00CF00BA">
              <w:rPr>
                <w:rFonts w:eastAsia="Times New Roman" w:cstheme="minorHAnsi"/>
                <w:szCs w:val="24"/>
                <w:lang w:eastAsia="en-GB"/>
              </w:rPr>
              <w:t>Antacids may reduce absorption of hydroxychloroquine. Oral antacids should be avoided for 4 hours before and after the dose.</w:t>
            </w:r>
          </w:p>
        </w:tc>
      </w:tr>
      <w:tr w:rsidR="009A16D5" w:rsidRPr="00CF00BA" w14:paraId="43330AD8" w14:textId="77777777" w:rsidTr="009AF2D1">
        <w:trPr>
          <w:jc w:val="center"/>
        </w:trPr>
        <w:tc>
          <w:tcPr>
            <w:tcW w:w="10455" w:type="dxa"/>
            <w:gridSpan w:val="3"/>
            <w:tcBorders>
              <w:bottom w:val="nil"/>
            </w:tcBorders>
            <w:shd w:val="clear" w:color="auto" w:fill="F2F2F2" w:themeFill="background1" w:themeFillShade="F2"/>
          </w:tcPr>
          <w:p w14:paraId="2293CECB" w14:textId="43830C9A" w:rsidR="009A16D5" w:rsidRPr="00CF00BA" w:rsidRDefault="009A16D5" w:rsidP="00426DE1">
            <w:pPr>
              <w:pStyle w:val="Heading1"/>
              <w:tabs>
                <w:tab w:val="right" w:pos="10240"/>
              </w:tabs>
              <w:rPr>
                <w:lang w:eastAsia="en-GB"/>
              </w:rPr>
            </w:pPr>
            <w:bookmarkStart w:id="9" w:name="Seven_interactions"/>
            <w:r w:rsidRPr="00CF00BA">
              <w:rPr>
                <w:lang w:eastAsia="en-GB"/>
              </w:rPr>
              <w:t>Significant medicine interactions</w:t>
            </w:r>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bookmarkEnd w:id="9"/>
          <w:p w14:paraId="561D758A" w14:textId="4578A44B" w:rsidR="009A16D5" w:rsidRPr="00CF00BA" w:rsidRDefault="2A58E9C9" w:rsidP="2A58E9C9">
            <w:pPr>
              <w:rPr>
                <w:rFonts w:eastAsia="Times New Roman"/>
                <w:color w:val="000000"/>
                <w:lang w:eastAsia="en-GB"/>
              </w:rPr>
            </w:pPr>
            <w:r w:rsidRPr="00CF00BA">
              <w:rPr>
                <w:rFonts w:eastAsia="Arial" w:cs="Arial"/>
                <w:color w:val="000000" w:themeColor="text1"/>
                <w:szCs w:val="24"/>
                <w:lang w:val="en-US"/>
              </w:rPr>
              <w:t xml:space="preserve">The following list is not exhaustive. Please see </w:t>
            </w:r>
            <w:hyperlink r:id="rId30">
              <w:r w:rsidRPr="00CF00BA">
                <w:rPr>
                  <w:rStyle w:val="Hyperlink"/>
                  <w:rFonts w:eastAsia="Arial" w:cs="Arial"/>
                  <w:szCs w:val="24"/>
                  <w:lang w:val="en-US"/>
                </w:rPr>
                <w:t>BNF</w:t>
              </w:r>
            </w:hyperlink>
            <w:r w:rsidRPr="00CF00BA">
              <w:rPr>
                <w:rFonts w:eastAsia="Arial" w:cs="Arial"/>
                <w:color w:val="000000" w:themeColor="text1"/>
                <w:szCs w:val="24"/>
                <w:lang w:val="en-US"/>
              </w:rPr>
              <w:t xml:space="preserve"> or </w:t>
            </w:r>
            <w:hyperlink r:id="rId31">
              <w:r w:rsidRPr="00CF00BA">
                <w:rPr>
                  <w:rStyle w:val="Hyperlink"/>
                  <w:rFonts w:eastAsia="Arial" w:cs="Arial"/>
                  <w:szCs w:val="24"/>
                  <w:lang w:val="en-US"/>
                </w:rPr>
                <w:t>SPC</w:t>
              </w:r>
            </w:hyperlink>
            <w:r w:rsidRPr="00CF00BA">
              <w:rPr>
                <w:rFonts w:eastAsia="Arial" w:cs="Arial"/>
                <w:color w:val="000000" w:themeColor="text1"/>
                <w:szCs w:val="24"/>
                <w:lang w:val="en-US"/>
              </w:rPr>
              <w:t xml:space="preserve"> for comprehensive information and recommended management.</w:t>
            </w:r>
          </w:p>
        </w:tc>
      </w:tr>
      <w:tr w:rsidR="009A16D5" w:rsidRPr="00CF00BA" w14:paraId="44BD7062" w14:textId="77777777" w:rsidTr="009AF2D1">
        <w:trPr>
          <w:jc w:val="center"/>
        </w:trPr>
        <w:tc>
          <w:tcPr>
            <w:tcW w:w="10455" w:type="dxa"/>
            <w:gridSpan w:val="3"/>
            <w:tcBorders>
              <w:top w:val="nil"/>
              <w:bottom w:val="single" w:sz="4" w:space="0" w:color="auto"/>
            </w:tcBorders>
          </w:tcPr>
          <w:p w14:paraId="210B8EF3" w14:textId="77777777" w:rsidR="00224B60" w:rsidRPr="00CF00BA" w:rsidRDefault="00224B60" w:rsidP="005C0784">
            <w:pPr>
              <w:autoSpaceDE w:val="0"/>
              <w:autoSpaceDN w:val="0"/>
              <w:adjustRightInd w:val="0"/>
              <w:spacing w:before="60" w:after="60"/>
              <w:rPr>
                <w:rFonts w:eastAsia="Times New Roman" w:cs="Arial"/>
                <w:bCs/>
                <w:iCs/>
                <w:color w:val="000000"/>
                <w:szCs w:val="24"/>
                <w:lang w:eastAsia="en-GB"/>
              </w:rPr>
            </w:pPr>
            <w:r w:rsidRPr="00CF00BA">
              <w:rPr>
                <w:rFonts w:eastAsia="Times New Roman" w:cs="Arial"/>
                <w:b/>
                <w:bCs/>
                <w:iCs/>
                <w:szCs w:val="24"/>
                <w:lang w:eastAsia="en-GB"/>
              </w:rPr>
              <w:t>The following drugs must not be prescribed without consultation with the specialist:</w:t>
            </w:r>
          </w:p>
          <w:p w14:paraId="5377D3F9" w14:textId="77777777" w:rsidR="00224B60" w:rsidRPr="00CF00BA" w:rsidRDefault="00224B60" w:rsidP="005C0784">
            <w:pPr>
              <w:numPr>
                <w:ilvl w:val="0"/>
                <w:numId w:val="14"/>
              </w:numPr>
              <w:spacing w:after="0"/>
              <w:rPr>
                <w:rFonts w:cs="Arial"/>
                <w:szCs w:val="24"/>
              </w:rPr>
            </w:pPr>
            <w:r w:rsidRPr="00CF00BA">
              <w:rPr>
                <w:rFonts w:cs="Arial"/>
                <w:b/>
                <w:szCs w:val="24"/>
              </w:rPr>
              <w:lastRenderedPageBreak/>
              <w:t>Drugs that can prolong the QT interval: for example, amiodarone, moxifloxacin, quinine, citalopram</w:t>
            </w:r>
            <w:r w:rsidRPr="00CF00BA">
              <w:rPr>
                <w:rFonts w:cs="Arial"/>
                <w:szCs w:val="24"/>
              </w:rPr>
              <w:t xml:space="preserve">. Avoid concomitant use; possible increased risk of QT prolongation/ventricular arrhythmias. </w:t>
            </w:r>
          </w:p>
          <w:p w14:paraId="370BCD2D" w14:textId="77777777" w:rsidR="00224B60" w:rsidRPr="00CF00BA" w:rsidRDefault="00224B60" w:rsidP="005C0784">
            <w:pPr>
              <w:numPr>
                <w:ilvl w:val="0"/>
                <w:numId w:val="14"/>
              </w:numPr>
              <w:spacing w:after="0"/>
              <w:rPr>
                <w:rFonts w:cs="Arial"/>
                <w:szCs w:val="24"/>
              </w:rPr>
            </w:pPr>
            <w:r w:rsidRPr="00CF00BA">
              <w:rPr>
                <w:rFonts w:cs="Arial"/>
                <w:b/>
                <w:szCs w:val="24"/>
              </w:rPr>
              <w:t>Antidiabetic drugs and/or insulin</w:t>
            </w:r>
            <w:r w:rsidRPr="00CF00BA">
              <w:rPr>
                <w:rFonts w:cs="Arial"/>
                <w:szCs w:val="24"/>
              </w:rPr>
              <w:t>: hypoglycaemic effect may be enhanced, may need dose adjustment of antidiabetic medication.</w:t>
            </w:r>
          </w:p>
          <w:p w14:paraId="5ACB0965" w14:textId="77777777" w:rsidR="00224B60" w:rsidRPr="00CF00BA" w:rsidRDefault="00224B60" w:rsidP="005C0784">
            <w:pPr>
              <w:numPr>
                <w:ilvl w:val="0"/>
                <w:numId w:val="14"/>
              </w:numPr>
              <w:spacing w:after="0"/>
              <w:rPr>
                <w:rFonts w:cs="Arial"/>
                <w:szCs w:val="24"/>
              </w:rPr>
            </w:pPr>
            <w:r w:rsidRPr="00CF00BA">
              <w:rPr>
                <w:rFonts w:cs="Arial"/>
                <w:b/>
                <w:szCs w:val="24"/>
              </w:rPr>
              <w:t>Cimetidine</w:t>
            </w:r>
            <w:r w:rsidRPr="00CF00BA">
              <w:rPr>
                <w:rFonts w:cs="Arial"/>
                <w:szCs w:val="24"/>
              </w:rPr>
              <w:t>: possible increase in plasma concentration of hydroxychloroquine.</w:t>
            </w:r>
          </w:p>
          <w:p w14:paraId="3A343D8F" w14:textId="77777777" w:rsidR="00224B60" w:rsidRPr="00CF00BA" w:rsidRDefault="00224B60" w:rsidP="005C0784">
            <w:pPr>
              <w:numPr>
                <w:ilvl w:val="0"/>
                <w:numId w:val="14"/>
              </w:numPr>
              <w:spacing w:after="0"/>
              <w:rPr>
                <w:rFonts w:cs="Arial"/>
                <w:szCs w:val="24"/>
              </w:rPr>
            </w:pPr>
            <w:r w:rsidRPr="00CF00BA">
              <w:rPr>
                <w:rFonts w:cs="Arial"/>
                <w:b/>
                <w:szCs w:val="24"/>
              </w:rPr>
              <w:t>Ciclosporin</w:t>
            </w:r>
            <w:r w:rsidRPr="00CF00BA">
              <w:rPr>
                <w:rFonts w:cs="Arial"/>
                <w:szCs w:val="24"/>
              </w:rPr>
              <w:t>: possible increase in plasma concentration of ciclosporin (combination used by some specialists).</w:t>
            </w:r>
          </w:p>
          <w:p w14:paraId="012A76F0" w14:textId="77777777" w:rsidR="00224B60" w:rsidRPr="00CF00BA" w:rsidRDefault="00224B60" w:rsidP="005C0784">
            <w:pPr>
              <w:numPr>
                <w:ilvl w:val="0"/>
                <w:numId w:val="14"/>
              </w:numPr>
              <w:spacing w:after="0"/>
              <w:rPr>
                <w:rFonts w:cs="Arial"/>
                <w:szCs w:val="24"/>
              </w:rPr>
            </w:pPr>
            <w:r w:rsidRPr="00CF00BA">
              <w:rPr>
                <w:rFonts w:cs="Arial"/>
                <w:b/>
                <w:szCs w:val="24"/>
              </w:rPr>
              <w:t>Digoxin</w:t>
            </w:r>
            <w:r w:rsidRPr="00CF00BA">
              <w:rPr>
                <w:rFonts w:cs="Arial"/>
                <w:szCs w:val="24"/>
              </w:rPr>
              <w:t>: possible increase in plasma concentration of digoxin.</w:t>
            </w:r>
          </w:p>
          <w:p w14:paraId="55217C73" w14:textId="77777777" w:rsidR="00224B60" w:rsidRPr="00CF00BA" w:rsidRDefault="00224B60" w:rsidP="005C0784">
            <w:pPr>
              <w:numPr>
                <w:ilvl w:val="0"/>
                <w:numId w:val="14"/>
              </w:numPr>
              <w:spacing w:after="0"/>
              <w:rPr>
                <w:rFonts w:cs="Arial"/>
                <w:szCs w:val="24"/>
              </w:rPr>
            </w:pPr>
            <w:r w:rsidRPr="00CF00BA">
              <w:rPr>
                <w:rFonts w:cs="Arial"/>
                <w:b/>
                <w:szCs w:val="24"/>
              </w:rPr>
              <w:t>Mefloquine and other drugs known to lower the convulsion threshold</w:t>
            </w:r>
            <w:r w:rsidRPr="00CF00BA">
              <w:rPr>
                <w:rFonts w:cs="Arial"/>
                <w:szCs w:val="24"/>
              </w:rPr>
              <w:t>: possible increased risk of convulsions.</w:t>
            </w:r>
          </w:p>
          <w:p w14:paraId="00B02884" w14:textId="77777777" w:rsidR="00224B60" w:rsidRPr="00CF00BA" w:rsidRDefault="00224B60" w:rsidP="005C0784">
            <w:pPr>
              <w:numPr>
                <w:ilvl w:val="0"/>
                <w:numId w:val="14"/>
              </w:numPr>
              <w:spacing w:after="0"/>
              <w:rPr>
                <w:rFonts w:cs="Arial"/>
                <w:szCs w:val="24"/>
              </w:rPr>
            </w:pPr>
            <w:r w:rsidRPr="00CF00BA">
              <w:rPr>
                <w:rFonts w:cs="Arial"/>
                <w:b/>
                <w:szCs w:val="24"/>
              </w:rPr>
              <w:t>Penicillamine</w:t>
            </w:r>
            <w:r w:rsidRPr="00CF00BA">
              <w:rPr>
                <w:rFonts w:cs="Arial"/>
                <w:szCs w:val="24"/>
              </w:rPr>
              <w:t xml:space="preserve">: possible increased risk of haematological toxicity. </w:t>
            </w:r>
          </w:p>
          <w:p w14:paraId="36D87216" w14:textId="6905E581" w:rsidR="00224B60" w:rsidRPr="00CF00BA" w:rsidRDefault="00224B60" w:rsidP="00E12942">
            <w:pPr>
              <w:numPr>
                <w:ilvl w:val="0"/>
                <w:numId w:val="14"/>
              </w:numPr>
              <w:spacing w:after="0"/>
              <w:rPr>
                <w:rFonts w:cs="Arial"/>
                <w:szCs w:val="24"/>
              </w:rPr>
            </w:pPr>
            <w:r w:rsidRPr="00CF00BA">
              <w:rPr>
                <w:rFonts w:cs="Arial"/>
                <w:b/>
                <w:szCs w:val="24"/>
              </w:rPr>
              <w:t>Tamoxifen</w:t>
            </w:r>
            <w:r w:rsidRPr="00CF00BA">
              <w:rPr>
                <w:rFonts w:cs="Arial"/>
                <w:szCs w:val="24"/>
              </w:rPr>
              <w:t xml:space="preserve">: increased risk of retinal toxicity, necessitates annual ophthalmic monitoring (see </w:t>
            </w:r>
            <w:hyperlink w:anchor="_4." w:history="1">
              <w:r w:rsidRPr="00CF00BA">
                <w:rPr>
                  <w:rFonts w:cs="Arial"/>
                  <w:color w:val="0000FF" w:themeColor="hyperlink"/>
                  <w:szCs w:val="24"/>
                  <w:u w:val="single"/>
                </w:rPr>
                <w:t>section 4</w:t>
              </w:r>
            </w:hyperlink>
            <w:r w:rsidRPr="00CF00BA">
              <w:rPr>
                <w:rFonts w:cs="Arial"/>
                <w:szCs w:val="24"/>
              </w:rPr>
              <w:t>).</w:t>
            </w:r>
          </w:p>
          <w:p w14:paraId="289D7B1D" w14:textId="77777777" w:rsidR="00224B60" w:rsidRPr="00CF00BA" w:rsidRDefault="00224B60" w:rsidP="005C0784">
            <w:pPr>
              <w:spacing w:before="60" w:after="60"/>
              <w:rPr>
                <w:rFonts w:cs="Arial"/>
                <w:b/>
                <w:szCs w:val="24"/>
              </w:rPr>
            </w:pPr>
            <w:r w:rsidRPr="00CF00BA">
              <w:rPr>
                <w:rFonts w:cs="Arial"/>
                <w:b/>
                <w:szCs w:val="24"/>
              </w:rPr>
              <w:t>The following drugs may be prescribed with caution:</w:t>
            </w:r>
          </w:p>
          <w:p w14:paraId="3C88CCD8" w14:textId="77777777" w:rsidR="00224B60" w:rsidRPr="00CF00BA" w:rsidRDefault="00224B60" w:rsidP="005C0784">
            <w:pPr>
              <w:numPr>
                <w:ilvl w:val="0"/>
                <w:numId w:val="15"/>
              </w:numPr>
              <w:spacing w:before="60" w:after="60"/>
              <w:ind w:left="357" w:hanging="357"/>
              <w:rPr>
                <w:rFonts w:cs="Arial"/>
                <w:szCs w:val="24"/>
              </w:rPr>
            </w:pPr>
            <w:r w:rsidRPr="00CF00BA">
              <w:rPr>
                <w:rFonts w:cs="Arial"/>
                <w:b/>
                <w:szCs w:val="24"/>
              </w:rPr>
              <w:t>Antacids and calcium carbonate-containing supplements</w:t>
            </w:r>
            <w:r w:rsidRPr="00CF00BA">
              <w:rPr>
                <w:rFonts w:cs="Arial"/>
                <w:szCs w:val="24"/>
              </w:rPr>
              <w:t xml:space="preserve">: may reduce absorption of hydroxychloroquine; separate administration by at least four hours. Other calcium salts do not appear to interact. </w:t>
            </w:r>
          </w:p>
          <w:p w14:paraId="672754FB" w14:textId="77777777" w:rsidR="00224B60" w:rsidRPr="00CF00BA" w:rsidRDefault="00224B60" w:rsidP="005C0784">
            <w:pPr>
              <w:numPr>
                <w:ilvl w:val="0"/>
                <w:numId w:val="15"/>
              </w:numPr>
              <w:spacing w:before="60" w:after="60"/>
              <w:ind w:left="357" w:hanging="357"/>
              <w:rPr>
                <w:rFonts w:cs="Arial"/>
                <w:szCs w:val="24"/>
              </w:rPr>
            </w:pPr>
            <w:r w:rsidRPr="00CF00BA">
              <w:rPr>
                <w:rFonts w:cs="Arial"/>
                <w:b/>
                <w:szCs w:val="24"/>
              </w:rPr>
              <w:t>Antiepileptics</w:t>
            </w:r>
            <w:r w:rsidRPr="00CF00BA">
              <w:rPr>
                <w:rFonts w:cs="Arial"/>
                <w:szCs w:val="24"/>
              </w:rPr>
              <w:t xml:space="preserve">: activity of antiepileptic drugs may be impaired with hydroxychloroquine. Additionally, hydroxychloroquine may lower the seizure threshold.  </w:t>
            </w:r>
          </w:p>
          <w:p w14:paraId="6AF40B34" w14:textId="77777777" w:rsidR="00224B60" w:rsidRPr="00CF00BA" w:rsidRDefault="00224B60" w:rsidP="005C0784">
            <w:pPr>
              <w:numPr>
                <w:ilvl w:val="0"/>
                <w:numId w:val="15"/>
              </w:numPr>
              <w:spacing w:before="60" w:after="60"/>
              <w:ind w:left="357" w:hanging="357"/>
              <w:rPr>
                <w:rFonts w:eastAsia="Times New Roman" w:cs="Arial"/>
                <w:bCs/>
                <w:iCs/>
                <w:color w:val="000000"/>
                <w:szCs w:val="24"/>
                <w:lang w:eastAsia="en-GB"/>
              </w:rPr>
            </w:pPr>
            <w:r w:rsidRPr="00CF00BA">
              <w:rPr>
                <w:rFonts w:cs="Arial"/>
                <w:b/>
                <w:szCs w:val="24"/>
              </w:rPr>
              <w:t>Neostigmine and pyridostigmine</w:t>
            </w:r>
            <w:r w:rsidRPr="00CF00BA">
              <w:rPr>
                <w:rFonts w:cs="Arial"/>
                <w:szCs w:val="24"/>
              </w:rPr>
              <w:t>: effects may be antagonised by hydroxychloroquine.</w:t>
            </w:r>
          </w:p>
          <w:p w14:paraId="34B9C591" w14:textId="77777777" w:rsidR="005C0784" w:rsidRPr="00CF00BA" w:rsidRDefault="00224B60" w:rsidP="005C0784">
            <w:pPr>
              <w:pStyle w:val="ListParagraph"/>
              <w:numPr>
                <w:ilvl w:val="0"/>
                <w:numId w:val="7"/>
              </w:numPr>
              <w:autoSpaceDE w:val="0"/>
              <w:autoSpaceDN w:val="0"/>
              <w:adjustRightInd w:val="0"/>
              <w:rPr>
                <w:rFonts w:eastAsia="Times New Roman" w:cs="Arial"/>
                <w:bCs/>
                <w:iCs/>
                <w:color w:val="000000"/>
                <w:szCs w:val="24"/>
                <w:lang w:eastAsia="en-GB"/>
              </w:rPr>
            </w:pPr>
            <w:r w:rsidRPr="00CF00BA">
              <w:rPr>
                <w:rFonts w:cs="Arial"/>
                <w:b/>
                <w:szCs w:val="24"/>
              </w:rPr>
              <w:t>Intra-dermal rabies vaccine</w:t>
            </w:r>
            <w:r w:rsidRPr="00CF00BA">
              <w:rPr>
                <w:rFonts w:cs="Arial"/>
                <w:szCs w:val="24"/>
              </w:rPr>
              <w:t>: possible reduced antibody response</w:t>
            </w:r>
          </w:p>
          <w:p w14:paraId="24289A8A" w14:textId="42F10E2E" w:rsidR="00E50AEB" w:rsidRPr="00CF00BA" w:rsidRDefault="009A16D5" w:rsidP="005C0784">
            <w:pPr>
              <w:pStyle w:val="ListParagraph"/>
              <w:numPr>
                <w:ilvl w:val="0"/>
                <w:numId w:val="7"/>
              </w:numPr>
              <w:autoSpaceDE w:val="0"/>
              <w:autoSpaceDN w:val="0"/>
              <w:adjustRightInd w:val="0"/>
              <w:rPr>
                <w:rFonts w:eastAsia="Times New Roman" w:cs="Arial"/>
                <w:bCs/>
                <w:iCs/>
                <w:color w:val="000000"/>
                <w:szCs w:val="24"/>
                <w:lang w:eastAsia="en-GB"/>
              </w:rPr>
            </w:pPr>
            <w:r w:rsidRPr="00CF00BA">
              <w:rPr>
                <w:rFonts w:eastAsia="Times New Roman" w:cs="Arial"/>
                <w:b/>
                <w:bCs/>
                <w:iCs/>
                <w:color w:val="000000"/>
                <w:szCs w:val="24"/>
                <w:lang w:eastAsia="en-GB"/>
              </w:rPr>
              <w:t xml:space="preserve">Topiramate </w:t>
            </w:r>
            <w:r w:rsidRPr="00CF00BA">
              <w:rPr>
                <w:rFonts w:eastAsia="Times New Roman" w:cs="Arial"/>
                <w:bCs/>
                <w:iCs/>
                <w:color w:val="000000"/>
                <w:szCs w:val="24"/>
                <w:lang w:eastAsia="en-GB"/>
              </w:rPr>
              <w:t>– increased risk of toxicity when co-administered with valproate, monitor for signs and symptoms of encephalopathy or hyperammonaemia</w:t>
            </w:r>
          </w:p>
        </w:tc>
      </w:tr>
      <w:tr w:rsidR="009A16D5" w:rsidRPr="00CF00BA" w14:paraId="24EF260A" w14:textId="77777777" w:rsidTr="009AF2D1">
        <w:trPr>
          <w:jc w:val="center"/>
        </w:trPr>
        <w:tc>
          <w:tcPr>
            <w:tcW w:w="10455" w:type="dxa"/>
            <w:gridSpan w:val="3"/>
            <w:tcBorders>
              <w:bottom w:val="nil"/>
            </w:tcBorders>
            <w:shd w:val="clear" w:color="auto" w:fill="F2F2F2" w:themeFill="background1" w:themeFillShade="F2"/>
          </w:tcPr>
          <w:p w14:paraId="6FA6EB67" w14:textId="3453B847" w:rsidR="009A16D5" w:rsidRPr="00CF00BA" w:rsidRDefault="009A16D5" w:rsidP="00723BC1">
            <w:pPr>
              <w:pStyle w:val="Heading1"/>
              <w:tabs>
                <w:tab w:val="right" w:pos="10240"/>
              </w:tabs>
              <w:rPr>
                <w:rStyle w:val="Hyperlink"/>
                <w:rFonts w:eastAsia="Times New Roman" w:cs="Arial"/>
                <w:szCs w:val="24"/>
                <w:lang w:eastAsia="en-GB"/>
              </w:rPr>
            </w:pPr>
            <w:bookmarkStart w:id="10" w:name="_Baseline_investigations,_initial"/>
            <w:bookmarkStart w:id="11" w:name="Eight_specialist_monitoring"/>
            <w:bookmarkEnd w:id="10"/>
            <w:r w:rsidRPr="00CF00BA">
              <w:rPr>
                <w:lang w:eastAsia="en-GB"/>
              </w:rPr>
              <w:lastRenderedPageBreak/>
              <w:t xml:space="preserve">Baseline investigations, initial </w:t>
            </w:r>
            <w:r w:rsidR="0032558C" w:rsidRPr="00CF00BA">
              <w:rPr>
                <w:lang w:eastAsia="en-GB"/>
              </w:rPr>
              <w:t xml:space="preserve">monitoring </w:t>
            </w:r>
            <w:r w:rsidRPr="00CF00BA">
              <w:rPr>
                <w:lang w:eastAsia="en-GB"/>
              </w:rPr>
              <w:t>and ongoing monitoring to be undertaken by specialist</w:t>
            </w:r>
            <w:bookmarkEnd w:id="11"/>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p w14:paraId="57CB14F0" w14:textId="1BCC1068" w:rsidR="00723BC1" w:rsidRPr="00CF00BA" w:rsidRDefault="00723BC1" w:rsidP="00723BC1">
            <w:pPr>
              <w:rPr>
                <w:b/>
                <w:szCs w:val="24"/>
                <w:lang w:eastAsia="en-GB"/>
              </w:rPr>
            </w:pPr>
            <w:r w:rsidRPr="00CF00BA">
              <w:rPr>
                <w:lang w:eastAsia="en-GB"/>
              </w:rPr>
              <w:t>Monitoring at baseline and during initiation is the responsibility of the specialist; only once the patient is optimised on the chosen medication with no anticipated further changes expected in immediate future will prescribing and monitoring be transferred to primary care.</w:t>
            </w:r>
          </w:p>
        </w:tc>
      </w:tr>
      <w:tr w:rsidR="009A16D5" w:rsidRPr="00CF00BA" w14:paraId="03C811CF" w14:textId="77777777" w:rsidTr="009AF2D1">
        <w:trPr>
          <w:jc w:val="center"/>
        </w:trPr>
        <w:tc>
          <w:tcPr>
            <w:tcW w:w="10455" w:type="dxa"/>
            <w:gridSpan w:val="3"/>
            <w:tcBorders>
              <w:top w:val="nil"/>
            </w:tcBorders>
          </w:tcPr>
          <w:p w14:paraId="1D0B23B5" w14:textId="77777777" w:rsidR="00224B60" w:rsidRPr="00CF00BA" w:rsidRDefault="00224B60" w:rsidP="00224B60">
            <w:pPr>
              <w:autoSpaceDE w:val="0"/>
              <w:autoSpaceDN w:val="0"/>
              <w:adjustRightInd w:val="0"/>
              <w:spacing w:before="60" w:after="60" w:line="240" w:lineRule="auto"/>
              <w:rPr>
                <w:rFonts w:eastAsia="Times New Roman" w:cs="Arial"/>
                <w:b/>
                <w:color w:val="000000"/>
                <w:szCs w:val="24"/>
                <w:lang w:eastAsia="en-GB"/>
              </w:rPr>
            </w:pPr>
            <w:r w:rsidRPr="00CF00BA">
              <w:rPr>
                <w:rFonts w:eastAsia="Times New Roman" w:cs="Arial"/>
                <w:b/>
                <w:color w:val="000000"/>
                <w:szCs w:val="24"/>
                <w:lang w:eastAsia="en-GB"/>
              </w:rPr>
              <w:t>Baseline investigations:</w:t>
            </w:r>
          </w:p>
          <w:p w14:paraId="4F6589C8" w14:textId="77777777" w:rsidR="00224B60" w:rsidRPr="00CF00BA" w:rsidRDefault="00224B60" w:rsidP="00BC1D5A">
            <w:pPr>
              <w:numPr>
                <w:ilvl w:val="0"/>
                <w:numId w:val="3"/>
              </w:numPr>
              <w:autoSpaceDE w:val="0"/>
              <w:autoSpaceDN w:val="0"/>
              <w:adjustRightInd w:val="0"/>
              <w:spacing w:after="0" w:line="240" w:lineRule="auto"/>
              <w:ind w:left="357" w:hanging="357"/>
              <w:contextualSpacing/>
              <w:rPr>
                <w:rFonts w:eastAsia="Times New Roman" w:cs="Arial"/>
                <w:color w:val="000000"/>
                <w:szCs w:val="24"/>
                <w:lang w:eastAsia="en-GB"/>
              </w:rPr>
            </w:pPr>
            <w:r w:rsidRPr="00CF00BA">
              <w:rPr>
                <w:rFonts w:eastAsia="Times New Roman" w:cs="Arial"/>
                <w:color w:val="000000"/>
                <w:szCs w:val="24"/>
                <w:lang w:eastAsia="en-GB"/>
              </w:rPr>
              <w:t>Urea and electrolytes (U&amp;Es)  &amp; creatinine clearance (CrCl)</w:t>
            </w:r>
          </w:p>
          <w:p w14:paraId="05638BE3" w14:textId="77777777" w:rsidR="00224B60" w:rsidRPr="00CF00BA" w:rsidRDefault="00224B60" w:rsidP="00BC1D5A">
            <w:pPr>
              <w:numPr>
                <w:ilvl w:val="0"/>
                <w:numId w:val="3"/>
              </w:numPr>
              <w:autoSpaceDE w:val="0"/>
              <w:autoSpaceDN w:val="0"/>
              <w:adjustRightInd w:val="0"/>
              <w:spacing w:after="0" w:line="240" w:lineRule="auto"/>
              <w:ind w:left="357" w:hanging="357"/>
              <w:contextualSpacing/>
              <w:rPr>
                <w:rFonts w:eastAsia="Times New Roman" w:cs="Arial"/>
                <w:color w:val="000000"/>
                <w:szCs w:val="24"/>
                <w:lang w:eastAsia="en-GB"/>
              </w:rPr>
            </w:pPr>
            <w:r w:rsidRPr="00CF00BA">
              <w:rPr>
                <w:rFonts w:eastAsia="Times New Roman" w:cs="Arial"/>
                <w:color w:val="000000"/>
                <w:szCs w:val="24"/>
                <w:lang w:eastAsia="en-GB"/>
              </w:rPr>
              <w:t>Alanine aminotransferase (ALT) and/or aspartate aminotransferase (AST), &amp; albumin</w:t>
            </w:r>
          </w:p>
          <w:p w14:paraId="56FA28DA" w14:textId="77777777" w:rsidR="00224B60" w:rsidRPr="00CF00BA" w:rsidRDefault="00224B60" w:rsidP="00BC1D5A">
            <w:pPr>
              <w:numPr>
                <w:ilvl w:val="0"/>
                <w:numId w:val="3"/>
              </w:numPr>
              <w:autoSpaceDE w:val="0"/>
              <w:autoSpaceDN w:val="0"/>
              <w:adjustRightInd w:val="0"/>
              <w:spacing w:after="0" w:line="240" w:lineRule="auto"/>
              <w:ind w:left="357" w:hanging="357"/>
              <w:contextualSpacing/>
              <w:rPr>
                <w:rFonts w:eastAsia="Times New Roman" w:cs="Arial"/>
                <w:color w:val="000000"/>
                <w:szCs w:val="24"/>
                <w:lang w:eastAsia="en-GB"/>
              </w:rPr>
            </w:pPr>
            <w:r w:rsidRPr="00CF00BA">
              <w:rPr>
                <w:rFonts w:eastAsia="Times New Roman" w:cs="Arial"/>
                <w:color w:val="000000"/>
                <w:szCs w:val="24"/>
                <w:lang w:eastAsia="en-GB"/>
              </w:rPr>
              <w:t>Full blood count (FBC)</w:t>
            </w:r>
          </w:p>
          <w:p w14:paraId="55FE2589" w14:textId="77777777" w:rsidR="00224B60" w:rsidRPr="00CF00BA" w:rsidRDefault="00224B60" w:rsidP="00BC1D5A">
            <w:pPr>
              <w:numPr>
                <w:ilvl w:val="0"/>
                <w:numId w:val="3"/>
              </w:numPr>
              <w:autoSpaceDE w:val="0"/>
              <w:autoSpaceDN w:val="0"/>
              <w:adjustRightInd w:val="0"/>
              <w:spacing w:after="0" w:line="240" w:lineRule="auto"/>
              <w:ind w:left="357" w:hanging="357"/>
              <w:contextualSpacing/>
              <w:rPr>
                <w:rFonts w:eastAsia="Times New Roman" w:cs="Arial"/>
                <w:color w:val="000000"/>
                <w:szCs w:val="24"/>
                <w:lang w:eastAsia="en-GB"/>
              </w:rPr>
            </w:pPr>
            <w:r w:rsidRPr="00CF00BA">
              <w:rPr>
                <w:rFonts w:eastAsia="Times New Roman" w:cs="Arial"/>
                <w:color w:val="000000"/>
                <w:szCs w:val="24"/>
                <w:lang w:eastAsia="en-GB"/>
              </w:rPr>
              <w:t>Weight</w:t>
            </w:r>
          </w:p>
          <w:p w14:paraId="11F2D9A8" w14:textId="77777777" w:rsidR="00224B60" w:rsidRPr="00CF00BA" w:rsidRDefault="00224B60" w:rsidP="00BC1D5A">
            <w:pPr>
              <w:numPr>
                <w:ilvl w:val="0"/>
                <w:numId w:val="3"/>
              </w:numPr>
              <w:autoSpaceDE w:val="0"/>
              <w:autoSpaceDN w:val="0"/>
              <w:adjustRightInd w:val="0"/>
              <w:spacing w:after="0" w:line="240" w:lineRule="auto"/>
              <w:ind w:left="357" w:hanging="357"/>
              <w:contextualSpacing/>
              <w:rPr>
                <w:rFonts w:eastAsia="Times New Roman" w:cs="Arial"/>
                <w:color w:val="000000"/>
                <w:szCs w:val="24"/>
                <w:lang w:eastAsia="en-GB"/>
              </w:rPr>
            </w:pPr>
            <w:r w:rsidRPr="00CF00BA">
              <w:rPr>
                <w:rFonts w:eastAsia="Times New Roman" w:cs="Arial"/>
                <w:color w:val="000000"/>
                <w:szCs w:val="24"/>
                <w:lang w:eastAsia="en-GB"/>
              </w:rPr>
              <w:t>Height and blood pressure (if indicated)</w:t>
            </w:r>
          </w:p>
          <w:p w14:paraId="2C94B030" w14:textId="77777777" w:rsidR="00224B60" w:rsidRPr="00CF00BA" w:rsidRDefault="00224B60" w:rsidP="00BC1D5A">
            <w:pPr>
              <w:numPr>
                <w:ilvl w:val="0"/>
                <w:numId w:val="3"/>
              </w:numPr>
              <w:autoSpaceDE w:val="0"/>
              <w:autoSpaceDN w:val="0"/>
              <w:adjustRightInd w:val="0"/>
              <w:spacing w:after="0" w:line="240" w:lineRule="auto"/>
              <w:ind w:left="357" w:hanging="357"/>
              <w:contextualSpacing/>
              <w:rPr>
                <w:rFonts w:eastAsia="Times New Roman" w:cs="Arial"/>
                <w:color w:val="000000"/>
                <w:szCs w:val="24"/>
                <w:lang w:eastAsia="en-GB"/>
              </w:rPr>
            </w:pPr>
            <w:r w:rsidRPr="00CF00BA">
              <w:rPr>
                <w:rFonts w:eastAsia="Times New Roman" w:cs="Arial"/>
                <w:color w:val="000000"/>
                <w:szCs w:val="24"/>
                <w:lang w:eastAsia="en-GB"/>
              </w:rPr>
              <w:t xml:space="preserve">Assess for co-morbidities which may influence DMARD choice, including risk factors for retinopathy (e.g. concomitant tamoxifen use, eGFR &lt;60 mL/min) </w:t>
            </w:r>
          </w:p>
          <w:p w14:paraId="5F37F714" w14:textId="77777777" w:rsidR="00224B60" w:rsidRPr="00CF00BA" w:rsidRDefault="00224B60" w:rsidP="00BC1D5A">
            <w:pPr>
              <w:numPr>
                <w:ilvl w:val="0"/>
                <w:numId w:val="3"/>
              </w:numPr>
              <w:autoSpaceDE w:val="0"/>
              <w:autoSpaceDN w:val="0"/>
              <w:adjustRightInd w:val="0"/>
              <w:spacing w:after="0" w:line="240" w:lineRule="auto"/>
              <w:ind w:left="357" w:hanging="357"/>
              <w:contextualSpacing/>
              <w:rPr>
                <w:rFonts w:eastAsia="Times New Roman" w:cs="Arial"/>
                <w:color w:val="000000"/>
                <w:szCs w:val="24"/>
                <w:lang w:eastAsia="en-GB"/>
              </w:rPr>
            </w:pPr>
            <w:r w:rsidRPr="00CF00BA">
              <w:rPr>
                <w:rFonts w:eastAsia="Times New Roman" w:cs="Arial"/>
                <w:color w:val="000000"/>
                <w:szCs w:val="24"/>
                <w:lang w:eastAsia="en-GB"/>
              </w:rPr>
              <w:t xml:space="preserve">Electrocardiogram (ECG), if concerns exist regarding the QT-interval, see </w:t>
            </w:r>
            <w:hyperlink w:anchor="Four_cx_and_cautions" w:history="1">
              <w:r w:rsidRPr="00CF00BA">
                <w:rPr>
                  <w:rFonts w:eastAsia="Times New Roman" w:cs="Arial"/>
                  <w:color w:val="0000FF" w:themeColor="hyperlink"/>
                  <w:szCs w:val="24"/>
                  <w:u w:val="single"/>
                  <w:lang w:eastAsia="en-GB"/>
                </w:rPr>
                <w:t>section 4</w:t>
              </w:r>
            </w:hyperlink>
            <w:r w:rsidRPr="00CF00BA">
              <w:rPr>
                <w:rFonts w:eastAsia="Times New Roman" w:cs="Arial"/>
                <w:color w:val="000000"/>
                <w:szCs w:val="24"/>
                <w:lang w:eastAsia="en-GB"/>
              </w:rPr>
              <w:t xml:space="preserve"> and </w:t>
            </w:r>
            <w:hyperlink w:anchor="Seven_interactions" w:history="1">
              <w:r w:rsidRPr="00CF00BA">
                <w:rPr>
                  <w:rFonts w:eastAsia="Times New Roman" w:cs="Arial"/>
                  <w:color w:val="0000FF" w:themeColor="hyperlink"/>
                  <w:szCs w:val="24"/>
                  <w:u w:val="single"/>
                  <w:lang w:eastAsia="en-GB"/>
                </w:rPr>
                <w:t>section 7</w:t>
              </w:r>
            </w:hyperlink>
            <w:r w:rsidRPr="00CF00BA">
              <w:rPr>
                <w:rFonts w:eastAsia="Times New Roman" w:cs="Arial"/>
                <w:color w:val="000000"/>
                <w:szCs w:val="24"/>
                <w:lang w:eastAsia="en-GB"/>
              </w:rPr>
              <w:t xml:space="preserve">. </w:t>
            </w:r>
          </w:p>
          <w:p w14:paraId="010EABB6" w14:textId="77777777" w:rsidR="00224B60" w:rsidRPr="00CF00BA" w:rsidRDefault="00224B60" w:rsidP="00224B60">
            <w:pPr>
              <w:autoSpaceDE w:val="0"/>
              <w:autoSpaceDN w:val="0"/>
              <w:adjustRightInd w:val="0"/>
              <w:spacing w:after="0" w:line="240" w:lineRule="auto"/>
              <w:rPr>
                <w:rFonts w:eastAsia="Times New Roman" w:cs="Arial"/>
                <w:color w:val="000000"/>
                <w:szCs w:val="24"/>
                <w:lang w:eastAsia="en-GB"/>
              </w:rPr>
            </w:pPr>
          </w:p>
          <w:p w14:paraId="2ADE18BF" w14:textId="77777777" w:rsidR="00224B60" w:rsidRPr="00CF00BA" w:rsidRDefault="00224B60" w:rsidP="00224B60">
            <w:pPr>
              <w:autoSpaceDE w:val="0"/>
              <w:autoSpaceDN w:val="0"/>
              <w:adjustRightInd w:val="0"/>
              <w:spacing w:before="60" w:after="60" w:line="240" w:lineRule="auto"/>
              <w:rPr>
                <w:rFonts w:eastAsia="Times New Roman" w:cs="Arial"/>
                <w:b/>
                <w:szCs w:val="24"/>
                <w:lang w:eastAsia="en-GB"/>
              </w:rPr>
            </w:pPr>
            <w:r w:rsidRPr="00CF00BA">
              <w:rPr>
                <w:rFonts w:eastAsia="Times New Roman" w:cs="Arial"/>
                <w:b/>
                <w:szCs w:val="24"/>
                <w:lang w:eastAsia="en-GB"/>
              </w:rPr>
              <w:t>Ongoing monitoring:</w:t>
            </w:r>
          </w:p>
          <w:p w14:paraId="256810A3" w14:textId="77777777" w:rsidR="00224B60" w:rsidRPr="00CF00BA" w:rsidRDefault="00224B60" w:rsidP="00BC1D5A">
            <w:pPr>
              <w:numPr>
                <w:ilvl w:val="0"/>
                <w:numId w:val="16"/>
              </w:numPr>
              <w:autoSpaceDE w:val="0"/>
              <w:autoSpaceDN w:val="0"/>
              <w:adjustRightInd w:val="0"/>
              <w:spacing w:before="60" w:after="60" w:line="240" w:lineRule="auto"/>
              <w:contextualSpacing/>
              <w:rPr>
                <w:rFonts w:eastAsia="Times New Roman" w:cs="Arial"/>
                <w:b/>
                <w:szCs w:val="24"/>
                <w:lang w:eastAsia="en-GB"/>
              </w:rPr>
            </w:pPr>
            <w:r w:rsidRPr="00CF00BA">
              <w:rPr>
                <w:rFonts w:eastAsia="Times New Roman" w:cs="Arial"/>
                <w:szCs w:val="24"/>
                <w:lang w:eastAsia="en-GB"/>
              </w:rPr>
              <w:lastRenderedPageBreak/>
              <w:t xml:space="preserve">No routine ongoing laboratory monitoring is required for hydroxychloroquine. Monitoring may be required if the patient is prescribed an additional DMARD. </w:t>
            </w:r>
          </w:p>
          <w:p w14:paraId="2452F381" w14:textId="77777777" w:rsidR="00224B60" w:rsidRPr="00CF00BA" w:rsidRDefault="00224B60" w:rsidP="00BC1D5A">
            <w:pPr>
              <w:numPr>
                <w:ilvl w:val="0"/>
                <w:numId w:val="16"/>
              </w:numPr>
              <w:autoSpaceDE w:val="0"/>
              <w:autoSpaceDN w:val="0"/>
              <w:adjustRightInd w:val="0"/>
              <w:spacing w:before="60" w:after="60" w:line="240" w:lineRule="auto"/>
              <w:contextualSpacing/>
              <w:rPr>
                <w:rFonts w:eastAsia="Times New Roman" w:cs="Arial"/>
                <w:b/>
                <w:szCs w:val="24"/>
                <w:lang w:eastAsia="en-GB"/>
              </w:rPr>
            </w:pPr>
            <w:r w:rsidRPr="00CF00BA">
              <w:rPr>
                <w:rFonts w:eastAsia="Times New Roman" w:cs="Arial"/>
                <w:szCs w:val="24"/>
                <w:lang w:eastAsia="en-GB"/>
              </w:rPr>
              <w:t xml:space="preserve">The specialist will retain the responsibility for monitoring the patient’s ongoing response to treatment, and advise if a dose change or treatment cessation is appropriate. This should be undertaken annually. </w:t>
            </w:r>
          </w:p>
          <w:p w14:paraId="1D545320" w14:textId="77777777" w:rsidR="00224B60" w:rsidRPr="00CF00BA" w:rsidRDefault="00224B60" w:rsidP="00BC1D5A">
            <w:pPr>
              <w:numPr>
                <w:ilvl w:val="0"/>
                <w:numId w:val="16"/>
              </w:numPr>
              <w:autoSpaceDE w:val="0"/>
              <w:autoSpaceDN w:val="0"/>
              <w:adjustRightInd w:val="0"/>
              <w:spacing w:before="60" w:after="60" w:line="240" w:lineRule="auto"/>
              <w:contextualSpacing/>
              <w:rPr>
                <w:rFonts w:eastAsia="Times New Roman" w:cs="Arial"/>
                <w:szCs w:val="24"/>
                <w:lang w:eastAsia="en-GB"/>
              </w:rPr>
            </w:pPr>
            <w:r w:rsidRPr="00CF00BA">
              <w:rPr>
                <w:rFonts w:eastAsia="Times New Roman" w:cs="Arial"/>
                <w:szCs w:val="24"/>
                <w:lang w:eastAsia="en-GB"/>
              </w:rPr>
              <w:t xml:space="preserve">After each review, advise primary care whether treatment should be continued, confirm the ongoing dose, and whether the ongoing monitoring outlined in </w:t>
            </w:r>
            <w:hyperlink w:anchor="Nine_primary_care_monitoring" w:history="1">
              <w:r w:rsidRPr="00CF00BA">
                <w:rPr>
                  <w:rFonts w:eastAsia="Times New Roman" w:cs="Arial"/>
                  <w:color w:val="0000FF" w:themeColor="hyperlink"/>
                  <w:szCs w:val="24"/>
                  <w:u w:val="single"/>
                  <w:lang w:eastAsia="en-GB"/>
                </w:rPr>
                <w:t>section 9</w:t>
              </w:r>
            </w:hyperlink>
            <w:r w:rsidRPr="00CF00BA">
              <w:rPr>
                <w:rFonts w:eastAsia="Times New Roman" w:cs="Arial"/>
                <w:szCs w:val="24"/>
                <w:lang w:eastAsia="en-GB"/>
              </w:rPr>
              <w:t xml:space="preserve"> remains appropriate.</w:t>
            </w:r>
          </w:p>
          <w:p w14:paraId="01BE7CD8" w14:textId="6616E878" w:rsidR="009A16D5" w:rsidRPr="00CF00BA" w:rsidRDefault="00224B60" w:rsidP="00BC1D5A">
            <w:pPr>
              <w:numPr>
                <w:ilvl w:val="0"/>
                <w:numId w:val="16"/>
              </w:numPr>
              <w:autoSpaceDE w:val="0"/>
              <w:autoSpaceDN w:val="0"/>
              <w:adjustRightInd w:val="0"/>
              <w:spacing w:before="60" w:after="60" w:line="240" w:lineRule="auto"/>
              <w:contextualSpacing/>
              <w:rPr>
                <w:rFonts w:eastAsia="Times New Roman" w:cs="Arial"/>
                <w:szCs w:val="24"/>
                <w:lang w:eastAsia="en-GB"/>
              </w:rPr>
            </w:pPr>
            <w:r w:rsidRPr="00CF00BA">
              <w:rPr>
                <w:rFonts w:eastAsia="Times New Roman" w:cs="Arial"/>
                <w:szCs w:val="24"/>
                <w:lang w:eastAsia="en-GB"/>
              </w:rPr>
              <w:t xml:space="preserve">After the patient has been on hydroxychloroquine for five years, refer to ophthalmology (or other commissioned service as appropriate) for annual monitoring for retinopathy. Patients who are at higher risk of retinal toxicity will need to be referred earlier. See </w:t>
            </w:r>
            <w:hyperlink w:anchor="Nine_primary_care_monitoring" w:history="1">
              <w:r w:rsidRPr="00CF00BA">
                <w:rPr>
                  <w:rFonts w:eastAsia="Times New Roman" w:cs="Arial"/>
                  <w:color w:val="0000FF" w:themeColor="hyperlink"/>
                  <w:szCs w:val="24"/>
                  <w:u w:val="single"/>
                  <w:lang w:eastAsia="en-GB"/>
                </w:rPr>
                <w:t>section 9</w:t>
              </w:r>
            </w:hyperlink>
            <w:r w:rsidRPr="00CF00BA">
              <w:rPr>
                <w:rFonts w:eastAsia="Times New Roman" w:cs="Arial"/>
                <w:szCs w:val="24"/>
                <w:lang w:eastAsia="en-GB"/>
              </w:rPr>
              <w:t xml:space="preserve"> below for risk factors. </w:t>
            </w:r>
          </w:p>
        </w:tc>
      </w:tr>
      <w:tr w:rsidR="009A16D5" w:rsidRPr="00CF00BA" w14:paraId="6695C431" w14:textId="77777777" w:rsidTr="009AF2D1">
        <w:trPr>
          <w:jc w:val="center"/>
        </w:trPr>
        <w:tc>
          <w:tcPr>
            <w:tcW w:w="10455" w:type="dxa"/>
            <w:gridSpan w:val="3"/>
            <w:shd w:val="clear" w:color="auto" w:fill="F2F2F2" w:themeFill="background1" w:themeFillShade="F2"/>
          </w:tcPr>
          <w:p w14:paraId="631F17A8" w14:textId="533F0BDD" w:rsidR="009A16D5" w:rsidRPr="00CF00BA" w:rsidRDefault="009A16D5" w:rsidP="000469BF">
            <w:pPr>
              <w:pStyle w:val="Heading1"/>
              <w:tabs>
                <w:tab w:val="right" w:pos="10238"/>
              </w:tabs>
              <w:spacing w:after="240"/>
              <w:rPr>
                <w:strike/>
                <w:lang w:eastAsia="en-GB"/>
              </w:rPr>
            </w:pPr>
            <w:bookmarkStart w:id="12" w:name="_Ongoing_monitoring_requirements"/>
            <w:bookmarkStart w:id="13" w:name="Nine_primary_care_monitoring"/>
            <w:bookmarkEnd w:id="12"/>
            <w:r w:rsidRPr="00CF00BA">
              <w:rPr>
                <w:lang w:eastAsia="en-GB"/>
              </w:rPr>
              <w:lastRenderedPageBreak/>
              <w:t xml:space="preserve">Ongoing monitoring requirements to be undertaken </w:t>
            </w:r>
            <w:r w:rsidR="00846A4A" w:rsidRPr="00CF00BA">
              <w:rPr>
                <w:lang w:eastAsia="en-GB"/>
              </w:rPr>
              <w:br/>
            </w:r>
            <w:r w:rsidRPr="00CF00BA">
              <w:rPr>
                <w:lang w:eastAsia="en-GB"/>
              </w:rPr>
              <w:t>by primary care</w:t>
            </w:r>
            <w:bookmarkEnd w:id="13"/>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p w14:paraId="25F94340" w14:textId="50E56A73" w:rsidR="009A16D5" w:rsidRPr="00CF00BA" w:rsidRDefault="009A16D5" w:rsidP="00EF4D31">
            <w:pPr>
              <w:spacing w:after="0"/>
              <w:rPr>
                <w:b/>
                <w:szCs w:val="24"/>
                <w:lang w:eastAsia="en-GB"/>
              </w:rPr>
            </w:pPr>
            <w:r w:rsidRPr="00CF00BA">
              <w:rPr>
                <w:lang w:eastAsia="en-GB"/>
              </w:rPr>
              <w:t xml:space="preserve">See </w:t>
            </w:r>
            <w:hyperlink w:anchor="Ten_ADRs_and_Management" w:history="1">
              <w:r w:rsidRPr="00CF00BA">
                <w:rPr>
                  <w:rStyle w:val="Hyperlink"/>
                  <w:rFonts w:eastAsia="Times New Roman" w:cs="Arial"/>
                  <w:iCs/>
                  <w:lang w:eastAsia="en-GB"/>
                </w:rPr>
                <w:t>section 10</w:t>
              </w:r>
            </w:hyperlink>
            <w:r w:rsidRPr="00CF00BA">
              <w:rPr>
                <w:lang w:eastAsia="en-GB"/>
              </w:rPr>
              <w:t xml:space="preserve"> for further guidance on management of adverse effects/responding to monitoring results.</w:t>
            </w:r>
          </w:p>
        </w:tc>
      </w:tr>
      <w:tr w:rsidR="00940AA2" w:rsidRPr="00CF00BA" w14:paraId="636A3198" w14:textId="77777777" w:rsidTr="009AF2D1">
        <w:trPr>
          <w:trHeight w:val="140"/>
          <w:jc w:val="center"/>
        </w:trPr>
        <w:tc>
          <w:tcPr>
            <w:tcW w:w="5227" w:type="dxa"/>
            <w:gridSpan w:val="2"/>
            <w:shd w:val="clear" w:color="auto" w:fill="F2F2F2" w:themeFill="background1" w:themeFillShade="F2"/>
          </w:tcPr>
          <w:p w14:paraId="4512E5AE" w14:textId="07A0FCFB" w:rsidR="00940AA2" w:rsidRPr="00CF00BA" w:rsidRDefault="00940AA2" w:rsidP="00940AA2">
            <w:pPr>
              <w:keepNext/>
              <w:spacing w:before="60" w:after="60" w:line="240" w:lineRule="auto"/>
              <w:jc w:val="center"/>
              <w:rPr>
                <w:rFonts w:eastAsia="Times New Roman" w:cs="Arial"/>
                <w:b/>
                <w:szCs w:val="24"/>
                <w:lang w:eastAsia="en-GB"/>
              </w:rPr>
            </w:pPr>
            <w:r w:rsidRPr="00CF00BA">
              <w:rPr>
                <w:rFonts w:eastAsia="Times New Roman" w:cstheme="minorHAnsi"/>
                <w:b/>
                <w:szCs w:val="24"/>
                <w:lang w:eastAsia="en-GB"/>
              </w:rPr>
              <w:t>Monitoring</w:t>
            </w:r>
          </w:p>
        </w:tc>
        <w:tc>
          <w:tcPr>
            <w:tcW w:w="5228" w:type="dxa"/>
            <w:shd w:val="clear" w:color="auto" w:fill="F2F2F2" w:themeFill="background1" w:themeFillShade="F2"/>
          </w:tcPr>
          <w:p w14:paraId="5B122D8C" w14:textId="4615D877" w:rsidR="00940AA2" w:rsidRPr="00CF00BA" w:rsidRDefault="00940AA2" w:rsidP="00940AA2">
            <w:pPr>
              <w:spacing w:before="60" w:after="60" w:line="240" w:lineRule="auto"/>
              <w:jc w:val="center"/>
              <w:rPr>
                <w:rFonts w:eastAsia="Times New Roman" w:cs="Arial"/>
                <w:b/>
                <w:szCs w:val="24"/>
                <w:lang w:eastAsia="en-GB"/>
              </w:rPr>
            </w:pPr>
            <w:r w:rsidRPr="00CF00BA">
              <w:rPr>
                <w:rFonts w:eastAsia="Times New Roman" w:cstheme="minorHAnsi"/>
                <w:b/>
                <w:szCs w:val="24"/>
                <w:lang w:eastAsia="en-GB"/>
              </w:rPr>
              <w:t>Frequency</w:t>
            </w:r>
          </w:p>
        </w:tc>
      </w:tr>
      <w:tr w:rsidR="00940AA2" w:rsidRPr="00CF00BA" w14:paraId="6767A09B" w14:textId="77777777" w:rsidTr="009AF2D1">
        <w:trPr>
          <w:trHeight w:val="140"/>
          <w:jc w:val="center"/>
        </w:trPr>
        <w:tc>
          <w:tcPr>
            <w:tcW w:w="5227" w:type="dxa"/>
            <w:gridSpan w:val="2"/>
          </w:tcPr>
          <w:p w14:paraId="6FD1960B" w14:textId="77777777" w:rsidR="00940AA2" w:rsidRPr="00CF00BA" w:rsidRDefault="00940AA2" w:rsidP="006A2910">
            <w:pPr>
              <w:autoSpaceDE w:val="0"/>
              <w:autoSpaceDN w:val="0"/>
              <w:adjustRightInd w:val="0"/>
              <w:spacing w:after="0"/>
              <w:rPr>
                <w:rFonts w:eastAsia="Times New Roman" w:cs="Arial"/>
                <w:bCs/>
                <w:iCs/>
                <w:color w:val="000000"/>
                <w:lang w:eastAsia="en-GB"/>
              </w:rPr>
            </w:pPr>
            <w:r w:rsidRPr="00CF00BA">
              <w:rPr>
                <w:rFonts w:eastAsia="Times New Roman" w:cs="Arial"/>
                <w:bCs/>
                <w:iCs/>
                <w:color w:val="000000"/>
                <w:lang w:eastAsia="en-GB"/>
              </w:rPr>
              <w:t xml:space="preserve">Remind the specialist when the patient is approaching </w:t>
            </w:r>
            <w:r w:rsidRPr="00CF00BA">
              <w:rPr>
                <w:rFonts w:eastAsia="Times New Roman" w:cs="Arial"/>
                <w:b/>
                <w:bCs/>
                <w:iCs/>
                <w:color w:val="000000"/>
                <w:lang w:eastAsia="en-GB"/>
              </w:rPr>
              <w:t>5 years of treatment</w:t>
            </w:r>
            <w:r w:rsidRPr="00CF00BA">
              <w:rPr>
                <w:rFonts w:eastAsia="Times New Roman" w:cs="Arial"/>
                <w:bCs/>
                <w:iCs/>
                <w:color w:val="000000"/>
                <w:lang w:eastAsia="en-GB"/>
              </w:rPr>
              <w:t xml:space="preserve"> (or </w:t>
            </w:r>
            <w:r w:rsidRPr="00CF00BA">
              <w:rPr>
                <w:rFonts w:eastAsia="Times New Roman" w:cs="Arial"/>
                <w:b/>
                <w:bCs/>
                <w:iCs/>
                <w:color w:val="000000"/>
                <w:lang w:eastAsia="en-GB"/>
              </w:rPr>
              <w:t>1 year</w:t>
            </w:r>
            <w:r w:rsidRPr="00CF00BA">
              <w:rPr>
                <w:rFonts w:eastAsia="Times New Roman" w:cs="Arial"/>
                <w:bCs/>
                <w:iCs/>
                <w:color w:val="000000"/>
                <w:lang w:eastAsia="en-GB"/>
              </w:rPr>
              <w:t xml:space="preserve"> in patients with additional risk factors). These patients require referral from the specialist to ophthalmology (or other commissioned service as appropriate) for annual retinopathy monitoring. See </w:t>
            </w:r>
            <w:hyperlink r:id="rId32" w:history="1">
              <w:r w:rsidRPr="00CF00BA">
                <w:rPr>
                  <w:rStyle w:val="Hyperlink"/>
                  <w:rFonts w:eastAsia="Times New Roman" w:cs="Arial"/>
                  <w:bCs/>
                  <w:iCs/>
                  <w:lang w:eastAsia="en-GB"/>
                </w:rPr>
                <w:t>RCOphth guidelines</w:t>
              </w:r>
            </w:hyperlink>
            <w:r w:rsidRPr="00CF00BA">
              <w:rPr>
                <w:rFonts w:eastAsia="Times New Roman" w:cs="Arial"/>
                <w:color w:val="000000"/>
                <w:lang w:eastAsia="en-GB"/>
              </w:rPr>
              <w:t xml:space="preserve">. </w:t>
            </w:r>
          </w:p>
          <w:p w14:paraId="5676215A" w14:textId="77777777" w:rsidR="00940AA2" w:rsidRPr="00CF00BA" w:rsidRDefault="00940AA2" w:rsidP="006A2910">
            <w:pPr>
              <w:autoSpaceDE w:val="0"/>
              <w:autoSpaceDN w:val="0"/>
              <w:adjustRightInd w:val="0"/>
              <w:spacing w:after="0"/>
              <w:rPr>
                <w:rFonts w:eastAsia="Times New Roman" w:cs="Arial"/>
                <w:color w:val="000000"/>
                <w:lang w:eastAsia="en-GB"/>
              </w:rPr>
            </w:pPr>
          </w:p>
          <w:p w14:paraId="37E7F176" w14:textId="0CEA4F31" w:rsidR="00940AA2" w:rsidRPr="00CF00BA" w:rsidRDefault="00940AA2" w:rsidP="006A2910">
            <w:pPr>
              <w:spacing w:after="0"/>
              <w:rPr>
                <w:rFonts w:cs="Arial"/>
                <w:b/>
                <w:szCs w:val="24"/>
                <w:lang w:eastAsia="en-GB"/>
              </w:rPr>
            </w:pPr>
            <w:r w:rsidRPr="00CF00BA">
              <w:rPr>
                <w:rFonts w:eastAsia="Times New Roman" w:cs="Arial"/>
                <w:color w:val="000000"/>
                <w:lang w:eastAsia="en-GB"/>
              </w:rPr>
              <w:t>Risk factors may change over time; primary care should discuss with specialist if new risk factors that are ‘high risk’ are identified before the five-year mark.</w:t>
            </w:r>
          </w:p>
        </w:tc>
        <w:tc>
          <w:tcPr>
            <w:tcW w:w="5228" w:type="dxa"/>
          </w:tcPr>
          <w:p w14:paraId="13ECC7F2" w14:textId="77777777" w:rsidR="00940AA2" w:rsidRPr="00CF00BA" w:rsidRDefault="00940AA2" w:rsidP="006A2910">
            <w:pPr>
              <w:pStyle w:val="ListParagraph"/>
              <w:numPr>
                <w:ilvl w:val="0"/>
                <w:numId w:val="17"/>
              </w:numPr>
              <w:autoSpaceDE w:val="0"/>
              <w:autoSpaceDN w:val="0"/>
              <w:adjustRightInd w:val="0"/>
              <w:spacing w:before="60" w:after="0"/>
              <w:contextualSpacing/>
              <w:rPr>
                <w:rFonts w:eastAsia="Times New Roman" w:cs="Arial"/>
                <w:color w:val="000000"/>
                <w:lang w:eastAsia="en-GB"/>
              </w:rPr>
            </w:pPr>
            <w:r w:rsidRPr="00CF00BA">
              <w:rPr>
                <w:rFonts w:eastAsia="Times New Roman" w:cs="Arial"/>
                <w:iCs/>
                <w:color w:val="000000"/>
                <w:lang w:eastAsia="en-GB"/>
              </w:rPr>
              <w:t xml:space="preserve">Annually after 5 years of treatment, </w:t>
            </w:r>
            <w:r w:rsidRPr="00CF00BA">
              <w:rPr>
                <w:rFonts w:eastAsia="Times New Roman" w:cs="Arial"/>
                <w:b/>
                <w:iCs/>
                <w:color w:val="000000"/>
                <w:lang w:eastAsia="en-GB"/>
              </w:rPr>
              <w:t xml:space="preserve">or </w:t>
            </w:r>
          </w:p>
          <w:p w14:paraId="7DBF4AC7" w14:textId="77777777" w:rsidR="00940AA2" w:rsidRPr="00CF00BA" w:rsidRDefault="00940AA2" w:rsidP="006A2910">
            <w:pPr>
              <w:pStyle w:val="ListParagraph"/>
              <w:numPr>
                <w:ilvl w:val="0"/>
                <w:numId w:val="17"/>
              </w:numPr>
              <w:autoSpaceDE w:val="0"/>
              <w:autoSpaceDN w:val="0"/>
              <w:adjustRightInd w:val="0"/>
              <w:spacing w:before="60" w:after="0"/>
              <w:contextualSpacing/>
              <w:rPr>
                <w:rFonts w:eastAsia="Times New Roman" w:cs="Arial"/>
                <w:color w:val="000000"/>
                <w:lang w:eastAsia="en-GB"/>
              </w:rPr>
            </w:pPr>
            <w:r w:rsidRPr="00CF00BA">
              <w:rPr>
                <w:rFonts w:eastAsia="Times New Roman" w:cs="Arial"/>
                <w:iCs/>
                <w:color w:val="000000"/>
                <w:lang w:eastAsia="en-GB"/>
              </w:rPr>
              <w:t xml:space="preserve">After 1 year if additional risk factors are present. </w:t>
            </w:r>
            <w:r w:rsidRPr="00CF00BA">
              <w:rPr>
                <w:rFonts w:eastAsia="Times New Roman" w:cs="Arial"/>
                <w:color w:val="000000"/>
                <w:lang w:eastAsia="en-GB"/>
              </w:rPr>
              <w:t xml:space="preserve">Risk factors include: </w:t>
            </w:r>
          </w:p>
          <w:p w14:paraId="2EA4B984" w14:textId="77777777" w:rsidR="00940AA2" w:rsidRPr="00CF00BA" w:rsidRDefault="00940AA2" w:rsidP="006A2910">
            <w:pPr>
              <w:pStyle w:val="ListParagraph"/>
              <w:numPr>
                <w:ilvl w:val="0"/>
                <w:numId w:val="18"/>
              </w:numPr>
              <w:autoSpaceDE w:val="0"/>
              <w:autoSpaceDN w:val="0"/>
              <w:adjustRightInd w:val="0"/>
              <w:spacing w:after="0"/>
              <w:contextualSpacing/>
              <w:rPr>
                <w:rFonts w:eastAsia="Times New Roman" w:cs="Arial"/>
                <w:color w:val="000000"/>
                <w:lang w:eastAsia="en-GB"/>
              </w:rPr>
            </w:pPr>
            <w:r w:rsidRPr="00CF00BA">
              <w:rPr>
                <w:rFonts w:eastAsia="Times New Roman" w:cs="Arial"/>
                <w:color w:val="000000"/>
                <w:lang w:eastAsia="en-GB"/>
              </w:rPr>
              <w:t>concomitant tamoxifen use</w:t>
            </w:r>
          </w:p>
          <w:p w14:paraId="006DD54C" w14:textId="77777777" w:rsidR="00940AA2" w:rsidRPr="00CF00BA" w:rsidRDefault="00940AA2" w:rsidP="006A2910">
            <w:pPr>
              <w:pStyle w:val="ListParagraph"/>
              <w:numPr>
                <w:ilvl w:val="0"/>
                <w:numId w:val="18"/>
              </w:numPr>
              <w:autoSpaceDE w:val="0"/>
              <w:autoSpaceDN w:val="0"/>
              <w:adjustRightInd w:val="0"/>
              <w:spacing w:after="0"/>
              <w:contextualSpacing/>
              <w:rPr>
                <w:rFonts w:eastAsia="Times New Roman" w:cs="Arial"/>
                <w:b/>
                <w:szCs w:val="24"/>
                <w:lang w:eastAsia="en-GB"/>
              </w:rPr>
            </w:pPr>
            <w:r w:rsidRPr="00CF00BA">
              <w:rPr>
                <w:rFonts w:eastAsia="Times New Roman" w:cs="Arial"/>
                <w:color w:val="000000"/>
                <w:lang w:eastAsia="en-GB"/>
              </w:rPr>
              <w:t>impaired renal function (eGFR &lt;60mL/min/1.73m</w:t>
            </w:r>
            <w:r w:rsidRPr="00CF00BA">
              <w:rPr>
                <w:rFonts w:eastAsia="Times New Roman" w:cs="Arial"/>
                <w:color w:val="000000"/>
                <w:vertAlign w:val="superscript"/>
                <w:lang w:eastAsia="en-GB"/>
              </w:rPr>
              <w:t>2</w:t>
            </w:r>
            <w:r w:rsidRPr="00CF00BA">
              <w:rPr>
                <w:rFonts w:eastAsia="Times New Roman" w:cs="Arial"/>
                <w:color w:val="000000"/>
                <w:lang w:eastAsia="en-GB"/>
              </w:rPr>
              <w:t>)</w:t>
            </w:r>
          </w:p>
          <w:p w14:paraId="5CBD5B62" w14:textId="109C7E02" w:rsidR="00940AA2" w:rsidRPr="00CF00BA" w:rsidRDefault="00940AA2" w:rsidP="006A2910">
            <w:pPr>
              <w:pStyle w:val="ListParagraph"/>
              <w:spacing w:after="0"/>
              <w:ind w:left="360"/>
              <w:rPr>
                <w:rFonts w:cs="Arial"/>
                <w:b/>
                <w:szCs w:val="24"/>
                <w:lang w:eastAsia="en-GB"/>
              </w:rPr>
            </w:pPr>
            <w:r w:rsidRPr="00CF00BA">
              <w:rPr>
                <w:rFonts w:eastAsia="Times New Roman" w:cs="Arial"/>
                <w:color w:val="000000"/>
                <w:lang w:eastAsia="en-GB"/>
              </w:rPr>
              <w:t>hydroxychloroquine dose (&gt;5mg/kg/day)</w:t>
            </w:r>
          </w:p>
        </w:tc>
      </w:tr>
      <w:tr w:rsidR="00940AA2" w:rsidRPr="00CF00BA" w14:paraId="0F38AB0A" w14:textId="77777777" w:rsidTr="009AF2D1">
        <w:trPr>
          <w:trHeight w:val="140"/>
          <w:jc w:val="center"/>
        </w:trPr>
        <w:tc>
          <w:tcPr>
            <w:tcW w:w="5227" w:type="dxa"/>
            <w:gridSpan w:val="2"/>
          </w:tcPr>
          <w:p w14:paraId="4EB4F898" w14:textId="4F682DD0" w:rsidR="00940AA2" w:rsidRPr="00CF00BA" w:rsidRDefault="00940AA2" w:rsidP="006A2910">
            <w:pPr>
              <w:pStyle w:val="ListParagraph"/>
              <w:numPr>
                <w:ilvl w:val="0"/>
                <w:numId w:val="19"/>
              </w:numPr>
              <w:autoSpaceDE w:val="0"/>
              <w:autoSpaceDN w:val="0"/>
              <w:adjustRightInd w:val="0"/>
              <w:spacing w:after="0"/>
              <w:ind w:left="360"/>
              <w:contextualSpacing/>
              <w:rPr>
                <w:rFonts w:eastAsia="Times New Roman" w:cs="Arial"/>
                <w:bCs/>
                <w:iCs/>
                <w:color w:val="000000"/>
                <w:lang w:eastAsia="en-GB"/>
              </w:rPr>
            </w:pPr>
            <w:r w:rsidRPr="00CF00BA">
              <w:rPr>
                <w:rFonts w:eastAsia="Times New Roman" w:cs="Arial"/>
                <w:bCs/>
                <w:iCs/>
                <w:color w:val="000000"/>
                <w:lang w:eastAsia="en-GB"/>
              </w:rPr>
              <w:t>Patients aged 70-79 years old could be eligible for the shingles vaccine (</w:t>
            </w:r>
            <w:r w:rsidR="00CB1C6B" w:rsidRPr="00CF00BA">
              <w:rPr>
                <w:rFonts w:eastAsia="Times New Roman" w:cs="Arial"/>
                <w:bCs/>
                <w:iCs/>
                <w:color w:val="000000"/>
                <w:lang w:eastAsia="en-GB"/>
              </w:rPr>
              <w:t xml:space="preserve">herpes </w:t>
            </w:r>
            <w:r w:rsidRPr="00CF00BA">
              <w:rPr>
                <w:rFonts w:eastAsia="Times New Roman" w:cs="Arial"/>
                <w:bCs/>
                <w:iCs/>
                <w:color w:val="000000"/>
                <w:lang w:eastAsia="en-GB"/>
              </w:rPr>
              <w:t xml:space="preserve">zoster). For patients who are immunosuppressed (e.g. those taking prednisolone at a dose of 10 mg or more for more than 4 weeks in the prior 3 months, or 20 mg or more for more than 10 days in the prior month) a non-live vaccine should be used. Specialist input may be required. If patient is taking additional DMARDs, check advice for all drugs. For more information see </w:t>
            </w:r>
            <w:hyperlink r:id="rId33" w:history="1">
              <w:r w:rsidRPr="00CF00BA">
                <w:rPr>
                  <w:rStyle w:val="Hyperlink"/>
                  <w:rFonts w:cs="Arial"/>
                </w:rPr>
                <w:t>The Green Book, Chapter 28a</w:t>
              </w:r>
            </w:hyperlink>
            <w:r w:rsidRPr="00CF00BA">
              <w:rPr>
                <w:rFonts w:eastAsia="Times New Roman" w:cs="Arial"/>
                <w:bCs/>
                <w:iCs/>
                <w:color w:val="000000"/>
                <w:lang w:eastAsia="en-GB"/>
              </w:rPr>
              <w:t xml:space="preserve">. </w:t>
            </w:r>
          </w:p>
          <w:p w14:paraId="248635F0" w14:textId="77777777" w:rsidR="00940AA2" w:rsidRPr="00CF00BA" w:rsidRDefault="00940AA2" w:rsidP="006A2910">
            <w:pPr>
              <w:pStyle w:val="ListParagraph"/>
              <w:numPr>
                <w:ilvl w:val="0"/>
                <w:numId w:val="19"/>
              </w:numPr>
              <w:autoSpaceDE w:val="0"/>
              <w:autoSpaceDN w:val="0"/>
              <w:adjustRightInd w:val="0"/>
              <w:spacing w:after="0"/>
              <w:ind w:left="360"/>
              <w:contextualSpacing/>
              <w:rPr>
                <w:rFonts w:eastAsia="Times New Roman" w:cs="Arial"/>
                <w:bCs/>
                <w:iCs/>
                <w:color w:val="000000"/>
                <w:lang w:eastAsia="en-GB"/>
              </w:rPr>
            </w:pPr>
            <w:r w:rsidRPr="00CF00BA">
              <w:rPr>
                <w:rFonts w:eastAsia="Times New Roman" w:cs="Arial"/>
                <w:b/>
                <w:bCs/>
                <w:iCs/>
                <w:color w:val="000000"/>
                <w:lang w:eastAsia="en-GB"/>
              </w:rPr>
              <w:lastRenderedPageBreak/>
              <w:t xml:space="preserve">Annual </w:t>
            </w:r>
            <w:r w:rsidRPr="00CF00BA">
              <w:rPr>
                <w:rFonts w:eastAsia="Times New Roman" w:cs="Arial"/>
                <w:bCs/>
                <w:iCs/>
                <w:color w:val="000000"/>
                <w:lang w:eastAsia="en-GB"/>
              </w:rPr>
              <w:t>influenza (</w:t>
            </w:r>
            <w:hyperlink r:id="rId34" w:history="1">
              <w:r w:rsidRPr="00CF00BA">
                <w:rPr>
                  <w:rStyle w:val="Hyperlink"/>
                  <w:rFonts w:eastAsia="Times New Roman" w:cs="Arial"/>
                  <w:bCs/>
                  <w:iCs/>
                  <w:lang w:eastAsia="en-GB"/>
                </w:rPr>
                <w:t>The Green Book, Chapter 19</w:t>
              </w:r>
            </w:hyperlink>
            <w:r w:rsidRPr="00CF00BA">
              <w:rPr>
                <w:rFonts w:eastAsia="Times New Roman" w:cs="Arial"/>
                <w:bCs/>
                <w:iCs/>
                <w:color w:val="000000"/>
                <w:lang w:eastAsia="en-GB"/>
              </w:rPr>
              <w:t xml:space="preserve">) vaccinations are recommended. </w:t>
            </w:r>
          </w:p>
          <w:p w14:paraId="072D2682" w14:textId="19AD32E5" w:rsidR="00940AA2" w:rsidRPr="00CF00BA" w:rsidRDefault="00940AA2" w:rsidP="006A2910">
            <w:pPr>
              <w:pStyle w:val="ListParagraph"/>
              <w:numPr>
                <w:ilvl w:val="0"/>
                <w:numId w:val="19"/>
              </w:numPr>
              <w:autoSpaceDE w:val="0"/>
              <w:autoSpaceDN w:val="0"/>
              <w:adjustRightInd w:val="0"/>
              <w:spacing w:after="0"/>
              <w:ind w:left="360"/>
              <w:contextualSpacing/>
              <w:rPr>
                <w:rFonts w:eastAsia="Times New Roman" w:cs="Arial"/>
                <w:bCs/>
                <w:iCs/>
                <w:color w:val="000000"/>
                <w:lang w:eastAsia="en-GB"/>
              </w:rPr>
            </w:pPr>
            <w:r w:rsidRPr="00CF00BA">
              <w:rPr>
                <w:rFonts w:cs="Arial"/>
              </w:rPr>
              <w:t xml:space="preserve">COVID-19 vaccination is safe and recommended (see </w:t>
            </w:r>
            <w:hyperlink r:id="rId35" w:history="1">
              <w:r w:rsidRPr="00CF00BA">
                <w:rPr>
                  <w:rStyle w:val="Hyperlink"/>
                  <w:rFonts w:cs="Arial"/>
                </w:rPr>
                <w:t>The Green Book, Chapter 14a</w:t>
              </w:r>
            </w:hyperlink>
            <w:r w:rsidRPr="00CF00BA">
              <w:rPr>
                <w:rFonts w:cs="Arial"/>
              </w:rPr>
              <w:t>).</w:t>
            </w:r>
          </w:p>
        </w:tc>
        <w:tc>
          <w:tcPr>
            <w:tcW w:w="5228" w:type="dxa"/>
          </w:tcPr>
          <w:p w14:paraId="77F83F3B" w14:textId="77777777" w:rsidR="00940AA2" w:rsidRPr="00CF00BA" w:rsidRDefault="00940AA2" w:rsidP="006A2910">
            <w:pPr>
              <w:pStyle w:val="ListParagraph"/>
              <w:numPr>
                <w:ilvl w:val="0"/>
                <w:numId w:val="20"/>
              </w:numPr>
              <w:spacing w:before="60" w:after="0"/>
              <w:contextualSpacing/>
              <w:rPr>
                <w:rFonts w:eastAsia="Times New Roman" w:cs="Arial"/>
                <w:iCs/>
                <w:color w:val="000000"/>
                <w:lang w:eastAsia="en-GB"/>
              </w:rPr>
            </w:pPr>
            <w:r w:rsidRPr="00CF00BA">
              <w:rPr>
                <w:rFonts w:eastAsia="Times New Roman" w:cs="Arial"/>
                <w:iCs/>
                <w:color w:val="000000"/>
                <w:lang w:eastAsia="en-GB"/>
              </w:rPr>
              <w:lastRenderedPageBreak/>
              <w:t>Shingles vaccination: one-off.</w:t>
            </w:r>
          </w:p>
          <w:p w14:paraId="099EBD7D" w14:textId="77777777" w:rsidR="00940AA2" w:rsidRPr="00CF00BA" w:rsidRDefault="00940AA2" w:rsidP="006A2910">
            <w:pPr>
              <w:pStyle w:val="ListParagraph"/>
              <w:numPr>
                <w:ilvl w:val="0"/>
                <w:numId w:val="20"/>
              </w:numPr>
              <w:spacing w:before="60" w:after="0"/>
              <w:contextualSpacing/>
              <w:rPr>
                <w:rFonts w:eastAsia="Times New Roman" w:cs="Arial"/>
                <w:b/>
                <w:szCs w:val="24"/>
                <w:lang w:eastAsia="en-GB"/>
              </w:rPr>
            </w:pPr>
            <w:r w:rsidRPr="00CF00BA">
              <w:rPr>
                <w:rFonts w:eastAsia="Times New Roman" w:cs="Arial"/>
                <w:iCs/>
                <w:color w:val="000000"/>
                <w:lang w:eastAsia="en-GB"/>
              </w:rPr>
              <w:t xml:space="preserve">Influenza vaccination: annual. </w:t>
            </w:r>
            <w:r w:rsidRPr="00CF00BA">
              <w:rPr>
                <w:rFonts w:eastAsia="Times New Roman" w:cs="Arial"/>
                <w:bCs/>
                <w:iCs/>
                <w:color w:val="000000"/>
                <w:lang w:eastAsia="en-GB"/>
              </w:rPr>
              <w:t>It is advisable to add the patient to the influenza vaccine list.</w:t>
            </w:r>
          </w:p>
          <w:p w14:paraId="6A2B03AB" w14:textId="29D80C0D" w:rsidR="00940AA2" w:rsidRPr="00CF00BA" w:rsidRDefault="00940AA2" w:rsidP="006A2910">
            <w:pPr>
              <w:pStyle w:val="ListParagraph"/>
              <w:numPr>
                <w:ilvl w:val="0"/>
                <w:numId w:val="20"/>
              </w:numPr>
              <w:spacing w:after="0"/>
              <w:rPr>
                <w:rFonts w:cs="Arial"/>
                <w:lang w:eastAsia="en-GB"/>
              </w:rPr>
            </w:pPr>
            <w:r w:rsidRPr="00CF00BA">
              <w:rPr>
                <w:rFonts w:eastAsia="Times New Roman" w:cs="Arial"/>
                <w:iCs/>
                <w:color w:val="000000"/>
                <w:lang w:eastAsia="en-GB"/>
              </w:rPr>
              <w:t>COVID-19 vaccination as per national schedule.</w:t>
            </w:r>
          </w:p>
        </w:tc>
      </w:tr>
      <w:tr w:rsidR="00940AA2" w:rsidRPr="00CF00BA" w14:paraId="2C0454E3" w14:textId="77777777" w:rsidTr="009AF2D1">
        <w:trPr>
          <w:trHeight w:val="140"/>
          <w:jc w:val="center"/>
        </w:trPr>
        <w:tc>
          <w:tcPr>
            <w:tcW w:w="10455" w:type="dxa"/>
            <w:gridSpan w:val="3"/>
          </w:tcPr>
          <w:p w14:paraId="08011160" w14:textId="30BC6447" w:rsidR="00940AA2" w:rsidRPr="00CF00BA" w:rsidRDefault="00940AA2" w:rsidP="006A2910">
            <w:pPr>
              <w:spacing w:after="0"/>
              <w:rPr>
                <w:rFonts w:cs="Arial"/>
                <w:b/>
                <w:bCs/>
                <w:lang w:eastAsia="en-GB"/>
              </w:rPr>
            </w:pPr>
            <w:r w:rsidRPr="00CF00BA">
              <w:rPr>
                <w:rFonts w:cs="Arial"/>
                <w:b/>
                <w:bCs/>
                <w:lang w:eastAsia="en-GB"/>
              </w:rPr>
              <w:t>(If relevant) If monitoring results are forwarded to the specialist team, please include clear clinical information on the reason for sending, to inform action to be taken by secondary care.</w:t>
            </w:r>
          </w:p>
        </w:tc>
      </w:tr>
      <w:tr w:rsidR="00940AA2" w:rsidRPr="00CF00BA" w14:paraId="042BD065" w14:textId="77777777" w:rsidTr="009AF2D1">
        <w:trPr>
          <w:jc w:val="center"/>
        </w:trPr>
        <w:tc>
          <w:tcPr>
            <w:tcW w:w="10455" w:type="dxa"/>
            <w:gridSpan w:val="3"/>
            <w:shd w:val="clear" w:color="auto" w:fill="F2F2F2" w:themeFill="background1" w:themeFillShade="F2"/>
          </w:tcPr>
          <w:p w14:paraId="32599F9D" w14:textId="4BCAEC5E" w:rsidR="00940AA2" w:rsidRPr="00CF00BA" w:rsidRDefault="00940AA2" w:rsidP="00940AA2">
            <w:pPr>
              <w:pStyle w:val="Heading1"/>
              <w:tabs>
                <w:tab w:val="right" w:pos="10238"/>
              </w:tabs>
              <w:ind w:left="599" w:hanging="599"/>
              <w:rPr>
                <w:lang w:eastAsia="en-GB"/>
              </w:rPr>
            </w:pPr>
            <w:bookmarkStart w:id="14" w:name="Ten_ADRs_and_Management"/>
            <w:r w:rsidRPr="00CF00BA">
              <w:rPr>
                <w:lang w:eastAsia="en-GB"/>
              </w:rPr>
              <w:t>Adverse effects and other management</w:t>
            </w:r>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bookmarkEnd w:id="14"/>
          <w:p w14:paraId="334D0561" w14:textId="77777777" w:rsidR="00940AA2" w:rsidRPr="00CF00BA" w:rsidRDefault="00940AA2" w:rsidP="00940AA2">
            <w:pPr>
              <w:rPr>
                <w:rStyle w:val="Hyperlink"/>
                <w:rFonts w:eastAsia="Calibri" w:cs="Arial"/>
                <w:noProof/>
                <w:sz w:val="22"/>
                <w:lang w:eastAsia="en-GB"/>
              </w:rPr>
            </w:pPr>
            <w:r w:rsidRPr="00CF00BA">
              <w:rPr>
                <w:b/>
                <w:bCs/>
              </w:rPr>
              <w:t xml:space="preserve">Any serious adverse reactions should be reported to the MHRA via the Yellow Card scheme. Visit </w:t>
            </w:r>
            <w:hyperlink r:id="rId36" w:tooltip="http://www.mhra.gov.uk/yellowcard" w:history="1">
              <w:r w:rsidRPr="00CF00BA">
                <w:rPr>
                  <w:rStyle w:val="Hyperlink"/>
                  <w:rFonts w:eastAsia="Calibri" w:cs="Arial"/>
                  <w:noProof/>
                  <w:sz w:val="22"/>
                  <w:lang w:eastAsia="en-GB"/>
                </w:rPr>
                <w:t>www.mhra.gov.uk/yellowcard</w:t>
              </w:r>
            </w:hyperlink>
          </w:p>
          <w:p w14:paraId="6CDD62FF" w14:textId="2CD42EAF" w:rsidR="00940AA2" w:rsidRPr="00CF00BA" w:rsidRDefault="00940AA2" w:rsidP="00940AA2">
            <w:pPr>
              <w:rPr>
                <w:noProof/>
                <w:sz w:val="20"/>
                <w:szCs w:val="20"/>
                <w:lang w:eastAsia="en-GB"/>
              </w:rPr>
            </w:pPr>
            <w:r w:rsidRPr="00CF00BA">
              <w:rPr>
                <w:rStyle w:val="Hyperlink"/>
                <w:rFonts w:eastAsia="Calibri" w:cs="Arial"/>
                <w:noProof/>
                <w:color w:val="000000"/>
                <w:sz w:val="22"/>
                <w:u w:val="none"/>
                <w:lang w:eastAsia="en-GB"/>
              </w:rPr>
              <w:t>For information on incidence of ADRs see relevant summaries of product characteristics</w:t>
            </w:r>
          </w:p>
        </w:tc>
      </w:tr>
      <w:tr w:rsidR="00940AA2" w:rsidRPr="00CF00BA" w14:paraId="3C261EF2" w14:textId="77777777" w:rsidTr="009AF2D1">
        <w:trPr>
          <w:jc w:val="center"/>
        </w:trPr>
        <w:tc>
          <w:tcPr>
            <w:tcW w:w="5227" w:type="dxa"/>
            <w:gridSpan w:val="2"/>
            <w:shd w:val="clear" w:color="auto" w:fill="F2F2F2" w:themeFill="background1" w:themeFillShade="F2"/>
          </w:tcPr>
          <w:p w14:paraId="516C3772" w14:textId="24C8DC24" w:rsidR="00940AA2" w:rsidRPr="00CF00BA" w:rsidRDefault="00940AA2" w:rsidP="006A2910">
            <w:pPr>
              <w:spacing w:after="0"/>
              <w:jc w:val="center"/>
              <w:rPr>
                <w:rFonts w:eastAsia="Times New Roman" w:cs="Arial"/>
                <w:b/>
                <w:lang w:eastAsia="en-GB"/>
              </w:rPr>
            </w:pPr>
            <w:r w:rsidRPr="00CF00BA">
              <w:rPr>
                <w:rFonts w:eastAsia="Times New Roman" w:cs="Arial"/>
                <w:b/>
                <w:lang w:eastAsia="en-GB"/>
              </w:rPr>
              <w:t>Result</w:t>
            </w:r>
          </w:p>
        </w:tc>
        <w:tc>
          <w:tcPr>
            <w:tcW w:w="5228" w:type="dxa"/>
            <w:shd w:val="clear" w:color="auto" w:fill="F2F2F2" w:themeFill="background1" w:themeFillShade="F2"/>
          </w:tcPr>
          <w:p w14:paraId="0CA8A09B" w14:textId="4301643C" w:rsidR="00940AA2" w:rsidRPr="00CF00BA" w:rsidRDefault="00940AA2" w:rsidP="006A2910">
            <w:pPr>
              <w:spacing w:after="0"/>
              <w:jc w:val="center"/>
              <w:rPr>
                <w:rFonts w:eastAsia="Times New Roman" w:cs="Arial"/>
                <w:b/>
                <w:lang w:eastAsia="en-GB"/>
              </w:rPr>
            </w:pPr>
            <w:r w:rsidRPr="00CF00BA">
              <w:rPr>
                <w:rFonts w:eastAsia="Times New Roman" w:cs="Arial"/>
                <w:b/>
                <w:lang w:eastAsia="en-GB"/>
              </w:rPr>
              <w:t>Action for primary care</w:t>
            </w:r>
          </w:p>
        </w:tc>
      </w:tr>
      <w:tr w:rsidR="00940AA2" w:rsidRPr="00CF00BA" w14:paraId="6C44DC1D" w14:textId="77777777" w:rsidTr="009AF2D1">
        <w:trPr>
          <w:jc w:val="center"/>
        </w:trPr>
        <w:tc>
          <w:tcPr>
            <w:tcW w:w="10455" w:type="dxa"/>
            <w:gridSpan w:val="3"/>
          </w:tcPr>
          <w:p w14:paraId="00D7A796" w14:textId="77777777" w:rsidR="00940AA2" w:rsidRPr="00CF00BA" w:rsidRDefault="00940AA2" w:rsidP="006A2910">
            <w:pPr>
              <w:spacing w:after="0"/>
              <w:jc w:val="center"/>
              <w:rPr>
                <w:rFonts w:cs="Arial"/>
                <w:b/>
                <w:bCs/>
                <w:lang w:eastAsia="en-GB"/>
              </w:rPr>
            </w:pPr>
            <w:r w:rsidRPr="00CF00BA">
              <w:rPr>
                <w:rFonts w:cs="Arial"/>
                <w:b/>
                <w:bCs/>
                <w:lang w:eastAsia="en-GB"/>
              </w:rPr>
              <w:t>As well as responding to absolute values in laboratory tests, a rapid change or a consistent trend in any value should prompt caution and extra vigilance</w:t>
            </w:r>
          </w:p>
        </w:tc>
      </w:tr>
      <w:tr w:rsidR="00940AA2" w:rsidRPr="00CF00BA" w14:paraId="1FA82767" w14:textId="77777777" w:rsidTr="009AF2D1">
        <w:trPr>
          <w:trHeight w:val="78"/>
          <w:jc w:val="center"/>
        </w:trPr>
        <w:tc>
          <w:tcPr>
            <w:tcW w:w="5227" w:type="dxa"/>
            <w:gridSpan w:val="2"/>
          </w:tcPr>
          <w:p w14:paraId="02EB5D0E" w14:textId="41C845A5" w:rsidR="00940AA2" w:rsidRPr="00CF00BA" w:rsidRDefault="00940AA2" w:rsidP="006A2910">
            <w:pPr>
              <w:spacing w:after="0"/>
              <w:rPr>
                <w:rFonts w:cs="Arial"/>
                <w:b/>
                <w:bCs/>
                <w:lang w:eastAsia="en-GB"/>
              </w:rPr>
            </w:pPr>
            <w:r w:rsidRPr="00CF00BA">
              <w:rPr>
                <w:rFonts w:eastAsia="Times New Roman" w:cs="Arial"/>
                <w:lang w:eastAsia="en-GB"/>
              </w:rPr>
              <w:t>Retinopathy monitoring: possible or definite retinal toxicity</w:t>
            </w:r>
          </w:p>
        </w:tc>
        <w:tc>
          <w:tcPr>
            <w:tcW w:w="5228" w:type="dxa"/>
          </w:tcPr>
          <w:p w14:paraId="3B24ADC6" w14:textId="77777777" w:rsidR="00940AA2" w:rsidRPr="00CF00BA" w:rsidRDefault="00940AA2" w:rsidP="006A2910">
            <w:pPr>
              <w:pStyle w:val="ListParagraph"/>
              <w:numPr>
                <w:ilvl w:val="0"/>
                <w:numId w:val="13"/>
              </w:numPr>
              <w:spacing w:after="0"/>
              <w:rPr>
                <w:rFonts w:eastAsia="Times New Roman" w:cs="Arial"/>
                <w:lang w:eastAsia="en-GB"/>
              </w:rPr>
            </w:pPr>
            <w:r w:rsidRPr="00CF00BA">
              <w:rPr>
                <w:rFonts w:eastAsia="Times New Roman" w:cs="Arial"/>
                <w:b/>
                <w:lang w:eastAsia="en-GB"/>
              </w:rPr>
              <w:t xml:space="preserve">Possible retinopathy: </w:t>
            </w:r>
            <w:r w:rsidRPr="00CF00BA">
              <w:rPr>
                <w:rFonts w:eastAsia="Times New Roman" w:cs="Arial"/>
                <w:lang w:eastAsia="en-GB"/>
              </w:rPr>
              <w:t xml:space="preserve">Consider whether withholding is in the best interests of the patient (See </w:t>
            </w:r>
            <w:hyperlink r:id="rId37" w:history="1">
              <w:r w:rsidRPr="00CF00BA">
                <w:rPr>
                  <w:rStyle w:val="Hyperlink"/>
                  <w:rFonts w:eastAsia="Times New Roman" w:cs="Arial"/>
                  <w:lang w:eastAsia="en-GB"/>
                </w:rPr>
                <w:t>RCOphth guidelines</w:t>
              </w:r>
            </w:hyperlink>
            <w:r w:rsidRPr="00CF00BA">
              <w:rPr>
                <w:rFonts w:eastAsia="Times New Roman" w:cs="Arial"/>
                <w:lang w:eastAsia="en-GB"/>
              </w:rPr>
              <w:t xml:space="preserve"> for recommendations on managing possible retinopathy), specialist to be informed and to determine follow-up plan. </w:t>
            </w:r>
          </w:p>
          <w:p w14:paraId="6897B92F" w14:textId="092B4ED0" w:rsidR="00940AA2" w:rsidRPr="00CF00BA" w:rsidRDefault="00940AA2" w:rsidP="006A2910">
            <w:pPr>
              <w:spacing w:after="0"/>
              <w:rPr>
                <w:rFonts w:eastAsia="Times New Roman" w:cs="Arial"/>
                <w:b/>
                <w:lang w:eastAsia="en-GB"/>
              </w:rPr>
            </w:pPr>
            <w:r w:rsidRPr="00CF00BA">
              <w:rPr>
                <w:rFonts w:eastAsia="Times New Roman" w:cs="Arial"/>
                <w:b/>
                <w:bCs/>
                <w:lang w:eastAsia="en-GB"/>
              </w:rPr>
              <w:t>Definite retinopathy:</w:t>
            </w:r>
            <w:r w:rsidRPr="00CF00BA">
              <w:rPr>
                <w:rFonts w:eastAsia="Times New Roman" w:cs="Arial"/>
                <w:bCs/>
                <w:lang w:eastAsia="en-GB"/>
              </w:rPr>
              <w:t xml:space="preserve"> primary care to ensure </w:t>
            </w:r>
            <w:r w:rsidRPr="00CF00BA">
              <w:rPr>
                <w:rFonts w:eastAsia="Times New Roman" w:cs="Arial"/>
                <w:b/>
                <w:bCs/>
                <w:lang w:eastAsia="en-GB"/>
              </w:rPr>
              <w:t>withheld</w:t>
            </w:r>
            <w:r w:rsidRPr="00CF00BA">
              <w:rPr>
                <w:rFonts w:eastAsia="Times New Roman" w:cs="Arial"/>
                <w:bCs/>
                <w:lang w:eastAsia="en-GB"/>
              </w:rPr>
              <w:t xml:space="preserve"> pending urgent discussion between patient and specialist.</w:t>
            </w:r>
          </w:p>
        </w:tc>
      </w:tr>
      <w:tr w:rsidR="00940AA2" w:rsidRPr="00CF00BA" w14:paraId="66089C4A" w14:textId="77777777" w:rsidTr="009AF2D1">
        <w:trPr>
          <w:trHeight w:val="78"/>
          <w:jc w:val="center"/>
        </w:trPr>
        <w:tc>
          <w:tcPr>
            <w:tcW w:w="5227" w:type="dxa"/>
            <w:gridSpan w:val="2"/>
          </w:tcPr>
          <w:p w14:paraId="786F5C7A" w14:textId="5D7B38C8" w:rsidR="00940AA2" w:rsidRPr="00CF00BA" w:rsidRDefault="00940AA2" w:rsidP="006A2910">
            <w:pPr>
              <w:spacing w:after="0"/>
              <w:rPr>
                <w:rFonts w:eastAsia="Times New Roman" w:cs="Arial"/>
                <w:b/>
                <w:lang w:eastAsia="en-GB"/>
              </w:rPr>
            </w:pPr>
            <w:r w:rsidRPr="00CF00BA">
              <w:rPr>
                <w:rFonts w:eastAsia="Times New Roman" w:cs="Arial"/>
                <w:lang w:eastAsia="en-GB"/>
              </w:rPr>
              <w:t>Vision disturbances including blurred vision, changes in visual acuity or abnormal colour vision</w:t>
            </w:r>
          </w:p>
        </w:tc>
        <w:tc>
          <w:tcPr>
            <w:tcW w:w="5228" w:type="dxa"/>
          </w:tcPr>
          <w:p w14:paraId="469F3D89" w14:textId="5B3E4BD6" w:rsidR="00940AA2" w:rsidRPr="00CF00BA" w:rsidRDefault="00940AA2" w:rsidP="006A2910">
            <w:pPr>
              <w:spacing w:after="0"/>
              <w:rPr>
                <w:rFonts w:eastAsia="Times New Roman" w:cs="Arial"/>
                <w:b/>
                <w:lang w:eastAsia="en-GB"/>
              </w:rPr>
            </w:pPr>
            <w:r w:rsidRPr="00CF00BA">
              <w:rPr>
                <w:rFonts w:eastAsia="Times New Roman" w:cs="Arial"/>
                <w:lang w:eastAsia="en-GB"/>
              </w:rPr>
              <w:t>Refer to optometrist/ ophthalmologist; discuss with specialist team</w:t>
            </w:r>
          </w:p>
        </w:tc>
      </w:tr>
      <w:tr w:rsidR="00940AA2" w:rsidRPr="00CF00BA" w14:paraId="602C2B8E" w14:textId="77777777" w:rsidTr="009AF2D1">
        <w:trPr>
          <w:trHeight w:val="78"/>
          <w:jc w:val="center"/>
        </w:trPr>
        <w:tc>
          <w:tcPr>
            <w:tcW w:w="5227" w:type="dxa"/>
            <w:gridSpan w:val="2"/>
          </w:tcPr>
          <w:p w14:paraId="760699F1" w14:textId="7FF04241" w:rsidR="00940AA2" w:rsidRPr="00CF00BA" w:rsidRDefault="00940AA2" w:rsidP="006A2910">
            <w:pPr>
              <w:spacing w:after="0"/>
              <w:rPr>
                <w:rFonts w:eastAsia="Times New Roman" w:cs="Arial"/>
                <w:b/>
                <w:lang w:eastAsia="en-GB"/>
              </w:rPr>
            </w:pPr>
            <w:r w:rsidRPr="00CF00BA">
              <w:rPr>
                <w:rFonts w:eastAsia="Times New Roman" w:cs="Arial"/>
                <w:lang w:eastAsia="en-GB"/>
              </w:rPr>
              <w:t>Symptoms or signs of cardiomyopathy e.g. breathlessness, swelling in the abdomen and ankles, palpitations, cardiac conduction disorders and ECG changes.</w:t>
            </w:r>
          </w:p>
        </w:tc>
        <w:tc>
          <w:tcPr>
            <w:tcW w:w="5228" w:type="dxa"/>
          </w:tcPr>
          <w:p w14:paraId="3F2ABEEF" w14:textId="77777777" w:rsidR="00940AA2" w:rsidRPr="00CF00BA" w:rsidRDefault="00940AA2" w:rsidP="006A2910">
            <w:pPr>
              <w:spacing w:after="0"/>
              <w:rPr>
                <w:rFonts w:eastAsia="Times New Roman" w:cs="Arial"/>
                <w:lang w:eastAsia="en-GB"/>
              </w:rPr>
            </w:pPr>
            <w:r w:rsidRPr="00CF00BA">
              <w:rPr>
                <w:rFonts w:eastAsia="Times New Roman" w:cs="Arial"/>
                <w:lang w:eastAsia="en-GB"/>
              </w:rPr>
              <w:t>Review for reversible causes.</w:t>
            </w:r>
          </w:p>
          <w:p w14:paraId="7360B5D2" w14:textId="65EBB276" w:rsidR="00940AA2" w:rsidRPr="00CF00BA" w:rsidRDefault="00940AA2" w:rsidP="006A2910">
            <w:pPr>
              <w:spacing w:after="0"/>
              <w:rPr>
                <w:rFonts w:eastAsia="Times New Roman" w:cs="Arial"/>
                <w:b/>
                <w:lang w:eastAsia="en-GB"/>
              </w:rPr>
            </w:pPr>
            <w:r w:rsidRPr="00CF00BA">
              <w:rPr>
                <w:rFonts w:eastAsia="Times New Roman" w:cs="Arial"/>
                <w:lang w:eastAsia="en-GB"/>
              </w:rPr>
              <w:t>Discuss with specialist team urgently and consider withholding. If cardiomyopathy occurs due to hydroxychloroquine treatment, hydroxychloroquine must be withheld.</w:t>
            </w:r>
          </w:p>
        </w:tc>
      </w:tr>
      <w:tr w:rsidR="00940AA2" w:rsidRPr="00CF00BA" w14:paraId="3ADBA703" w14:textId="77777777" w:rsidTr="009AF2D1">
        <w:trPr>
          <w:trHeight w:val="78"/>
          <w:jc w:val="center"/>
        </w:trPr>
        <w:tc>
          <w:tcPr>
            <w:tcW w:w="5227" w:type="dxa"/>
            <w:gridSpan w:val="2"/>
          </w:tcPr>
          <w:p w14:paraId="54080CBD" w14:textId="1E2A3854" w:rsidR="00940AA2" w:rsidRPr="00CF00BA" w:rsidRDefault="00940AA2" w:rsidP="006A2910">
            <w:pPr>
              <w:spacing w:after="0"/>
              <w:rPr>
                <w:rFonts w:eastAsia="Times New Roman" w:cs="Arial"/>
                <w:b/>
                <w:lang w:eastAsia="en-GB"/>
              </w:rPr>
            </w:pPr>
            <w:r w:rsidRPr="00CF00BA">
              <w:rPr>
                <w:rFonts w:eastAsia="Times New Roman" w:cs="Arial"/>
                <w:lang w:eastAsia="en-GB"/>
              </w:rPr>
              <w:t>Headache, gastrointestinal disturbances e.g. abdominal pain, nausea, diarrhoea, vomiting</w:t>
            </w:r>
          </w:p>
        </w:tc>
        <w:tc>
          <w:tcPr>
            <w:tcW w:w="5228" w:type="dxa"/>
          </w:tcPr>
          <w:p w14:paraId="198FC094" w14:textId="54BFB1BA" w:rsidR="00940AA2" w:rsidRPr="00CF00BA" w:rsidRDefault="00940AA2" w:rsidP="006A2910">
            <w:pPr>
              <w:spacing w:after="0"/>
              <w:rPr>
                <w:rFonts w:eastAsia="Times New Roman" w:cs="Arial"/>
                <w:b/>
                <w:lang w:eastAsia="en-GB"/>
              </w:rPr>
            </w:pPr>
            <w:r w:rsidRPr="00CF00BA">
              <w:rPr>
                <w:rFonts w:eastAsia="Times New Roman" w:cs="Arial"/>
                <w:lang w:eastAsia="en-GB"/>
              </w:rPr>
              <w:t>Review for reversible causes; discuss with specialist team if persistent or severe</w:t>
            </w:r>
          </w:p>
        </w:tc>
      </w:tr>
      <w:tr w:rsidR="00940AA2" w:rsidRPr="00CF00BA" w14:paraId="60C0C622" w14:textId="77777777" w:rsidTr="009AF2D1">
        <w:trPr>
          <w:trHeight w:val="78"/>
          <w:jc w:val="center"/>
        </w:trPr>
        <w:tc>
          <w:tcPr>
            <w:tcW w:w="5227" w:type="dxa"/>
            <w:gridSpan w:val="2"/>
          </w:tcPr>
          <w:p w14:paraId="26B69ADA" w14:textId="591203C9" w:rsidR="00940AA2" w:rsidRPr="00CF00BA" w:rsidRDefault="00940AA2" w:rsidP="006A2910">
            <w:pPr>
              <w:spacing w:after="0"/>
              <w:rPr>
                <w:rFonts w:eastAsia="Times New Roman" w:cs="Arial"/>
                <w:b/>
                <w:lang w:eastAsia="en-GB"/>
              </w:rPr>
            </w:pPr>
            <w:r w:rsidRPr="00CF00BA">
              <w:rPr>
                <w:rFonts w:eastAsia="Times New Roman" w:cs="Arial"/>
                <w:lang w:eastAsia="en-GB"/>
              </w:rPr>
              <w:t xml:space="preserve">Skin and subcutaneous tissue disorders e.g. pruritic erythematous macular rash occurring </w:t>
            </w:r>
            <w:r w:rsidRPr="00CF00BA">
              <w:rPr>
                <w:rFonts w:eastAsia="Times New Roman" w:cs="Arial"/>
                <w:lang w:eastAsia="en-GB"/>
              </w:rPr>
              <w:lastRenderedPageBreak/>
              <w:t xml:space="preserve">soon after treatment commenced, blue-black pigmentation of the skin, bleaching of skin &amp; hair  </w:t>
            </w:r>
          </w:p>
        </w:tc>
        <w:tc>
          <w:tcPr>
            <w:tcW w:w="5228" w:type="dxa"/>
          </w:tcPr>
          <w:p w14:paraId="17A2EF3D" w14:textId="23282058" w:rsidR="00940AA2" w:rsidRPr="00CF00BA" w:rsidRDefault="00940AA2" w:rsidP="006A2910">
            <w:pPr>
              <w:spacing w:after="0"/>
              <w:rPr>
                <w:rFonts w:eastAsia="Times New Roman" w:cs="Arial"/>
                <w:b/>
                <w:lang w:eastAsia="en-GB"/>
              </w:rPr>
            </w:pPr>
            <w:r w:rsidRPr="00CF00BA">
              <w:rPr>
                <w:rFonts w:eastAsia="Times New Roman" w:cs="Arial"/>
                <w:lang w:eastAsia="en-GB"/>
              </w:rPr>
              <w:lastRenderedPageBreak/>
              <w:t>Withhold and discuss with specialist team</w:t>
            </w:r>
          </w:p>
        </w:tc>
      </w:tr>
      <w:tr w:rsidR="00940AA2" w:rsidRPr="00CF00BA" w14:paraId="121D5EF6" w14:textId="77777777" w:rsidTr="009AF2D1">
        <w:trPr>
          <w:trHeight w:val="78"/>
          <w:jc w:val="center"/>
        </w:trPr>
        <w:tc>
          <w:tcPr>
            <w:tcW w:w="5227" w:type="dxa"/>
            <w:gridSpan w:val="2"/>
          </w:tcPr>
          <w:p w14:paraId="44FF10ED" w14:textId="556DA024" w:rsidR="00940AA2" w:rsidRPr="00CF00BA" w:rsidRDefault="00940AA2" w:rsidP="006A2910">
            <w:pPr>
              <w:spacing w:after="0"/>
              <w:rPr>
                <w:rFonts w:cs="Arial"/>
                <w:b/>
                <w:lang w:eastAsia="en-GB"/>
              </w:rPr>
            </w:pPr>
            <w:r w:rsidRPr="00CF00BA">
              <w:rPr>
                <w:rFonts w:eastAsia="Times New Roman" w:cs="Arial"/>
                <w:lang w:eastAsia="en-GB"/>
              </w:rPr>
              <w:t>Skeletal muscle myopathy or neuromyopathy</w:t>
            </w:r>
          </w:p>
        </w:tc>
        <w:tc>
          <w:tcPr>
            <w:tcW w:w="5228" w:type="dxa"/>
          </w:tcPr>
          <w:p w14:paraId="08391D15" w14:textId="69A56C8D" w:rsidR="00940AA2" w:rsidRPr="00CF00BA" w:rsidRDefault="00940AA2" w:rsidP="006A2910">
            <w:pPr>
              <w:spacing w:after="0"/>
              <w:rPr>
                <w:rFonts w:cs="Arial"/>
                <w:lang w:eastAsia="en-GB"/>
              </w:rPr>
            </w:pPr>
            <w:r w:rsidRPr="00CF00BA">
              <w:rPr>
                <w:rFonts w:eastAsia="Times New Roman" w:cs="Arial"/>
                <w:lang w:eastAsia="en-GB"/>
              </w:rPr>
              <w:t>Review for reversible causes; withhold and discuss with specialist team</w:t>
            </w:r>
          </w:p>
        </w:tc>
      </w:tr>
      <w:tr w:rsidR="00940AA2" w:rsidRPr="00CF00BA" w14:paraId="17877724" w14:textId="77777777" w:rsidTr="009AF2D1">
        <w:trPr>
          <w:trHeight w:val="78"/>
          <w:jc w:val="center"/>
        </w:trPr>
        <w:tc>
          <w:tcPr>
            <w:tcW w:w="5227" w:type="dxa"/>
            <w:gridSpan w:val="2"/>
            <w:tcBorders>
              <w:bottom w:val="single" w:sz="4" w:space="0" w:color="auto"/>
            </w:tcBorders>
          </w:tcPr>
          <w:p w14:paraId="0EC60364" w14:textId="0A425782" w:rsidR="00940AA2" w:rsidRPr="00CF00BA" w:rsidRDefault="00940AA2" w:rsidP="006A2910">
            <w:pPr>
              <w:spacing w:after="0"/>
              <w:rPr>
                <w:rFonts w:eastAsia="Times New Roman" w:cs="Arial"/>
                <w:lang w:eastAsia="en-GB"/>
              </w:rPr>
            </w:pPr>
            <w:r w:rsidRPr="00CF00BA">
              <w:rPr>
                <w:rFonts w:eastAsia="Times New Roman" w:cs="Arial"/>
                <w:lang w:eastAsia="en-GB"/>
              </w:rPr>
              <w:t>Signs and symptoms of bone marrow suppression e.g. sore throat, oral ulceration, abnormal bleeding/bruising, signs of infection</w:t>
            </w:r>
          </w:p>
        </w:tc>
        <w:tc>
          <w:tcPr>
            <w:tcW w:w="5228" w:type="dxa"/>
            <w:tcBorders>
              <w:bottom w:val="single" w:sz="4" w:space="0" w:color="auto"/>
            </w:tcBorders>
          </w:tcPr>
          <w:p w14:paraId="2E23DA7D" w14:textId="77777777" w:rsidR="00940AA2" w:rsidRPr="00CF00BA" w:rsidRDefault="00940AA2" w:rsidP="006A2910">
            <w:pPr>
              <w:spacing w:after="0"/>
              <w:rPr>
                <w:rFonts w:eastAsia="Times New Roman" w:cs="Arial"/>
                <w:lang w:eastAsia="en-GB"/>
              </w:rPr>
            </w:pPr>
            <w:r w:rsidRPr="00CF00BA">
              <w:rPr>
                <w:rFonts w:eastAsia="Times New Roman" w:cs="Arial"/>
                <w:lang w:eastAsia="en-GB"/>
              </w:rPr>
              <w:t>Review for reversible causes. Be aware that the underlying condition may contribute to bone marrow suppression. Although the risk is low, if bone marrow suppression is suspected, discontinue treatment and obtain an urgent FBC and other bloods as appropriate. Discuss with specialist team.</w:t>
            </w:r>
          </w:p>
          <w:p w14:paraId="5D7CCB13" w14:textId="2AD6A527" w:rsidR="00940AA2" w:rsidRPr="00CF00BA" w:rsidRDefault="00940AA2" w:rsidP="006A2910">
            <w:pPr>
              <w:spacing w:after="0"/>
              <w:rPr>
                <w:rFonts w:eastAsia="Times New Roman" w:cs="Arial"/>
                <w:lang w:eastAsia="en-GB"/>
              </w:rPr>
            </w:pPr>
          </w:p>
        </w:tc>
      </w:tr>
      <w:tr w:rsidR="00940AA2" w:rsidRPr="00CF00BA" w14:paraId="2008B3A6" w14:textId="77777777" w:rsidTr="009AF2D1">
        <w:trPr>
          <w:jc w:val="center"/>
        </w:trPr>
        <w:tc>
          <w:tcPr>
            <w:tcW w:w="10455" w:type="dxa"/>
            <w:gridSpan w:val="3"/>
            <w:tcBorders>
              <w:bottom w:val="nil"/>
            </w:tcBorders>
            <w:shd w:val="clear" w:color="auto" w:fill="F2F2F2" w:themeFill="background1" w:themeFillShade="F2"/>
          </w:tcPr>
          <w:p w14:paraId="077ED3AB" w14:textId="17AE4BBA" w:rsidR="00940AA2" w:rsidRPr="00CF00BA" w:rsidRDefault="00940AA2" w:rsidP="00940AA2">
            <w:pPr>
              <w:pStyle w:val="Heading1"/>
              <w:tabs>
                <w:tab w:val="right" w:pos="10240"/>
              </w:tabs>
              <w:ind w:left="599" w:hanging="599"/>
              <w:rPr>
                <w:lang w:eastAsia="en-GB"/>
              </w:rPr>
            </w:pPr>
            <w:bookmarkStart w:id="15" w:name="Eleven_advice_to_patients"/>
            <w:r w:rsidRPr="00CF00BA">
              <w:rPr>
                <w:lang w:eastAsia="en-GB"/>
              </w:rPr>
              <w:t>Advice to patients and carers</w:t>
            </w:r>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bookmarkEnd w:id="15"/>
          <w:p w14:paraId="3F28EC94" w14:textId="278AF31B" w:rsidR="00940AA2" w:rsidRPr="00CF00BA" w:rsidRDefault="00940AA2" w:rsidP="00940AA2">
            <w:pPr>
              <w:rPr>
                <w:lang w:eastAsia="en-GB"/>
              </w:rPr>
            </w:pPr>
            <w:r w:rsidRPr="00CF00BA">
              <w:rPr>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940AA2" w:rsidRPr="00CF00BA" w14:paraId="2A2B1EB7" w14:textId="77777777" w:rsidTr="009AF2D1">
        <w:trPr>
          <w:jc w:val="center"/>
        </w:trPr>
        <w:tc>
          <w:tcPr>
            <w:tcW w:w="10455" w:type="dxa"/>
            <w:gridSpan w:val="3"/>
            <w:tcBorders>
              <w:top w:val="nil"/>
              <w:bottom w:val="single" w:sz="4" w:space="0" w:color="auto"/>
            </w:tcBorders>
          </w:tcPr>
          <w:p w14:paraId="450E77EC" w14:textId="77777777" w:rsidR="00940AA2" w:rsidRPr="00CF00BA" w:rsidRDefault="00940AA2" w:rsidP="006A2910">
            <w:pPr>
              <w:spacing w:before="60" w:after="60"/>
              <w:rPr>
                <w:rFonts w:cs="Arial"/>
                <w:color w:val="000000"/>
                <w:szCs w:val="24"/>
              </w:rPr>
            </w:pPr>
            <w:r w:rsidRPr="00CF00BA">
              <w:rPr>
                <w:rFonts w:cs="Arial"/>
                <w:color w:val="000000"/>
                <w:szCs w:val="24"/>
              </w:rPr>
              <w:t xml:space="preserve">The patient should be advised to report any of the following signs or symptoms to their primary care prescriber without delay:          </w:t>
            </w:r>
          </w:p>
          <w:p w14:paraId="571B7126" w14:textId="77777777" w:rsidR="00940AA2" w:rsidRPr="00CF00BA" w:rsidRDefault="00940AA2" w:rsidP="006A2910">
            <w:pPr>
              <w:pStyle w:val="Default"/>
              <w:numPr>
                <w:ilvl w:val="0"/>
                <w:numId w:val="9"/>
              </w:numPr>
              <w:spacing w:line="360" w:lineRule="atLeast"/>
            </w:pPr>
            <w:r w:rsidRPr="00CF00BA">
              <w:t>Vision disturbances including blurred vision, changes in visual acuity or abnormal colour vision.</w:t>
            </w:r>
          </w:p>
          <w:p w14:paraId="52D0A588" w14:textId="77777777" w:rsidR="00940AA2" w:rsidRPr="00CF00BA" w:rsidRDefault="00940AA2" w:rsidP="006A2910">
            <w:pPr>
              <w:pStyle w:val="Default"/>
              <w:numPr>
                <w:ilvl w:val="0"/>
                <w:numId w:val="9"/>
              </w:numPr>
              <w:spacing w:line="360" w:lineRule="atLeast"/>
            </w:pPr>
            <w:r w:rsidRPr="00CF00BA">
              <w:t>Signs or symptoms of bone marrow suppression, such as a sore throat, oral ulceration, abnormal bleeding or bruising, or other signs of infection.</w:t>
            </w:r>
          </w:p>
          <w:p w14:paraId="296B2D5F" w14:textId="77777777" w:rsidR="00940AA2" w:rsidRPr="00CF00BA" w:rsidRDefault="00940AA2" w:rsidP="006A2910">
            <w:pPr>
              <w:pStyle w:val="Default"/>
              <w:numPr>
                <w:ilvl w:val="0"/>
                <w:numId w:val="9"/>
              </w:numPr>
              <w:spacing w:line="360" w:lineRule="atLeast"/>
            </w:pPr>
            <w:r w:rsidRPr="00CF00BA">
              <w:t>Rash</w:t>
            </w:r>
          </w:p>
          <w:p w14:paraId="0FB85C9F" w14:textId="77777777" w:rsidR="00940AA2" w:rsidRPr="00CF00BA" w:rsidRDefault="00940AA2" w:rsidP="006A2910">
            <w:pPr>
              <w:pStyle w:val="Default"/>
              <w:numPr>
                <w:ilvl w:val="0"/>
                <w:numId w:val="9"/>
              </w:numPr>
              <w:spacing w:line="360" w:lineRule="atLeast"/>
            </w:pPr>
            <w:r w:rsidRPr="00CF00BA">
              <w:t>Muscle weakness</w:t>
            </w:r>
          </w:p>
          <w:p w14:paraId="2EC601B3" w14:textId="77777777" w:rsidR="00940AA2" w:rsidRPr="00CF00BA" w:rsidRDefault="00940AA2" w:rsidP="006A2910">
            <w:pPr>
              <w:pStyle w:val="Default"/>
              <w:numPr>
                <w:ilvl w:val="0"/>
                <w:numId w:val="9"/>
              </w:numPr>
              <w:spacing w:line="360" w:lineRule="atLeast"/>
            </w:pPr>
            <w:r w:rsidRPr="00CF00BA">
              <w:t>Symptoms of hypoglycaemia, including dizziness, weakness, or hunger</w:t>
            </w:r>
          </w:p>
          <w:p w14:paraId="7D3C03DE" w14:textId="77777777" w:rsidR="00940AA2" w:rsidRPr="00CF00BA" w:rsidRDefault="00940AA2" w:rsidP="006A2910">
            <w:pPr>
              <w:pStyle w:val="Default"/>
              <w:numPr>
                <w:ilvl w:val="0"/>
                <w:numId w:val="9"/>
              </w:numPr>
              <w:spacing w:line="360" w:lineRule="atLeast"/>
            </w:pPr>
            <w:r w:rsidRPr="00CF00BA">
              <w:t>Actual or planned pregnancy or breastfeeding</w:t>
            </w:r>
          </w:p>
          <w:p w14:paraId="026D65AC" w14:textId="77777777" w:rsidR="00940AA2" w:rsidRPr="00CF00BA" w:rsidRDefault="00940AA2" w:rsidP="006A2910">
            <w:pPr>
              <w:spacing w:before="60" w:after="60"/>
              <w:rPr>
                <w:rFonts w:cs="Arial"/>
                <w:color w:val="000000"/>
                <w:szCs w:val="24"/>
              </w:rPr>
            </w:pPr>
          </w:p>
          <w:p w14:paraId="39E21B13" w14:textId="77777777" w:rsidR="00940AA2" w:rsidRPr="00CF00BA" w:rsidRDefault="00940AA2" w:rsidP="006A2910">
            <w:pPr>
              <w:spacing w:before="60" w:after="60"/>
              <w:rPr>
                <w:rFonts w:cs="Arial"/>
                <w:color w:val="000000"/>
                <w:szCs w:val="24"/>
              </w:rPr>
            </w:pPr>
            <w:r w:rsidRPr="00CF00BA">
              <w:rPr>
                <w:rFonts w:cs="Arial"/>
                <w:color w:val="000000"/>
                <w:szCs w:val="24"/>
              </w:rPr>
              <w:t>The patient should be advised:</w:t>
            </w:r>
          </w:p>
          <w:p w14:paraId="32358C76" w14:textId="77777777" w:rsidR="00940AA2" w:rsidRPr="00CF00BA" w:rsidRDefault="00940AA2" w:rsidP="006A2910">
            <w:pPr>
              <w:pStyle w:val="Default"/>
              <w:numPr>
                <w:ilvl w:val="0"/>
                <w:numId w:val="9"/>
              </w:numPr>
              <w:spacing w:line="360" w:lineRule="atLeast"/>
            </w:pPr>
            <w:r w:rsidRPr="00CF00BA">
              <w:t>Avoid over-the-counter and prescribed antacids for four hours before and after doses of hydroxychloroquine.</w:t>
            </w:r>
          </w:p>
          <w:p w14:paraId="4B5A4C34" w14:textId="77777777" w:rsidR="00940AA2" w:rsidRPr="00CF00BA" w:rsidRDefault="00940AA2" w:rsidP="006A2910">
            <w:pPr>
              <w:pStyle w:val="Default"/>
              <w:numPr>
                <w:ilvl w:val="0"/>
                <w:numId w:val="9"/>
              </w:numPr>
              <w:spacing w:line="360" w:lineRule="atLeast"/>
            </w:pPr>
            <w:r w:rsidRPr="00CF00BA">
              <w:t xml:space="preserve">A number of patients who take hydroxychloroquine may experience some loss of their peripheral and central vision. Patients who drive must inform the DVLA if their eyesight is affected. For further information see: </w:t>
            </w:r>
            <w:hyperlink r:id="rId38" w:history="1">
              <w:r w:rsidRPr="00CF00BA">
                <w:rPr>
                  <w:color w:val="0000FF"/>
                  <w:u w:val="single"/>
                </w:rPr>
                <w:t>https://www.gov.uk/driving-eyesight-rules</w:t>
              </w:r>
            </w:hyperlink>
            <w:r w:rsidRPr="00CF00BA">
              <w:t xml:space="preserve"> </w:t>
            </w:r>
          </w:p>
          <w:p w14:paraId="622A4FB7" w14:textId="77777777" w:rsidR="00940AA2" w:rsidRPr="00CF00BA" w:rsidRDefault="00940AA2" w:rsidP="006A2910">
            <w:pPr>
              <w:pStyle w:val="Default"/>
              <w:numPr>
                <w:ilvl w:val="0"/>
                <w:numId w:val="9"/>
              </w:numPr>
              <w:spacing w:line="360" w:lineRule="atLeast"/>
            </w:pPr>
            <w:r w:rsidRPr="00CF00BA">
              <w:t>That vaccination in line with current national advice (e.g. for COVID-19, influenza) is safe and recommended.</w:t>
            </w:r>
          </w:p>
          <w:p w14:paraId="41990421" w14:textId="0A3E4BA5" w:rsidR="00940AA2" w:rsidRPr="00CF00BA" w:rsidRDefault="00940AA2" w:rsidP="006A2910">
            <w:pPr>
              <w:pStyle w:val="Default"/>
              <w:numPr>
                <w:ilvl w:val="0"/>
                <w:numId w:val="9"/>
              </w:numPr>
              <w:spacing w:line="360" w:lineRule="atLeast"/>
            </w:pPr>
            <w:r w:rsidRPr="00CF00BA">
              <w:lastRenderedPageBreak/>
              <w:t>Tell anyone who prescribes them a medicine that they are taking hydroxychloroquine. Always ask a pharmacist before purchasing any medicines over the counter, including herbal remedies, and ask if they are safe.</w:t>
            </w:r>
          </w:p>
          <w:p w14:paraId="27064054" w14:textId="77777777" w:rsidR="00940AA2" w:rsidRPr="00CF00BA" w:rsidRDefault="00940AA2" w:rsidP="006A2910">
            <w:pPr>
              <w:spacing w:before="60" w:after="60"/>
              <w:rPr>
                <w:rFonts w:cs="Arial"/>
                <w:color w:val="000000"/>
                <w:szCs w:val="24"/>
              </w:rPr>
            </w:pPr>
            <w:r w:rsidRPr="00CF00BA">
              <w:rPr>
                <w:rFonts w:cs="Arial"/>
                <w:color w:val="000000"/>
                <w:szCs w:val="24"/>
                <w:u w:val="single"/>
              </w:rPr>
              <w:t>Patient information</w:t>
            </w:r>
            <w:r w:rsidRPr="00CF00BA">
              <w:rPr>
                <w:rFonts w:cs="Arial"/>
                <w:color w:val="000000"/>
                <w:szCs w:val="24"/>
              </w:rPr>
              <w:t>:</w:t>
            </w:r>
          </w:p>
          <w:p w14:paraId="35DEA544" w14:textId="77777777" w:rsidR="00940AA2" w:rsidRPr="00CF00BA" w:rsidRDefault="00940AA2" w:rsidP="006A2910">
            <w:pPr>
              <w:pStyle w:val="ListParagraph"/>
              <w:numPr>
                <w:ilvl w:val="0"/>
                <w:numId w:val="21"/>
              </w:numPr>
              <w:autoSpaceDE w:val="0"/>
              <w:autoSpaceDN w:val="0"/>
              <w:adjustRightInd w:val="0"/>
              <w:spacing w:before="60" w:after="0"/>
              <w:rPr>
                <w:rFonts w:cs="Arial"/>
                <w:color w:val="0000FF"/>
                <w:szCs w:val="24"/>
                <w:u w:val="single"/>
              </w:rPr>
            </w:pPr>
            <w:r w:rsidRPr="00CF00BA">
              <w:rPr>
                <w:rFonts w:cs="Arial"/>
                <w:color w:val="000000"/>
                <w:szCs w:val="24"/>
              </w:rPr>
              <w:t xml:space="preserve">General information: </w:t>
            </w:r>
            <w:hyperlink r:id="rId39" w:history="1">
              <w:r w:rsidRPr="00CF00BA">
                <w:rPr>
                  <w:rFonts w:cs="Arial"/>
                  <w:color w:val="0000FF"/>
                  <w:szCs w:val="24"/>
                  <w:u w:val="single"/>
                </w:rPr>
                <w:t>https://patient.info/medicine/hydroxychloroquine-tablets-quinoric</w:t>
              </w:r>
            </w:hyperlink>
          </w:p>
          <w:p w14:paraId="3976F7DF" w14:textId="77777777" w:rsidR="00940AA2" w:rsidRPr="00CF00BA" w:rsidRDefault="00940AA2" w:rsidP="006A2910">
            <w:pPr>
              <w:pStyle w:val="ListParagraph"/>
              <w:numPr>
                <w:ilvl w:val="0"/>
                <w:numId w:val="21"/>
              </w:numPr>
              <w:autoSpaceDE w:val="0"/>
              <w:autoSpaceDN w:val="0"/>
              <w:adjustRightInd w:val="0"/>
              <w:spacing w:before="60" w:after="0"/>
              <w:rPr>
                <w:rFonts w:cs="Arial"/>
                <w:color w:val="000000"/>
                <w:szCs w:val="24"/>
              </w:rPr>
            </w:pPr>
            <w:r w:rsidRPr="00CF00BA">
              <w:rPr>
                <w:rFonts w:cs="Arial"/>
                <w:color w:val="000000"/>
                <w:szCs w:val="24"/>
              </w:rPr>
              <w:t xml:space="preserve">Rheumatology: </w:t>
            </w:r>
            <w:hyperlink r:id="rId40" w:history="1">
              <w:r w:rsidRPr="00CF00BA">
                <w:rPr>
                  <w:rFonts w:cs="Arial"/>
                  <w:color w:val="0000FF"/>
                  <w:szCs w:val="24"/>
                  <w:u w:val="single"/>
                </w:rPr>
                <w:t>https://www.versusarthritis.org/about-arthritis/treatments/drugs/hydroxychloroquine/</w:t>
              </w:r>
            </w:hyperlink>
          </w:p>
          <w:p w14:paraId="240FFB82" w14:textId="77777777" w:rsidR="00940AA2" w:rsidRPr="00CF00BA" w:rsidRDefault="00940AA2" w:rsidP="006A2910">
            <w:pPr>
              <w:pStyle w:val="ListParagraph"/>
              <w:numPr>
                <w:ilvl w:val="0"/>
                <w:numId w:val="21"/>
              </w:numPr>
              <w:autoSpaceDE w:val="0"/>
              <w:autoSpaceDN w:val="0"/>
              <w:adjustRightInd w:val="0"/>
              <w:spacing w:before="60" w:after="60"/>
              <w:rPr>
                <w:rFonts w:cs="Arial"/>
                <w:color w:val="0000FF"/>
                <w:szCs w:val="24"/>
                <w:u w:val="single"/>
              </w:rPr>
            </w:pPr>
            <w:r w:rsidRPr="00CF00BA">
              <w:rPr>
                <w:rFonts w:cs="Arial"/>
                <w:color w:val="000000"/>
                <w:szCs w:val="24"/>
              </w:rPr>
              <w:t xml:space="preserve">Dermatology: </w:t>
            </w:r>
            <w:hyperlink r:id="rId41" w:history="1">
              <w:r w:rsidRPr="00CF00BA">
                <w:rPr>
                  <w:rFonts w:cs="Arial"/>
                  <w:color w:val="0000FF"/>
                  <w:szCs w:val="24"/>
                  <w:u w:val="single"/>
                </w:rPr>
                <w:t>https://www.bad.org.uk/for-the-public/patient-information-leaflets/hydroxychloroquine</w:t>
              </w:r>
            </w:hyperlink>
          </w:p>
          <w:p w14:paraId="54A71DB2" w14:textId="5959F8D3" w:rsidR="00940AA2" w:rsidRPr="00CF00BA" w:rsidRDefault="00940AA2" w:rsidP="006A2910">
            <w:pPr>
              <w:pStyle w:val="ListParagraph"/>
              <w:numPr>
                <w:ilvl w:val="0"/>
                <w:numId w:val="21"/>
              </w:numPr>
              <w:autoSpaceDE w:val="0"/>
              <w:autoSpaceDN w:val="0"/>
              <w:adjustRightInd w:val="0"/>
              <w:spacing w:before="60" w:after="60"/>
              <w:rPr>
                <w:rFonts w:cs="Arial"/>
                <w:color w:val="000000"/>
                <w:szCs w:val="24"/>
              </w:rPr>
            </w:pPr>
            <w:r w:rsidRPr="00CF00BA">
              <w:rPr>
                <w:rFonts w:cs="Arial"/>
                <w:color w:val="000000"/>
                <w:szCs w:val="24"/>
              </w:rPr>
              <w:t xml:space="preserve">Patient information leaflets are also available from </w:t>
            </w:r>
            <w:hyperlink r:id="rId42" w:history="1">
              <w:r w:rsidRPr="00CF00BA">
                <w:rPr>
                  <w:rFonts w:cs="Arial"/>
                  <w:color w:val="0000FF"/>
                  <w:szCs w:val="24"/>
                  <w:u w:val="single"/>
                </w:rPr>
                <w:t>https://www.medicines.org.uk/emc/search?q=hydroxychloroquine</w:t>
              </w:r>
            </w:hyperlink>
            <w:r w:rsidRPr="00CF00BA">
              <w:rPr>
                <w:rFonts w:cs="Arial"/>
                <w:color w:val="000000"/>
                <w:szCs w:val="24"/>
              </w:rPr>
              <w:t xml:space="preserve"> </w:t>
            </w:r>
          </w:p>
        </w:tc>
      </w:tr>
      <w:tr w:rsidR="00940AA2" w:rsidRPr="00CF00BA" w14:paraId="79305DF7" w14:textId="77777777" w:rsidTr="009AF2D1">
        <w:trPr>
          <w:jc w:val="center"/>
        </w:trPr>
        <w:tc>
          <w:tcPr>
            <w:tcW w:w="10455" w:type="dxa"/>
            <w:gridSpan w:val="3"/>
            <w:tcBorders>
              <w:bottom w:val="nil"/>
            </w:tcBorders>
            <w:shd w:val="clear" w:color="auto" w:fill="F2F2F2" w:themeFill="background1" w:themeFillShade="F2"/>
          </w:tcPr>
          <w:p w14:paraId="2E2ABBD7" w14:textId="4FC17E28" w:rsidR="00940AA2" w:rsidRPr="00CF00BA" w:rsidRDefault="00940AA2" w:rsidP="00940AA2">
            <w:pPr>
              <w:pStyle w:val="Heading1"/>
              <w:tabs>
                <w:tab w:val="right" w:pos="10240"/>
              </w:tabs>
              <w:ind w:left="599" w:hanging="599"/>
              <w:rPr>
                <w:lang w:eastAsia="en-GB"/>
              </w:rPr>
            </w:pPr>
            <w:bookmarkStart w:id="16" w:name="Twelve_pregnancy_paternity"/>
            <w:r w:rsidRPr="00CF00BA">
              <w:rPr>
                <w:lang w:eastAsia="en-GB"/>
              </w:rPr>
              <w:lastRenderedPageBreak/>
              <w:t>Pregnancy, paternal exposure and breast feeding</w:t>
            </w:r>
            <w:bookmarkEnd w:id="16"/>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p w14:paraId="5B7A2D80" w14:textId="3874F34F" w:rsidR="00940AA2" w:rsidRPr="00CF00BA" w:rsidRDefault="00940AA2" w:rsidP="00940AA2">
            <w:pPr>
              <w:rPr>
                <w:color w:val="000000"/>
                <w:lang w:eastAsia="en-GB"/>
              </w:rPr>
            </w:pPr>
            <w:r w:rsidRPr="00CF00BA">
              <w:rPr>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940AA2" w:rsidRPr="00CF00BA" w14:paraId="24C2F939" w14:textId="77777777" w:rsidTr="009AF2D1">
        <w:trPr>
          <w:jc w:val="center"/>
        </w:trPr>
        <w:tc>
          <w:tcPr>
            <w:tcW w:w="10455" w:type="dxa"/>
            <w:gridSpan w:val="3"/>
            <w:tcBorders>
              <w:top w:val="nil"/>
              <w:bottom w:val="single" w:sz="4" w:space="0" w:color="auto"/>
            </w:tcBorders>
          </w:tcPr>
          <w:p w14:paraId="6BF6150F" w14:textId="77777777" w:rsidR="00940AA2" w:rsidRPr="00CF00BA" w:rsidRDefault="00940AA2" w:rsidP="668AB4C6">
            <w:pPr>
              <w:autoSpaceDE w:val="0"/>
              <w:autoSpaceDN w:val="0"/>
              <w:adjustRightInd w:val="0"/>
              <w:rPr>
                <w:rFonts w:eastAsia="Arial" w:cs="Arial"/>
                <w:color w:val="000000"/>
                <w:lang w:eastAsia="en-GB"/>
              </w:rPr>
            </w:pPr>
            <w:r w:rsidRPr="00CF00BA">
              <w:rPr>
                <w:rFonts w:eastAsia="Arial" w:cs="Arial"/>
                <w:color w:val="000000" w:themeColor="text1"/>
                <w:lang w:eastAsia="en-GB"/>
              </w:rPr>
              <w:t xml:space="preserve">The </w:t>
            </w:r>
            <w:hyperlink r:id="rId43" w:anchor="90343097">
              <w:r w:rsidRPr="00CF00BA">
                <w:rPr>
                  <w:rStyle w:val="Hyperlink"/>
                  <w:rFonts w:eastAsia="Arial" w:cs="Arial"/>
                  <w:lang w:eastAsia="en-GB"/>
                </w:rPr>
                <w:t>BSR and BHPR guideline on prescribing DMARDs in pregnancy and breastfeeding</w:t>
              </w:r>
            </w:hyperlink>
            <w:r w:rsidRPr="00CF00BA">
              <w:rPr>
                <w:rFonts w:eastAsia="Arial" w:cs="Arial"/>
                <w:color w:val="000000" w:themeColor="text1"/>
                <w:lang w:eastAsia="en-GB"/>
              </w:rPr>
              <w:t xml:space="preserve"> advises the following:</w:t>
            </w:r>
          </w:p>
          <w:p w14:paraId="5A92C620" w14:textId="77777777" w:rsidR="00940AA2" w:rsidRPr="00CF00BA" w:rsidRDefault="00940AA2" w:rsidP="00C12F02">
            <w:pPr>
              <w:autoSpaceDE w:val="0"/>
              <w:autoSpaceDN w:val="0"/>
              <w:adjustRightInd w:val="0"/>
              <w:spacing w:before="60" w:after="60"/>
              <w:rPr>
                <w:rFonts w:eastAsia="Times New Roman" w:cstheme="minorHAnsi"/>
                <w:b/>
                <w:color w:val="000000"/>
                <w:lang w:eastAsia="en-GB"/>
              </w:rPr>
            </w:pPr>
            <w:r w:rsidRPr="00CF00BA">
              <w:rPr>
                <w:rFonts w:eastAsia="Times New Roman" w:cstheme="minorHAnsi"/>
                <w:b/>
                <w:color w:val="000000"/>
                <w:u w:val="single"/>
                <w:lang w:eastAsia="en-GB"/>
              </w:rPr>
              <w:t>Pregnancy</w:t>
            </w:r>
            <w:r w:rsidRPr="00CF00BA">
              <w:rPr>
                <w:rFonts w:eastAsia="Times New Roman" w:cstheme="minorHAnsi"/>
                <w:b/>
                <w:color w:val="000000"/>
                <w:lang w:eastAsia="en-GB"/>
              </w:rPr>
              <w:t>:</w:t>
            </w:r>
          </w:p>
          <w:p w14:paraId="453FAD92" w14:textId="64614DA5" w:rsidR="00940AA2" w:rsidRPr="00CF00BA" w:rsidRDefault="00940AA2" w:rsidP="00C12F02">
            <w:pPr>
              <w:autoSpaceDE w:val="0"/>
              <w:autoSpaceDN w:val="0"/>
              <w:adjustRightInd w:val="0"/>
              <w:spacing w:after="0"/>
              <w:rPr>
                <w:rFonts w:eastAsia="Times New Roman" w:cstheme="minorHAnsi"/>
                <w:color w:val="000000"/>
                <w:lang w:eastAsia="en-GB"/>
              </w:rPr>
            </w:pPr>
            <w:r w:rsidRPr="00CF00BA">
              <w:rPr>
                <w:rFonts w:eastAsia="Times New Roman" w:cstheme="minorHAnsi"/>
                <w:color w:val="000000"/>
                <w:lang w:eastAsia="en-GB"/>
              </w:rPr>
              <w:t xml:space="preserve">Hydroxychloroquine can be continued throughout pregnancy. </w:t>
            </w:r>
          </w:p>
          <w:p w14:paraId="13E3679E" w14:textId="095FF19B" w:rsidR="00940AA2" w:rsidRPr="00CF00BA" w:rsidRDefault="00940AA2" w:rsidP="00C12F02">
            <w:pPr>
              <w:autoSpaceDE w:val="0"/>
              <w:autoSpaceDN w:val="0"/>
              <w:adjustRightInd w:val="0"/>
              <w:spacing w:before="60" w:after="60"/>
              <w:rPr>
                <w:rFonts w:eastAsia="Times New Roman" w:cstheme="minorHAnsi"/>
                <w:color w:val="FF0000"/>
                <w:lang w:eastAsia="en-GB"/>
              </w:rPr>
            </w:pPr>
            <w:r w:rsidRPr="00CF00BA">
              <w:rPr>
                <w:rFonts w:eastAsia="Times New Roman" w:cstheme="minorHAnsi"/>
                <w:color w:val="000000"/>
                <w:lang w:eastAsia="en-GB"/>
              </w:rPr>
              <w:t xml:space="preserve">Information for patients and carers: </w:t>
            </w:r>
            <w:hyperlink r:id="rId44" w:history="1">
              <w:r w:rsidRPr="00CF00BA">
                <w:rPr>
                  <w:rStyle w:val="Hyperlink"/>
                  <w:rFonts w:eastAsia="Times New Roman" w:cstheme="minorHAnsi"/>
                  <w:lang w:eastAsia="en-GB"/>
                </w:rPr>
                <w:t>https://www.medicinesinpregnancy.org/Medicine--pregnancy/Hydroxychloroquine/</w:t>
              </w:r>
            </w:hyperlink>
            <w:r w:rsidRPr="00CF00BA">
              <w:rPr>
                <w:rFonts w:eastAsia="Times New Roman" w:cstheme="minorHAnsi"/>
                <w:color w:val="000000"/>
                <w:lang w:eastAsia="en-GB"/>
              </w:rPr>
              <w:t xml:space="preserve">. </w:t>
            </w:r>
          </w:p>
          <w:p w14:paraId="160AE61A" w14:textId="77777777" w:rsidR="00940AA2" w:rsidRPr="00CF00BA" w:rsidRDefault="00940AA2" w:rsidP="00C12F02">
            <w:pPr>
              <w:autoSpaceDE w:val="0"/>
              <w:autoSpaceDN w:val="0"/>
              <w:adjustRightInd w:val="0"/>
              <w:spacing w:before="60" w:after="60"/>
              <w:rPr>
                <w:rFonts w:eastAsia="Times New Roman" w:cstheme="minorHAnsi"/>
                <w:b/>
                <w:color w:val="000000"/>
                <w:lang w:eastAsia="en-GB"/>
              </w:rPr>
            </w:pPr>
            <w:r w:rsidRPr="00CF00BA">
              <w:rPr>
                <w:rFonts w:eastAsia="Times New Roman" w:cstheme="minorHAnsi"/>
                <w:b/>
                <w:color w:val="000000"/>
                <w:u w:val="single"/>
                <w:lang w:eastAsia="en-GB"/>
              </w:rPr>
              <w:t>Breastfeeding</w:t>
            </w:r>
            <w:r w:rsidRPr="00CF00BA">
              <w:rPr>
                <w:rFonts w:eastAsia="Times New Roman" w:cstheme="minorHAnsi"/>
                <w:b/>
                <w:color w:val="000000"/>
                <w:lang w:eastAsia="en-GB"/>
              </w:rPr>
              <w:t>:</w:t>
            </w:r>
          </w:p>
          <w:p w14:paraId="3B2A34C9" w14:textId="77777777" w:rsidR="00940AA2" w:rsidRPr="00CF00BA" w:rsidRDefault="00940AA2" w:rsidP="00C12F02">
            <w:pPr>
              <w:autoSpaceDE w:val="0"/>
              <w:autoSpaceDN w:val="0"/>
              <w:adjustRightInd w:val="0"/>
              <w:spacing w:after="0"/>
              <w:rPr>
                <w:rFonts w:eastAsia="Times New Roman" w:cstheme="minorHAnsi"/>
                <w:color w:val="000000"/>
                <w:lang w:eastAsia="en-GB"/>
              </w:rPr>
            </w:pPr>
            <w:r w:rsidRPr="00CF00BA">
              <w:rPr>
                <w:rFonts w:eastAsia="Times New Roman" w:cstheme="minorHAnsi"/>
                <w:color w:val="000000"/>
                <w:lang w:eastAsia="en-GB"/>
              </w:rPr>
              <w:t>Hydroxychloroquine is compatible with breastfeeding, though does pass into breast milk in small quantities.</w:t>
            </w:r>
          </w:p>
          <w:p w14:paraId="3F9FDDF2" w14:textId="1C252491" w:rsidR="00940AA2" w:rsidRPr="00CF00BA" w:rsidRDefault="00940AA2" w:rsidP="00C12F02">
            <w:pPr>
              <w:autoSpaceDE w:val="0"/>
              <w:autoSpaceDN w:val="0"/>
              <w:adjustRightInd w:val="0"/>
              <w:spacing w:before="60" w:after="60"/>
              <w:rPr>
                <w:rFonts w:eastAsia="Times New Roman" w:cstheme="minorHAnsi"/>
                <w:color w:val="FF0000"/>
                <w:lang w:eastAsia="en-GB"/>
              </w:rPr>
            </w:pPr>
            <w:r w:rsidRPr="00CF00BA">
              <w:rPr>
                <w:rFonts w:eastAsia="Times New Roman" w:cstheme="minorHAnsi"/>
                <w:color w:val="000000"/>
                <w:lang w:eastAsia="en-GB"/>
              </w:rPr>
              <w:t xml:space="preserve">Information for healthcare professionals: </w:t>
            </w:r>
            <w:hyperlink r:id="rId45" w:history="1">
              <w:r w:rsidRPr="00CF00BA">
                <w:rPr>
                  <w:rStyle w:val="Hyperlink"/>
                  <w:rFonts w:eastAsia="Times New Roman" w:cstheme="minorHAnsi"/>
                  <w:lang w:eastAsia="en-GB"/>
                </w:rPr>
                <w:t>https://www.sps.nhs.uk/medicines/hydroxychloroquine/</w:t>
              </w:r>
            </w:hyperlink>
            <w:r w:rsidRPr="00CF00BA">
              <w:rPr>
                <w:rFonts w:eastAsia="Times New Roman" w:cstheme="minorHAnsi"/>
                <w:color w:val="000000"/>
                <w:lang w:eastAsia="en-GB"/>
              </w:rPr>
              <w:t xml:space="preserve">. </w:t>
            </w:r>
          </w:p>
          <w:p w14:paraId="731253B8" w14:textId="77777777" w:rsidR="00940AA2" w:rsidRPr="00CF00BA" w:rsidRDefault="00940AA2" w:rsidP="00C12F02">
            <w:pPr>
              <w:autoSpaceDE w:val="0"/>
              <w:autoSpaceDN w:val="0"/>
              <w:adjustRightInd w:val="0"/>
              <w:spacing w:before="60" w:after="60"/>
              <w:rPr>
                <w:rFonts w:eastAsia="Times New Roman" w:cstheme="minorHAnsi"/>
                <w:color w:val="000000"/>
                <w:lang w:eastAsia="en-GB"/>
              </w:rPr>
            </w:pPr>
            <w:r w:rsidRPr="00CF00BA">
              <w:rPr>
                <w:rFonts w:eastAsia="Times New Roman" w:cstheme="minorHAnsi"/>
                <w:b/>
                <w:color w:val="000000"/>
                <w:u w:val="single"/>
                <w:lang w:eastAsia="en-GB"/>
              </w:rPr>
              <w:t>Paternal exposure</w:t>
            </w:r>
            <w:r w:rsidRPr="00CF00BA">
              <w:rPr>
                <w:rFonts w:eastAsia="Times New Roman" w:cstheme="minorHAnsi"/>
                <w:color w:val="000000"/>
                <w:lang w:eastAsia="en-GB"/>
              </w:rPr>
              <w:t>:</w:t>
            </w:r>
          </w:p>
          <w:p w14:paraId="28BE39FA" w14:textId="53480AF0" w:rsidR="00940AA2" w:rsidRPr="00CF00BA" w:rsidRDefault="00940AA2" w:rsidP="00C12F02">
            <w:pPr>
              <w:rPr>
                <w:rFonts w:eastAsia="Times New Roman" w:cstheme="minorHAnsi"/>
                <w:color w:val="000000"/>
                <w:lang w:eastAsia="en-GB"/>
              </w:rPr>
            </w:pPr>
            <w:r w:rsidRPr="00CF00BA">
              <w:rPr>
                <w:rFonts w:eastAsia="Times New Roman" w:cstheme="minorHAnsi"/>
                <w:color w:val="000000"/>
                <w:lang w:eastAsia="en-GB"/>
              </w:rPr>
              <w:t>Hydroxychloroquine is compatible with paternal exposure.</w:t>
            </w:r>
          </w:p>
        </w:tc>
      </w:tr>
    </w:tbl>
    <w:p w14:paraId="73A4DAE7" w14:textId="7F62EDF1" w:rsidR="00846A4A" w:rsidRPr="00CF00BA" w:rsidRDefault="00846A4A">
      <w:bookmarkStart w:id="17" w:name="Thirteen_specialist_contact"/>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2C1756" w:rsidRPr="00CF00BA" w14:paraId="3A78E10C" w14:textId="77777777" w:rsidTr="007C7494">
        <w:trPr>
          <w:jc w:val="center"/>
        </w:trPr>
        <w:tc>
          <w:tcPr>
            <w:tcW w:w="10455" w:type="dxa"/>
            <w:tcBorders>
              <w:bottom w:val="nil"/>
            </w:tcBorders>
            <w:shd w:val="clear" w:color="auto" w:fill="F2F2F2"/>
          </w:tcPr>
          <w:p w14:paraId="2536982E" w14:textId="5A651A0A" w:rsidR="002C1756" w:rsidRPr="00CF00BA" w:rsidRDefault="002C1756" w:rsidP="007F3977">
            <w:pPr>
              <w:pStyle w:val="Heading1"/>
              <w:tabs>
                <w:tab w:val="right" w:pos="10238"/>
              </w:tabs>
              <w:ind w:left="599" w:hanging="599"/>
              <w:rPr>
                <w:lang w:eastAsia="en-GB"/>
              </w:rPr>
            </w:pPr>
            <w:r w:rsidRPr="00CF00BA">
              <w:rPr>
                <w:lang w:eastAsia="en-GB"/>
              </w:rPr>
              <w:t>Specialist contact information</w:t>
            </w:r>
            <w:bookmarkEnd w:id="17"/>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tc>
      </w:tr>
      <w:tr w:rsidR="002C1756" w:rsidRPr="00CF00BA" w14:paraId="4CD4F732" w14:textId="77777777" w:rsidTr="007C7494">
        <w:trPr>
          <w:jc w:val="center"/>
        </w:trPr>
        <w:tc>
          <w:tcPr>
            <w:tcW w:w="10455" w:type="dxa"/>
            <w:tcBorders>
              <w:top w:val="nil"/>
              <w:bottom w:val="single" w:sz="4" w:space="0" w:color="auto"/>
            </w:tcBorders>
          </w:tcPr>
          <w:p w14:paraId="3270245F" w14:textId="7DB4C32F" w:rsidR="00AE34E7" w:rsidRPr="008F7C65" w:rsidRDefault="00AE34E7" w:rsidP="00AE34E7">
            <w:pPr>
              <w:spacing w:before="60" w:after="60"/>
              <w:rPr>
                <w:rFonts w:eastAsia="Times New Roman" w:cstheme="minorHAnsi"/>
              </w:rPr>
            </w:pPr>
            <w:r w:rsidRPr="008F7C65">
              <w:rPr>
                <w:rFonts w:eastAsia="Times New Roman" w:cstheme="minorHAnsi"/>
              </w:rPr>
              <w:t xml:space="preserve">Name: </w:t>
            </w:r>
            <w:permStart w:id="1614494185" w:edGrp="everyone"/>
            <w:r w:rsidRPr="008F7C65">
              <w:rPr>
                <w:rFonts w:eastAsia="Times New Roman" w:cstheme="minorHAnsi"/>
              </w:rPr>
              <w:t xml:space="preserve">insert name   </w:t>
            </w:r>
            <w:permEnd w:id="1614494185"/>
          </w:p>
          <w:p w14:paraId="13302E66" w14:textId="77777777" w:rsidR="00AE34E7" w:rsidRPr="008F7C65" w:rsidRDefault="00AE34E7" w:rsidP="00AE34E7">
            <w:pPr>
              <w:spacing w:before="60" w:after="60"/>
              <w:rPr>
                <w:rFonts w:eastAsia="Times New Roman" w:cstheme="minorHAnsi"/>
              </w:rPr>
            </w:pPr>
            <w:r w:rsidRPr="008F7C65">
              <w:rPr>
                <w:rFonts w:eastAsia="Times New Roman" w:cstheme="minorHAnsi"/>
              </w:rPr>
              <w:t xml:space="preserve">Role and specialty: </w:t>
            </w:r>
            <w:permStart w:id="792072126" w:edGrp="everyone"/>
            <w:r w:rsidRPr="008F7C65">
              <w:rPr>
                <w:rFonts w:eastAsia="Times New Roman" w:cstheme="minorHAnsi"/>
              </w:rPr>
              <w:t xml:space="preserve">insert role and speciality </w:t>
            </w:r>
            <w:permEnd w:id="792072126"/>
          </w:p>
          <w:p w14:paraId="3A70C962" w14:textId="77777777" w:rsidR="00AE34E7" w:rsidRPr="008F7C65" w:rsidRDefault="00AE34E7" w:rsidP="00AE34E7">
            <w:pPr>
              <w:spacing w:before="60" w:after="60"/>
              <w:rPr>
                <w:rFonts w:eastAsia="Times New Roman" w:cstheme="minorHAnsi"/>
              </w:rPr>
            </w:pPr>
            <w:r w:rsidRPr="008F7C65">
              <w:rPr>
                <w:rFonts w:eastAsia="Times New Roman" w:cstheme="minorHAnsi"/>
              </w:rPr>
              <w:t xml:space="preserve">Daytime telephone number: </w:t>
            </w:r>
            <w:permStart w:id="1611405555" w:edGrp="everyone"/>
            <w:r w:rsidRPr="008F7C65">
              <w:rPr>
                <w:rFonts w:eastAsia="Times New Roman" w:cstheme="minorHAnsi"/>
              </w:rPr>
              <w:t xml:space="preserve">insert daytime telephone number </w:t>
            </w:r>
            <w:permEnd w:id="1611405555"/>
          </w:p>
          <w:p w14:paraId="13EA95A3" w14:textId="77777777" w:rsidR="00AE34E7" w:rsidRPr="008F7C65" w:rsidRDefault="00AE34E7" w:rsidP="00AE34E7">
            <w:pPr>
              <w:spacing w:before="60" w:after="60"/>
              <w:rPr>
                <w:rFonts w:eastAsia="Times New Roman" w:cstheme="minorHAnsi"/>
              </w:rPr>
            </w:pPr>
            <w:r w:rsidRPr="008F7C65">
              <w:rPr>
                <w:rFonts w:eastAsia="Times New Roman" w:cstheme="minorHAnsi"/>
              </w:rPr>
              <w:t xml:space="preserve">Email address: </w:t>
            </w:r>
            <w:permStart w:id="1650011814" w:edGrp="everyone"/>
            <w:r w:rsidRPr="008F7C65">
              <w:rPr>
                <w:rFonts w:eastAsia="Times New Roman" w:cstheme="minorHAnsi"/>
              </w:rPr>
              <w:t xml:space="preserve">insert email address </w:t>
            </w:r>
            <w:permEnd w:id="1650011814"/>
          </w:p>
          <w:p w14:paraId="297B4A4F" w14:textId="77777777" w:rsidR="00AE34E7" w:rsidRPr="008F7C65" w:rsidRDefault="00AE34E7" w:rsidP="00AE34E7">
            <w:pPr>
              <w:spacing w:before="60" w:after="60"/>
              <w:rPr>
                <w:rFonts w:eastAsia="Times New Roman" w:cstheme="minorHAnsi"/>
              </w:rPr>
            </w:pPr>
            <w:r w:rsidRPr="008F7C65">
              <w:rPr>
                <w:rFonts w:eastAsia="Times New Roman" w:cstheme="minorHAnsi"/>
              </w:rPr>
              <w:t>Alternative contact:</w:t>
            </w:r>
            <w:permStart w:id="1227321383" w:edGrp="everyone"/>
            <w:r w:rsidRPr="008F7C65">
              <w:rPr>
                <w:rFonts w:eastAsia="Times New Roman" w:cstheme="minorHAnsi"/>
              </w:rPr>
              <w:t xml:space="preserve"> insert contact information, e.g. for clinic or specialist nurse  </w:t>
            </w:r>
            <w:permEnd w:id="1227321383"/>
          </w:p>
          <w:p w14:paraId="68E5A417" w14:textId="79DE8619" w:rsidR="002C1756" w:rsidRPr="00CF00BA" w:rsidRDefault="00AE34E7" w:rsidP="00AE34E7">
            <w:pPr>
              <w:spacing w:before="60" w:after="60" w:line="240" w:lineRule="auto"/>
              <w:rPr>
                <w:rFonts w:eastAsia="Times New Roman" w:cs="Arial"/>
                <w:i/>
              </w:rPr>
            </w:pPr>
            <w:r w:rsidRPr="008F7C65">
              <w:rPr>
                <w:rFonts w:eastAsia="Times New Roman" w:cstheme="minorHAnsi"/>
              </w:rPr>
              <w:t xml:space="preserve">Out of hours contact details: </w:t>
            </w:r>
            <w:permStart w:id="1741060683" w:edGrp="everyone"/>
            <w:r w:rsidRPr="008F7C65">
              <w:rPr>
                <w:rFonts w:eastAsia="Times New Roman" w:cstheme="minorHAnsi"/>
              </w:rPr>
              <w:t>insert contact information, e.g. for duty doctor</w:t>
            </w:r>
            <w:permEnd w:id="1741060683"/>
          </w:p>
        </w:tc>
      </w:tr>
      <w:tr w:rsidR="002C1756" w:rsidRPr="00CF00BA" w14:paraId="1AD14A2A" w14:textId="77777777" w:rsidTr="007C7494">
        <w:trPr>
          <w:jc w:val="center"/>
        </w:trPr>
        <w:tc>
          <w:tcPr>
            <w:tcW w:w="10455" w:type="dxa"/>
            <w:tcBorders>
              <w:bottom w:val="nil"/>
            </w:tcBorders>
            <w:shd w:val="clear" w:color="auto" w:fill="F2F2F2"/>
          </w:tcPr>
          <w:p w14:paraId="201683F6" w14:textId="41E7CC27" w:rsidR="002C1756" w:rsidRPr="00CF00BA" w:rsidRDefault="002C1756" w:rsidP="007F3977">
            <w:pPr>
              <w:pStyle w:val="Heading1"/>
              <w:tabs>
                <w:tab w:val="right" w:pos="10238"/>
              </w:tabs>
              <w:ind w:left="599" w:hanging="599"/>
              <w:rPr>
                <w:sz w:val="20"/>
                <w:lang w:val="en-US" w:eastAsia="en-GB"/>
              </w:rPr>
            </w:pPr>
            <w:bookmarkStart w:id="18" w:name="Fourteen_additional_info"/>
            <w:r w:rsidRPr="00CF00BA">
              <w:rPr>
                <w:lang w:eastAsia="en-GB"/>
              </w:rPr>
              <w:lastRenderedPageBreak/>
              <w:t>Additional information</w:t>
            </w:r>
            <w:bookmarkEnd w:id="18"/>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tc>
      </w:tr>
      <w:tr w:rsidR="002C1756" w:rsidRPr="00CF00BA" w14:paraId="0650CF87" w14:textId="77777777" w:rsidTr="007C7494">
        <w:trPr>
          <w:jc w:val="center"/>
        </w:trPr>
        <w:tc>
          <w:tcPr>
            <w:tcW w:w="10455" w:type="dxa"/>
            <w:tcBorders>
              <w:top w:val="nil"/>
              <w:bottom w:val="single" w:sz="4" w:space="0" w:color="auto"/>
            </w:tcBorders>
          </w:tcPr>
          <w:p w14:paraId="6F1EA946" w14:textId="17A1F998" w:rsidR="002C1756" w:rsidRPr="00CF00BA" w:rsidRDefault="00940AA2" w:rsidP="007F3977">
            <w:pPr>
              <w:rPr>
                <w:lang w:eastAsia="en-GB"/>
              </w:rPr>
            </w:pPr>
            <w:r w:rsidRPr="00CF00BA">
              <w:rPr>
                <w:rFonts w:eastAsia="Times New Roman" w:cstheme="minorHAnsi"/>
                <w:szCs w:val="24"/>
                <w:lang w:eastAsia="en-GB"/>
              </w:rPr>
              <w:t>Where patient care is transferred from one specialist service or GP practice to another, a new shared care agreement must be completed. Ensure that the specialist is informed in writing of any changes to the patient’s GP or their contact details.</w:t>
            </w:r>
          </w:p>
        </w:tc>
      </w:tr>
      <w:tr w:rsidR="002C1756" w:rsidRPr="00CF00BA" w14:paraId="40A4CE02" w14:textId="77777777" w:rsidTr="007C7494">
        <w:trPr>
          <w:jc w:val="center"/>
        </w:trPr>
        <w:tc>
          <w:tcPr>
            <w:tcW w:w="10455" w:type="dxa"/>
            <w:tcBorders>
              <w:bottom w:val="nil"/>
            </w:tcBorders>
            <w:shd w:val="clear" w:color="auto" w:fill="F2F2F2"/>
          </w:tcPr>
          <w:p w14:paraId="469E4408" w14:textId="3AC79B0D" w:rsidR="002C1756" w:rsidRPr="00CF00BA" w:rsidRDefault="002C1756" w:rsidP="007F3977">
            <w:pPr>
              <w:pStyle w:val="Heading1"/>
              <w:tabs>
                <w:tab w:val="right" w:pos="10240"/>
              </w:tabs>
              <w:ind w:left="599" w:hanging="599"/>
              <w:rPr>
                <w:lang w:eastAsia="en-GB"/>
              </w:rPr>
            </w:pPr>
            <w:bookmarkStart w:id="19" w:name="Fifteen_references"/>
            <w:r w:rsidRPr="00CF00BA">
              <w:rPr>
                <w:lang w:eastAsia="en-GB"/>
              </w:rPr>
              <w:t>References</w:t>
            </w:r>
            <w:bookmarkEnd w:id="19"/>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tc>
      </w:tr>
      <w:tr w:rsidR="002C1756" w:rsidRPr="00CF00BA" w14:paraId="583AE708" w14:textId="77777777" w:rsidTr="007C7494">
        <w:trPr>
          <w:jc w:val="center"/>
        </w:trPr>
        <w:tc>
          <w:tcPr>
            <w:tcW w:w="10455" w:type="dxa"/>
            <w:tcBorders>
              <w:top w:val="nil"/>
              <w:bottom w:val="single" w:sz="4" w:space="0" w:color="auto"/>
            </w:tcBorders>
          </w:tcPr>
          <w:p w14:paraId="347D62D8" w14:textId="77777777" w:rsidR="00BC1D5A" w:rsidRPr="00CF00BA" w:rsidRDefault="00BC1D5A" w:rsidP="00632FAA">
            <w:pPr>
              <w:pStyle w:val="ListParagraph"/>
              <w:numPr>
                <w:ilvl w:val="0"/>
                <w:numId w:val="1"/>
              </w:numPr>
              <w:spacing w:after="0"/>
              <w:rPr>
                <w:rFonts w:eastAsia="Times New Roman" w:cstheme="minorHAnsi"/>
                <w:lang w:eastAsia="en-GB"/>
              </w:rPr>
            </w:pPr>
            <w:r w:rsidRPr="00CF00BA">
              <w:rPr>
                <w:rFonts w:eastAsia="Times New Roman" w:cstheme="minorHAnsi"/>
                <w:lang w:eastAsia="en-GB"/>
              </w:rPr>
              <w:t xml:space="preserve">eBNF accessed via </w:t>
            </w:r>
            <w:hyperlink r:id="rId46" w:history="1">
              <w:r w:rsidRPr="00CF00BA">
                <w:rPr>
                  <w:rStyle w:val="Hyperlink"/>
                  <w:rFonts w:eastAsia="Times New Roman" w:cstheme="minorHAnsi"/>
                  <w:lang w:eastAsia="en-GB"/>
                </w:rPr>
                <w:t>https://bnf.nice.org.uk/drug/hydroxychloroquine-sulfate.html</w:t>
              </w:r>
            </w:hyperlink>
            <w:r w:rsidRPr="00CF00BA">
              <w:rPr>
                <w:rFonts w:eastAsia="Times New Roman" w:cstheme="minorHAnsi"/>
                <w:lang w:eastAsia="en-GB"/>
              </w:rPr>
              <w:t xml:space="preserve"> on 08/04/2021</w:t>
            </w:r>
          </w:p>
          <w:p w14:paraId="4945C8CB" w14:textId="77777777" w:rsidR="00BC1D5A" w:rsidRPr="00CF00BA" w:rsidRDefault="00BC1D5A" w:rsidP="00632FAA">
            <w:pPr>
              <w:pStyle w:val="ListParagraph"/>
              <w:numPr>
                <w:ilvl w:val="0"/>
                <w:numId w:val="1"/>
              </w:numPr>
              <w:spacing w:after="0"/>
              <w:rPr>
                <w:rFonts w:eastAsia="Times New Roman" w:cstheme="minorHAnsi"/>
                <w:lang w:eastAsia="en-GB"/>
              </w:rPr>
            </w:pPr>
            <w:r w:rsidRPr="00CF00BA">
              <w:rPr>
                <w:rFonts w:eastAsia="Times New Roman" w:cstheme="minorHAnsi"/>
                <w:lang w:eastAsia="en-GB"/>
              </w:rPr>
              <w:t xml:space="preserve">Hydroxychloroquine sulfate 200 mg film-coated tablets (Quinoric®). Bristol Laboratories. Date of revision of the text: 13/10/2020. Accessed via </w:t>
            </w:r>
            <w:hyperlink r:id="rId47" w:history="1">
              <w:r w:rsidRPr="00CF00BA">
                <w:rPr>
                  <w:rStyle w:val="Hyperlink"/>
                  <w:rFonts w:eastAsia="Times New Roman" w:cstheme="minorHAnsi"/>
                  <w:lang w:eastAsia="en-GB"/>
                </w:rPr>
                <w:t>https://www.medicines.org.uk/emc/product/477/smpc</w:t>
              </w:r>
            </w:hyperlink>
            <w:r w:rsidRPr="00CF00BA">
              <w:rPr>
                <w:rFonts w:eastAsia="Times New Roman" w:cstheme="minorHAnsi"/>
                <w:lang w:eastAsia="en-GB"/>
              </w:rPr>
              <w:t xml:space="preserve"> on 08/04/2021</w:t>
            </w:r>
          </w:p>
          <w:p w14:paraId="1534E2CC" w14:textId="77777777" w:rsidR="00BC1D5A" w:rsidRPr="00CF00BA" w:rsidRDefault="00BC1D5A" w:rsidP="00632FAA">
            <w:pPr>
              <w:pStyle w:val="ListParagraph"/>
              <w:numPr>
                <w:ilvl w:val="0"/>
                <w:numId w:val="1"/>
              </w:numPr>
              <w:spacing w:after="0"/>
              <w:rPr>
                <w:rFonts w:eastAsia="Times New Roman" w:cstheme="minorHAnsi"/>
                <w:lang w:eastAsia="en-GB"/>
              </w:rPr>
            </w:pPr>
            <w:r w:rsidRPr="00CF00BA">
              <w:rPr>
                <w:rFonts w:eastAsia="Times New Roman" w:cstheme="minorHAnsi"/>
                <w:lang w:eastAsia="en-GB"/>
              </w:rPr>
              <w:t xml:space="preserve">Hydroxychloroquine sulfate 200 mg film-coated tablets. Zentiva. Date of revision of the text: 17/07/21. Accessed via </w:t>
            </w:r>
            <w:hyperlink r:id="rId48" w:history="1">
              <w:r w:rsidRPr="00CF00BA">
                <w:rPr>
                  <w:rStyle w:val="Hyperlink"/>
                  <w:rFonts w:eastAsia="Times New Roman" w:cstheme="minorHAnsi"/>
                  <w:lang w:eastAsia="en-GB"/>
                </w:rPr>
                <w:t>https://www.medicines.org.uk/emc/product/1764/smpc</w:t>
              </w:r>
            </w:hyperlink>
            <w:r w:rsidRPr="00CF00BA">
              <w:rPr>
                <w:rFonts w:eastAsia="Times New Roman" w:cstheme="minorHAnsi"/>
                <w:lang w:eastAsia="en-GB"/>
              </w:rPr>
              <w:t xml:space="preserve"> on 26/01/22</w:t>
            </w:r>
          </w:p>
          <w:p w14:paraId="28ED77CA" w14:textId="77777777" w:rsidR="00BC1D5A" w:rsidRPr="00CF00BA" w:rsidRDefault="00BC1D5A" w:rsidP="00632FAA">
            <w:pPr>
              <w:pStyle w:val="ListParagraph"/>
              <w:numPr>
                <w:ilvl w:val="0"/>
                <w:numId w:val="1"/>
              </w:numPr>
              <w:spacing w:after="0"/>
              <w:rPr>
                <w:rFonts w:eastAsia="Times New Roman" w:cstheme="minorHAnsi"/>
                <w:lang w:eastAsia="en-GB"/>
              </w:rPr>
            </w:pPr>
            <w:r w:rsidRPr="00CF00BA">
              <w:rPr>
                <w:rFonts w:eastAsia="Times New Roman" w:cstheme="minorHAnsi"/>
                <w:lang w:eastAsia="en-GB"/>
              </w:rPr>
              <w:t xml:space="preserve">Hydroxychloroquine sulfate 200 mg film-coated tablets. Accord. Date of revision of the text: 31/08/2021. Accessed via </w:t>
            </w:r>
            <w:hyperlink r:id="rId49" w:history="1">
              <w:r w:rsidRPr="00CF00BA">
                <w:rPr>
                  <w:rStyle w:val="Hyperlink"/>
                  <w:rFonts w:eastAsia="Times New Roman" w:cstheme="minorHAnsi"/>
                  <w:lang w:eastAsia="en-GB"/>
                </w:rPr>
                <w:t>https://www.medicines.org.uk/emc/product/11326/smpc</w:t>
              </w:r>
            </w:hyperlink>
            <w:r w:rsidRPr="00CF00BA">
              <w:rPr>
                <w:rFonts w:eastAsia="Times New Roman" w:cstheme="minorHAnsi"/>
                <w:lang w:eastAsia="en-GB"/>
              </w:rPr>
              <w:t xml:space="preserve"> on 26/01/22</w:t>
            </w:r>
          </w:p>
          <w:p w14:paraId="39194564" w14:textId="77777777" w:rsidR="00BC1D5A" w:rsidRPr="00CF00BA" w:rsidRDefault="00BC1D5A" w:rsidP="00632FAA">
            <w:pPr>
              <w:pStyle w:val="ListParagraph"/>
              <w:numPr>
                <w:ilvl w:val="0"/>
                <w:numId w:val="1"/>
              </w:numPr>
              <w:spacing w:after="0"/>
              <w:rPr>
                <w:rFonts w:eastAsia="Times New Roman" w:cstheme="minorHAnsi"/>
                <w:lang w:eastAsia="en-GB"/>
              </w:rPr>
            </w:pPr>
            <w:r w:rsidRPr="00CF00BA">
              <w:rPr>
                <w:rFonts w:eastAsia="Times New Roman" w:cstheme="minorHAnsi"/>
                <w:lang w:eastAsia="en-GB"/>
              </w:rPr>
              <w:t xml:space="preserve">Hydroxychloroquine sulfate 200 mg film-coated tablets. Blackrock Pharmaceuticals. Date of revision of the text: 11/11/2020. Accessed via </w:t>
            </w:r>
            <w:hyperlink r:id="rId50" w:history="1">
              <w:r w:rsidRPr="00CF00BA">
                <w:rPr>
                  <w:rStyle w:val="Hyperlink"/>
                  <w:rFonts w:eastAsia="Times New Roman" w:cstheme="minorHAnsi"/>
                  <w:lang w:eastAsia="en-GB"/>
                </w:rPr>
                <w:t>https://www.medicines.org.uk/emc/product/11540/smpc</w:t>
              </w:r>
            </w:hyperlink>
            <w:r w:rsidRPr="00CF00BA">
              <w:rPr>
                <w:rFonts w:eastAsia="Times New Roman" w:cstheme="minorHAnsi"/>
                <w:lang w:eastAsia="en-GB"/>
              </w:rPr>
              <w:t xml:space="preserve"> on 08/04/2021</w:t>
            </w:r>
          </w:p>
          <w:p w14:paraId="1987F256" w14:textId="77777777" w:rsidR="00BC1D5A" w:rsidRPr="00CF00BA" w:rsidRDefault="00BC1D5A" w:rsidP="00632FAA">
            <w:pPr>
              <w:pStyle w:val="ListParagraph"/>
              <w:numPr>
                <w:ilvl w:val="0"/>
                <w:numId w:val="1"/>
              </w:numPr>
              <w:spacing w:after="0"/>
              <w:rPr>
                <w:rStyle w:val="Hyperlink"/>
                <w:rFonts w:eastAsia="Times New Roman" w:cstheme="minorHAnsi"/>
                <w:color w:val="auto"/>
                <w:u w:val="none"/>
                <w:lang w:eastAsia="en-GB"/>
              </w:rPr>
            </w:pPr>
            <w:r w:rsidRPr="00CF00BA">
              <w:rPr>
                <w:rFonts w:eastAsia="Times New Roman" w:cstheme="minorHAnsi"/>
                <w:lang w:eastAsia="en-GB"/>
              </w:rPr>
              <w:t xml:space="preserve">Hydroxychloroquine sulfate 200 mg film-coated tablets. Ipca Laboratories. Date of revision of the text: 07/04/2020. Accessed via </w:t>
            </w:r>
            <w:hyperlink r:id="rId51" w:history="1">
              <w:r w:rsidRPr="00CF00BA">
                <w:rPr>
                  <w:rStyle w:val="Hyperlink"/>
                  <w:rFonts w:eastAsia="Times New Roman" w:cstheme="minorHAnsi"/>
                  <w:lang w:eastAsia="en-GB"/>
                </w:rPr>
                <w:t>https://www.medicines.org.uk/emc/product/11516/smpc</w:t>
              </w:r>
            </w:hyperlink>
            <w:r w:rsidRPr="00CF00BA">
              <w:rPr>
                <w:rStyle w:val="Hyperlink"/>
                <w:rFonts w:eastAsia="Times New Roman" w:cstheme="minorHAnsi"/>
                <w:u w:val="none"/>
                <w:lang w:eastAsia="en-GB"/>
              </w:rPr>
              <w:t xml:space="preserve"> </w:t>
            </w:r>
            <w:r w:rsidRPr="00CF00BA">
              <w:rPr>
                <w:rStyle w:val="Hyperlink"/>
                <w:rFonts w:eastAsia="Times New Roman" w:cstheme="minorHAnsi"/>
                <w:color w:val="000000"/>
                <w:u w:val="none"/>
                <w:lang w:eastAsia="en-GB"/>
              </w:rPr>
              <w:t>accessed on 08/04/2021</w:t>
            </w:r>
          </w:p>
          <w:p w14:paraId="0F687B07" w14:textId="77777777" w:rsidR="00BC1D5A" w:rsidRPr="00CF00BA" w:rsidRDefault="00BC1D5A" w:rsidP="00632FAA">
            <w:pPr>
              <w:pStyle w:val="ListParagraph"/>
              <w:numPr>
                <w:ilvl w:val="0"/>
                <w:numId w:val="1"/>
              </w:numPr>
              <w:spacing w:after="0"/>
              <w:rPr>
                <w:rFonts w:eastAsia="Times New Roman" w:cstheme="minorHAnsi"/>
                <w:lang w:eastAsia="en-GB"/>
              </w:rPr>
            </w:pPr>
            <w:r w:rsidRPr="00CF00BA">
              <w:rPr>
                <w:rFonts w:eastAsia="Times New Roman" w:cstheme="minorHAnsi"/>
                <w:lang w:eastAsia="en-GB"/>
              </w:rPr>
              <w:t xml:space="preserve">British Society of Rheumatology and British Health Professionals in Rheumatology. 2017. </w:t>
            </w:r>
            <w:r w:rsidRPr="00CF00BA">
              <w:t>Guidelines for the prescription and monitoring of non-biologic disease-modifying anti-rheumatic drugs</w:t>
            </w:r>
            <w:r w:rsidRPr="00CF00BA">
              <w:rPr>
                <w:rFonts w:eastAsia="Times New Roman" w:cstheme="minorHAnsi"/>
                <w:lang w:eastAsia="en-GB"/>
              </w:rPr>
              <w:t xml:space="preserve">. Accessed via </w:t>
            </w:r>
            <w:hyperlink r:id="rId52" w:anchor="97289292" w:history="1">
              <w:r w:rsidRPr="00CF00BA">
                <w:rPr>
                  <w:rStyle w:val="Hyperlink"/>
                  <w:rFonts w:eastAsia="Times New Roman" w:cstheme="minorHAnsi"/>
                  <w:lang w:eastAsia="en-GB"/>
                </w:rPr>
                <w:t>https://academic.oup.com/rheumatology/article/56/6/865/3053478#97289292</w:t>
              </w:r>
            </w:hyperlink>
            <w:r w:rsidRPr="00CF00BA">
              <w:rPr>
                <w:rFonts w:eastAsia="Times New Roman" w:cstheme="minorHAnsi"/>
                <w:lang w:eastAsia="en-GB"/>
              </w:rPr>
              <w:t xml:space="preserve"> on 03/02/2021.</w:t>
            </w:r>
          </w:p>
          <w:p w14:paraId="36446E58" w14:textId="77777777" w:rsidR="00BC1D5A" w:rsidRPr="00CF00BA" w:rsidRDefault="00BC1D5A" w:rsidP="00632FAA">
            <w:pPr>
              <w:pStyle w:val="ListParagraph"/>
              <w:numPr>
                <w:ilvl w:val="0"/>
                <w:numId w:val="1"/>
              </w:numPr>
              <w:spacing w:after="0"/>
              <w:rPr>
                <w:rFonts w:eastAsia="Times New Roman" w:cstheme="minorHAnsi"/>
                <w:lang w:eastAsia="en-GB"/>
              </w:rPr>
            </w:pPr>
            <w:r w:rsidRPr="00CF00BA">
              <w:rPr>
                <w:rFonts w:eastAsia="Times New Roman" w:cstheme="minorHAnsi"/>
                <w:lang w:eastAsia="en-GB"/>
              </w:rPr>
              <w:t xml:space="preserve">British Society of Rheumatology and British Health Professionals in Rheumatology. 2016. </w:t>
            </w:r>
            <w:r w:rsidRPr="00CF00BA">
              <w:t>Guideline on prescribing drugs in pregnancy and breastfeeding – Part I: standard and biologic disease modifying anti-rheumatic drugs and corticosteroids</w:t>
            </w:r>
            <w:r w:rsidRPr="00CF00BA">
              <w:rPr>
                <w:rFonts w:eastAsia="Times New Roman" w:cstheme="minorHAnsi"/>
                <w:lang w:eastAsia="en-GB"/>
              </w:rPr>
              <w:t xml:space="preserve">. Accessed via </w:t>
            </w:r>
            <w:hyperlink r:id="rId53" w:anchor="90343097" w:history="1">
              <w:r w:rsidRPr="00CF00BA">
                <w:rPr>
                  <w:rStyle w:val="Hyperlink"/>
                  <w:rFonts w:eastAsia="Times New Roman" w:cstheme="minorHAnsi"/>
                  <w:lang w:eastAsia="en-GB"/>
                </w:rPr>
                <w:t>https://academic.oup.com/rheumatology/article/55/9/1693/1744535#90343097</w:t>
              </w:r>
            </w:hyperlink>
            <w:r w:rsidRPr="00CF00BA">
              <w:rPr>
                <w:rFonts w:eastAsia="Times New Roman" w:cstheme="minorHAnsi"/>
                <w:lang w:eastAsia="en-GB"/>
              </w:rPr>
              <w:t xml:space="preserve"> on 03/02/2021.</w:t>
            </w:r>
          </w:p>
          <w:p w14:paraId="7A4A05A6" w14:textId="77777777" w:rsidR="00BC1D5A" w:rsidRPr="00CF00BA" w:rsidRDefault="00BC1D5A" w:rsidP="00632FAA">
            <w:pPr>
              <w:pStyle w:val="ListParagraph"/>
              <w:numPr>
                <w:ilvl w:val="0"/>
                <w:numId w:val="1"/>
              </w:numPr>
              <w:spacing w:after="0"/>
              <w:rPr>
                <w:rFonts w:eastAsia="Times New Roman" w:cstheme="minorHAnsi"/>
                <w:lang w:eastAsia="en-GB"/>
              </w:rPr>
            </w:pPr>
            <w:r w:rsidRPr="00CF00BA">
              <w:rPr>
                <w:rFonts w:eastAsia="Times New Roman" w:cstheme="minorHAnsi"/>
                <w:lang w:eastAsia="en-GB"/>
              </w:rPr>
              <w:t>British Thoracic Society in collaboration with the Thoracic</w:t>
            </w:r>
            <w:r w:rsidRPr="00CF00BA">
              <w:t xml:space="preserve"> </w:t>
            </w:r>
            <w:r w:rsidRPr="00CF00BA">
              <w:rPr>
                <w:rFonts w:eastAsia="Times New Roman" w:cstheme="minorHAnsi"/>
                <w:lang w:eastAsia="en-GB"/>
              </w:rPr>
              <w:t xml:space="preserve">Society of Australia and New Zealand and the Irish Thoracic Society. 2008. </w:t>
            </w:r>
            <w:r w:rsidRPr="00CF00BA">
              <w:t>Interstitial lung disease guideline</w:t>
            </w:r>
            <w:r w:rsidRPr="00CF00BA">
              <w:rPr>
                <w:rFonts w:eastAsia="Times New Roman" w:cstheme="minorHAnsi"/>
                <w:lang w:eastAsia="en-GB"/>
              </w:rPr>
              <w:t xml:space="preserve"> (archived). Accessed via </w:t>
            </w:r>
            <w:hyperlink r:id="rId54" w:history="1">
              <w:r w:rsidRPr="00CF00BA">
                <w:rPr>
                  <w:rStyle w:val="Hyperlink"/>
                  <w:rFonts w:eastAsia="Times New Roman" w:cstheme="minorHAnsi"/>
                  <w:lang w:eastAsia="en-GB"/>
                </w:rPr>
                <w:t>https://www.brit-thoracic.org.uk/quality-improvement/guideline-archive/</w:t>
              </w:r>
            </w:hyperlink>
            <w:r w:rsidRPr="00CF00BA">
              <w:rPr>
                <w:rFonts w:eastAsia="Times New Roman" w:cstheme="minorHAnsi"/>
                <w:lang w:eastAsia="en-GB"/>
              </w:rPr>
              <w:t xml:space="preserve"> 03/02/2021.</w:t>
            </w:r>
          </w:p>
          <w:p w14:paraId="04C7AFCA" w14:textId="77777777" w:rsidR="00BC1D5A" w:rsidRPr="00CF00BA" w:rsidRDefault="00BC1D5A" w:rsidP="00632FAA">
            <w:pPr>
              <w:pStyle w:val="ListParagraph"/>
              <w:numPr>
                <w:ilvl w:val="0"/>
                <w:numId w:val="1"/>
              </w:numPr>
              <w:spacing w:after="0"/>
              <w:rPr>
                <w:rFonts w:eastAsia="Times New Roman" w:cstheme="minorHAnsi"/>
                <w:lang w:eastAsia="en-GB"/>
              </w:rPr>
            </w:pPr>
            <w:r w:rsidRPr="00CF00BA">
              <w:rPr>
                <w:rFonts w:eastAsia="Times New Roman" w:cstheme="minorHAnsi"/>
                <w:lang w:eastAsia="en-GB"/>
              </w:rPr>
              <w:t xml:space="preserve">Renal Drug Database. Hydroxychloroquine sulphate. Reviewed 20/02/2018. Accessed via </w:t>
            </w:r>
            <w:hyperlink r:id="rId55" w:history="1">
              <w:r w:rsidRPr="00CF00BA">
                <w:rPr>
                  <w:rStyle w:val="Hyperlink"/>
                  <w:rFonts w:eastAsia="Times New Roman" w:cstheme="minorHAnsi"/>
                  <w:lang w:eastAsia="en-GB"/>
                </w:rPr>
                <w:t>https://renaldrugdatabase.com/monographs/hydroxychloroquine-sulphate</w:t>
              </w:r>
            </w:hyperlink>
            <w:r w:rsidRPr="00CF00BA">
              <w:rPr>
                <w:rFonts w:eastAsia="Times New Roman" w:cstheme="minorHAnsi"/>
                <w:lang w:eastAsia="en-GB"/>
              </w:rPr>
              <w:t xml:space="preserve"> on 15/09/2021.  </w:t>
            </w:r>
          </w:p>
          <w:p w14:paraId="7BAF7CDF" w14:textId="77777777" w:rsidR="00BC1D5A" w:rsidRPr="00CF00BA" w:rsidRDefault="00BC1D5A" w:rsidP="00632FAA">
            <w:pPr>
              <w:pStyle w:val="ListParagraph"/>
              <w:numPr>
                <w:ilvl w:val="0"/>
                <w:numId w:val="1"/>
              </w:numPr>
              <w:spacing w:after="0"/>
              <w:rPr>
                <w:rFonts w:eastAsia="Times New Roman" w:cstheme="minorHAnsi"/>
                <w:lang w:eastAsia="en-GB"/>
              </w:rPr>
            </w:pPr>
            <w:r w:rsidRPr="00CF00BA">
              <w:rPr>
                <w:rFonts w:eastAsia="Times New Roman" w:cstheme="minorHAnsi"/>
                <w:lang w:eastAsia="en-GB"/>
              </w:rPr>
              <w:t xml:space="preserve">Royal College of Ophthalmologists. 2020. </w:t>
            </w:r>
            <w:r w:rsidRPr="00CF00BA">
              <w:t xml:space="preserve">Hydroxychloroquine and Chloroquine Retinopathy: Recommendations on Monitoring. Accessed via </w:t>
            </w:r>
            <w:hyperlink r:id="rId56" w:history="1">
              <w:r w:rsidRPr="00CF00BA">
                <w:rPr>
                  <w:rStyle w:val="Hyperlink"/>
                </w:rPr>
                <w:t>https://www.rcophth.ac.uk/standards-publications-research/clinical-guidelines/</w:t>
              </w:r>
            </w:hyperlink>
            <w:r w:rsidRPr="00CF00BA">
              <w:t xml:space="preserve"> on 03/02/2021.</w:t>
            </w:r>
          </w:p>
          <w:p w14:paraId="16566276" w14:textId="77777777" w:rsidR="00BC1D5A" w:rsidRPr="00CF00BA" w:rsidRDefault="00BC1D5A" w:rsidP="00632FAA">
            <w:pPr>
              <w:pStyle w:val="ListParagraph"/>
              <w:numPr>
                <w:ilvl w:val="0"/>
                <w:numId w:val="1"/>
              </w:numPr>
              <w:spacing w:after="0"/>
              <w:rPr>
                <w:rFonts w:eastAsia="Times New Roman" w:cstheme="minorHAnsi"/>
                <w:lang w:eastAsia="en-GB"/>
              </w:rPr>
            </w:pPr>
            <w:r w:rsidRPr="00CF00BA">
              <w:lastRenderedPageBreak/>
              <w:t xml:space="preserve">Immunisation against infectious diseases </w:t>
            </w:r>
            <w:r w:rsidRPr="00CF00BA">
              <w:rPr>
                <w:rFonts w:cstheme="minorHAnsi"/>
              </w:rPr>
              <w:t>(The Green Book)</w:t>
            </w:r>
            <w:r w:rsidRPr="00CF00BA">
              <w:t xml:space="preserve">. Accessed </w:t>
            </w:r>
            <w:r w:rsidRPr="00CF00BA">
              <w:rPr>
                <w:rFonts w:cstheme="minorHAnsi"/>
              </w:rPr>
              <w:t xml:space="preserve">via </w:t>
            </w:r>
            <w:hyperlink r:id="rId57" w:history="1">
              <w:r w:rsidRPr="00CF00BA">
                <w:rPr>
                  <w:rStyle w:val="Hyperlink"/>
                  <w:rFonts w:cstheme="minorHAnsi"/>
                </w:rPr>
                <w:t>https://www.gov.uk/government/collections/immunisation-against-infectious-disease-the-green-book</w:t>
              </w:r>
            </w:hyperlink>
            <w:r w:rsidRPr="00CF00BA">
              <w:rPr>
                <w:rFonts w:cstheme="minorHAnsi"/>
              </w:rPr>
              <w:t xml:space="preserve"> on </w:t>
            </w:r>
            <w:r w:rsidRPr="00CF00BA">
              <w:t>03/02/2021.</w:t>
            </w:r>
          </w:p>
          <w:p w14:paraId="462F1EA0" w14:textId="77777777" w:rsidR="00BC1D5A" w:rsidRPr="00CF00BA" w:rsidRDefault="00BC1D5A" w:rsidP="00632FAA">
            <w:pPr>
              <w:pStyle w:val="ListParagraph"/>
              <w:numPr>
                <w:ilvl w:val="0"/>
                <w:numId w:val="1"/>
              </w:numPr>
              <w:spacing w:after="0"/>
              <w:rPr>
                <w:rFonts w:eastAsia="Times New Roman" w:cstheme="minorHAnsi"/>
                <w:lang w:eastAsia="en-GB"/>
              </w:rPr>
            </w:pPr>
            <w:r w:rsidRPr="00CF00BA">
              <w:t xml:space="preserve">NICE Clinical Knowledge Summary. DMARDS: Hydroxychloroquine. Last revised April 2020. Accessed via </w:t>
            </w:r>
            <w:hyperlink r:id="rId58" w:history="1">
              <w:r w:rsidRPr="00CF00BA">
                <w:rPr>
                  <w:rStyle w:val="Hyperlink"/>
                </w:rPr>
                <w:t>https://cks.nice.org.uk/topics/dmards/management/hydroxychloroquine/</w:t>
              </w:r>
            </w:hyperlink>
            <w:r w:rsidRPr="00CF00BA">
              <w:t xml:space="preserve"> on 03/02/2021.</w:t>
            </w:r>
          </w:p>
          <w:p w14:paraId="18B6C3EF" w14:textId="77777777" w:rsidR="00BC1D5A" w:rsidRPr="00CF00BA" w:rsidRDefault="00BC1D5A" w:rsidP="00632FAA">
            <w:pPr>
              <w:pStyle w:val="ListParagraph"/>
              <w:numPr>
                <w:ilvl w:val="0"/>
                <w:numId w:val="1"/>
              </w:numPr>
              <w:spacing w:before="60" w:after="60"/>
              <w:rPr>
                <w:rFonts w:eastAsia="Times New Roman" w:cstheme="minorHAnsi"/>
                <w:lang w:eastAsia="en-GB"/>
              </w:rPr>
            </w:pPr>
            <w:r w:rsidRPr="00CF00BA">
              <w:t xml:space="preserve">Stockley’s Drug Interactions. Accessed via </w:t>
            </w:r>
            <w:hyperlink r:id="rId59" w:history="1">
              <w:r w:rsidRPr="00CF00BA">
                <w:rPr>
                  <w:rStyle w:val="Hyperlink"/>
                </w:rPr>
                <w:t>www.medicinescomplete.com</w:t>
              </w:r>
            </w:hyperlink>
            <w:r w:rsidRPr="00CF00BA">
              <w:t xml:space="preserve"> on 08/04/2021</w:t>
            </w:r>
            <w:r w:rsidRPr="00CF00BA">
              <w:rPr>
                <w:rFonts w:eastAsia="Times New Roman" w:cstheme="minorHAnsi"/>
                <w:lang w:eastAsia="en-GB"/>
              </w:rPr>
              <w:t xml:space="preserve"> </w:t>
            </w:r>
          </w:p>
          <w:p w14:paraId="36875934" w14:textId="77777777" w:rsidR="00BC1D5A" w:rsidRPr="00CF00BA" w:rsidRDefault="00BC1D5A" w:rsidP="00632FAA">
            <w:pPr>
              <w:pStyle w:val="ListParagraph"/>
              <w:numPr>
                <w:ilvl w:val="0"/>
                <w:numId w:val="1"/>
              </w:numPr>
              <w:spacing w:before="60" w:after="60"/>
              <w:rPr>
                <w:rFonts w:eastAsia="Times New Roman" w:cstheme="minorHAnsi"/>
                <w:lang w:eastAsia="en-GB"/>
              </w:rPr>
            </w:pPr>
            <w:r w:rsidRPr="00CF00BA">
              <w:rPr>
                <w:rFonts w:eastAsia="Times New Roman" w:cstheme="minorHAnsi"/>
                <w:lang w:eastAsia="en-GB"/>
              </w:rPr>
              <w:t xml:space="preserve">NEWT Guidelines. Hydroxychloroquine. Last updated November 2012. Accessed via </w:t>
            </w:r>
            <w:hyperlink r:id="rId60" w:history="1">
              <w:r w:rsidRPr="00CF00BA">
                <w:rPr>
                  <w:rStyle w:val="Hyperlink"/>
                  <w:rFonts w:eastAsia="Times New Roman" w:cstheme="minorHAnsi"/>
                  <w:lang w:eastAsia="en-GB"/>
                </w:rPr>
                <w:t>https://access.newtguidelines.com/H/Hydroxychloroquine.html</w:t>
              </w:r>
            </w:hyperlink>
            <w:r w:rsidRPr="00CF00BA">
              <w:rPr>
                <w:rFonts w:eastAsia="Times New Roman" w:cstheme="minorHAnsi"/>
                <w:lang w:eastAsia="en-GB"/>
              </w:rPr>
              <w:t xml:space="preserve"> on 18/01/2021.</w:t>
            </w:r>
          </w:p>
          <w:p w14:paraId="79414682" w14:textId="0175EE45" w:rsidR="001E3E2A" w:rsidRPr="00CF00BA" w:rsidRDefault="00BC1D5A" w:rsidP="00632FAA">
            <w:pPr>
              <w:numPr>
                <w:ilvl w:val="0"/>
                <w:numId w:val="1"/>
              </w:numPr>
              <w:spacing w:after="50"/>
              <w:ind w:left="357" w:hanging="357"/>
              <w:rPr>
                <w:rFonts w:eastAsia="Times New Roman" w:cs="Arial"/>
                <w:lang w:eastAsia="en-GB"/>
              </w:rPr>
            </w:pPr>
            <w:r w:rsidRPr="00CF00BA">
              <w:rPr>
                <w:rFonts w:eastAsia="Times New Roman" w:cstheme="minorHAnsi"/>
                <w:lang w:eastAsia="en-GB"/>
              </w:rPr>
              <w:t xml:space="preserve">RMOC Advice on the monitoring requirements for HCQ: </w:t>
            </w:r>
            <w:r w:rsidRPr="00CF00BA">
              <w:rPr>
                <w:rFonts w:eastAsia="Times New Roman" w:cstheme="minorHAnsi"/>
                <w:i/>
                <w:lang w:eastAsia="en-GB"/>
              </w:rPr>
              <w:t>final draft pending publication</w:t>
            </w:r>
            <w:r w:rsidRPr="00CF00BA">
              <w:rPr>
                <w:rFonts w:eastAsia="Times New Roman" w:cstheme="minorHAnsi"/>
                <w:lang w:eastAsia="en-GB"/>
              </w:rPr>
              <w:t>.</w:t>
            </w:r>
          </w:p>
        </w:tc>
      </w:tr>
      <w:tr w:rsidR="002C1756" w:rsidRPr="00CF00BA" w14:paraId="42F50346" w14:textId="77777777" w:rsidTr="007C7494">
        <w:trPr>
          <w:jc w:val="center"/>
        </w:trPr>
        <w:tc>
          <w:tcPr>
            <w:tcW w:w="10455" w:type="dxa"/>
            <w:tcBorders>
              <w:bottom w:val="nil"/>
            </w:tcBorders>
            <w:shd w:val="clear" w:color="auto" w:fill="F2F2F2"/>
          </w:tcPr>
          <w:p w14:paraId="24F76BF3" w14:textId="4C261A28" w:rsidR="002C1756" w:rsidRPr="00CF00BA" w:rsidRDefault="002C1756" w:rsidP="007F3977">
            <w:pPr>
              <w:pStyle w:val="Heading1"/>
              <w:tabs>
                <w:tab w:val="right" w:pos="10240"/>
              </w:tabs>
              <w:ind w:left="599" w:hanging="599"/>
              <w:rPr>
                <w:lang w:eastAsia="en-GB"/>
              </w:rPr>
            </w:pPr>
            <w:bookmarkStart w:id="20" w:name="Sixteen_relevant_guidance"/>
            <w:r w:rsidRPr="00CF00BA">
              <w:rPr>
                <w:lang w:eastAsia="en-GB"/>
              </w:rPr>
              <w:lastRenderedPageBreak/>
              <w:t>Other relevant national guidance</w:t>
            </w:r>
            <w:bookmarkEnd w:id="20"/>
            <w:r w:rsidR="007F3977" w:rsidRPr="00CF00BA">
              <w:rPr>
                <w:lang w:eastAsia="en-GB"/>
              </w:rPr>
              <w:t xml:space="preserve"> </w:t>
            </w:r>
            <w:r w:rsidR="007F3977" w:rsidRPr="00CF00BA">
              <w:rPr>
                <w:lang w:eastAsia="en-GB"/>
              </w:rPr>
              <w:tab/>
            </w:r>
            <w:hyperlink w:anchor="Responsibilities" w:history="1">
              <w:r w:rsidR="007F3977" w:rsidRPr="00CF00BA">
                <w:rPr>
                  <w:rStyle w:val="Hyperlink"/>
                  <w:rFonts w:eastAsia="Times New Roman" w:cs="Arial"/>
                  <w:b w:val="0"/>
                  <w:bCs w:val="0"/>
                  <w:sz w:val="24"/>
                  <w:szCs w:val="24"/>
                  <w:lang w:eastAsia="en-GB"/>
                </w:rPr>
                <w:t>Back to top</w:t>
              </w:r>
            </w:hyperlink>
          </w:p>
        </w:tc>
      </w:tr>
      <w:tr w:rsidR="002C1756" w:rsidRPr="00CF00BA" w14:paraId="4CE5A668" w14:textId="77777777" w:rsidTr="007C7494">
        <w:trPr>
          <w:jc w:val="center"/>
        </w:trPr>
        <w:tc>
          <w:tcPr>
            <w:tcW w:w="10455" w:type="dxa"/>
            <w:tcBorders>
              <w:top w:val="nil"/>
              <w:bottom w:val="single" w:sz="4" w:space="0" w:color="auto"/>
            </w:tcBorders>
          </w:tcPr>
          <w:p w14:paraId="789B02DF" w14:textId="77777777" w:rsidR="00BC1D5A" w:rsidRPr="00CF00BA" w:rsidRDefault="00BC1D5A" w:rsidP="0057584D">
            <w:pPr>
              <w:pStyle w:val="ListParagraph"/>
              <w:numPr>
                <w:ilvl w:val="0"/>
                <w:numId w:val="2"/>
              </w:numPr>
              <w:spacing w:before="60" w:after="60"/>
              <w:ind w:left="357" w:hanging="357"/>
              <w:rPr>
                <w:rFonts w:eastAsia="Times New Roman" w:cstheme="minorHAnsi"/>
                <w:lang w:eastAsia="en-GB"/>
              </w:rPr>
            </w:pPr>
            <w:r w:rsidRPr="00CF00BA">
              <w:rPr>
                <w:rFonts w:eastAsia="Times New Roman" w:cstheme="minorHAnsi"/>
                <w:lang w:eastAsia="en-GB"/>
              </w:rPr>
              <w:t xml:space="preserve">Shared Care for Medicines Guidance – A Standard Approach (RMOC). Available from </w:t>
            </w:r>
            <w:hyperlink r:id="rId61" w:history="1">
              <w:r w:rsidRPr="00CF00BA">
                <w:rPr>
                  <w:rStyle w:val="Hyperlink"/>
                  <w:rFonts w:eastAsia="Times New Roman" w:cstheme="minorHAnsi"/>
                  <w:lang w:eastAsia="en-GB"/>
                </w:rPr>
                <w:t>https://www.sps.nhs.uk/articles/rmoc-shared-care-guidance/</w:t>
              </w:r>
            </w:hyperlink>
            <w:r w:rsidRPr="00CF00BA">
              <w:rPr>
                <w:rFonts w:eastAsia="Times New Roman" w:cstheme="minorHAnsi"/>
                <w:lang w:eastAsia="en-GB"/>
              </w:rPr>
              <w:t xml:space="preserve"> </w:t>
            </w:r>
          </w:p>
          <w:p w14:paraId="6DCA1434" w14:textId="77777777" w:rsidR="00BC1D5A" w:rsidRPr="00CF00BA" w:rsidRDefault="00BC1D5A" w:rsidP="0057584D">
            <w:pPr>
              <w:pStyle w:val="ListParagraph"/>
              <w:numPr>
                <w:ilvl w:val="0"/>
                <w:numId w:val="2"/>
              </w:numPr>
              <w:spacing w:before="60" w:after="60"/>
              <w:ind w:left="357" w:hanging="357"/>
              <w:rPr>
                <w:rFonts w:eastAsia="Times New Roman" w:cstheme="minorHAnsi"/>
                <w:lang w:eastAsia="en-GB"/>
              </w:rPr>
            </w:pPr>
            <w:r w:rsidRPr="00CF00BA">
              <w:rPr>
                <w:rFonts w:eastAsia="Times New Roman" w:cstheme="minorHAnsi"/>
                <w:lang w:eastAsia="en-GB"/>
              </w:rPr>
              <w:t xml:space="preserve">NHSE guidance – </w:t>
            </w:r>
            <w:r w:rsidRPr="00CF00BA">
              <w:t xml:space="preserve">Responsibility for prescribing between primary &amp; secondary/tertiary care. Available from </w:t>
            </w:r>
            <w:hyperlink r:id="rId62" w:history="1">
              <w:r w:rsidRPr="00CF00BA">
                <w:rPr>
                  <w:rStyle w:val="Hyperlink"/>
                </w:rPr>
                <w:t>https://www.england.nhs.uk/publication/responsibility-for-prescribing-between-primary-and-secondary-tertiary-care/</w:t>
              </w:r>
            </w:hyperlink>
            <w:r w:rsidRPr="00CF00BA">
              <w:t xml:space="preserve"> </w:t>
            </w:r>
          </w:p>
          <w:p w14:paraId="7C75FE02" w14:textId="77777777" w:rsidR="00BC1D5A" w:rsidRPr="00CF00BA" w:rsidRDefault="00BC1D5A" w:rsidP="0057584D">
            <w:pPr>
              <w:pStyle w:val="ListParagraph"/>
              <w:numPr>
                <w:ilvl w:val="0"/>
                <w:numId w:val="2"/>
              </w:numPr>
              <w:spacing w:before="60" w:after="60"/>
              <w:ind w:left="357" w:hanging="357"/>
              <w:rPr>
                <w:rFonts w:eastAsia="Times New Roman" w:cstheme="minorHAnsi"/>
                <w:lang w:eastAsia="en-GB"/>
              </w:rPr>
            </w:pPr>
            <w:r w:rsidRPr="00CF00BA">
              <w:rPr>
                <w:rFonts w:eastAsia="Times New Roman" w:cstheme="minorHAnsi"/>
                <w:lang w:eastAsia="en-GB"/>
              </w:rPr>
              <w:t xml:space="preserve">General Medical Council. Good practice in prescribing and managing medicines and devices. Shared care. Available from </w:t>
            </w:r>
            <w:hyperlink r:id="rId63" w:history="1">
              <w:r w:rsidRPr="00CF00BA">
                <w:rPr>
                  <w:rStyle w:val="Hyperlink"/>
                  <w:rFonts w:eastAsia="Times New Roman" w:cstheme="minorHAnsi"/>
                  <w:lang w:eastAsia="en-GB"/>
                </w:rPr>
                <w:t>https://www.gmc-uk.org/ethical-guidance/ethical-guidance-for-doctors/good-practice-in-prescribing-and-managing-medicines-and-devices/shared-care</w:t>
              </w:r>
            </w:hyperlink>
            <w:r w:rsidRPr="00CF00BA">
              <w:rPr>
                <w:rFonts w:eastAsia="Times New Roman" w:cstheme="minorHAnsi"/>
                <w:lang w:eastAsia="en-GB"/>
              </w:rPr>
              <w:t xml:space="preserve"> </w:t>
            </w:r>
          </w:p>
          <w:p w14:paraId="17D120D7" w14:textId="559E7AF3" w:rsidR="002C1756" w:rsidRPr="00CF00BA" w:rsidRDefault="00BC1D5A" w:rsidP="0057584D">
            <w:pPr>
              <w:pStyle w:val="ListParagraph"/>
              <w:numPr>
                <w:ilvl w:val="0"/>
                <w:numId w:val="2"/>
              </w:numPr>
              <w:spacing w:after="120"/>
              <w:rPr>
                <w:rFonts w:eastAsia="Times New Roman" w:cs="Arial"/>
                <w:lang w:eastAsia="en-GB"/>
              </w:rPr>
            </w:pPr>
            <w:r w:rsidRPr="00CF00BA">
              <w:rPr>
                <w:rFonts w:eastAsia="Times New Roman" w:cstheme="minorHAnsi"/>
                <w:lang w:eastAsia="en-GB"/>
              </w:rPr>
              <w:t xml:space="preserve">NICE NG197: Shared decision making. Last updated June 2021. </w:t>
            </w:r>
            <w:hyperlink r:id="rId64" w:history="1">
              <w:r w:rsidRPr="00CF00BA">
                <w:rPr>
                  <w:rStyle w:val="Hyperlink"/>
                  <w:rFonts w:eastAsia="Times New Roman" w:cstheme="minorHAnsi"/>
                  <w:lang w:eastAsia="en-GB"/>
                </w:rPr>
                <w:t>https://www.nice.org.uk/guidance/ng197/</w:t>
              </w:r>
            </w:hyperlink>
            <w:r w:rsidRPr="00CF00BA">
              <w:rPr>
                <w:rFonts w:eastAsia="Times New Roman" w:cstheme="minorHAnsi"/>
                <w:lang w:eastAsia="en-GB"/>
              </w:rPr>
              <w:t>.</w:t>
            </w:r>
          </w:p>
        </w:tc>
      </w:tr>
      <w:tr w:rsidR="00B92DDF" w:rsidRPr="00CF00BA" w14:paraId="47C81485" w14:textId="77777777" w:rsidTr="007C7494">
        <w:trPr>
          <w:jc w:val="center"/>
        </w:trPr>
        <w:tc>
          <w:tcPr>
            <w:tcW w:w="10455" w:type="dxa"/>
            <w:tcBorders>
              <w:bottom w:val="nil"/>
            </w:tcBorders>
            <w:shd w:val="clear" w:color="auto" w:fill="F2F2F2"/>
          </w:tcPr>
          <w:p w14:paraId="24773817" w14:textId="201B7BAE" w:rsidR="00B92DDF" w:rsidRPr="00CF00BA" w:rsidRDefault="00B92DDF" w:rsidP="00846A4A">
            <w:pPr>
              <w:pStyle w:val="Heading1"/>
              <w:tabs>
                <w:tab w:val="right" w:pos="10240"/>
              </w:tabs>
              <w:ind w:left="599" w:hanging="599"/>
              <w:rPr>
                <w:lang w:eastAsia="en-GB"/>
              </w:rPr>
            </w:pPr>
            <w:r w:rsidRPr="00CF00BA">
              <w:rPr>
                <w:lang w:eastAsia="en-GB"/>
              </w:rPr>
              <w:t xml:space="preserve">Local arrangements for referral </w:t>
            </w:r>
            <w:r w:rsidRPr="00CF00BA">
              <w:rPr>
                <w:lang w:eastAsia="en-GB"/>
              </w:rPr>
              <w:tab/>
            </w:r>
            <w:hyperlink w:anchor="Responsibilities" w:history="1">
              <w:r w:rsidRPr="00CF00BA">
                <w:rPr>
                  <w:rStyle w:val="Hyperlink"/>
                  <w:rFonts w:eastAsia="Times New Roman" w:cs="Arial"/>
                  <w:b w:val="0"/>
                  <w:bCs w:val="0"/>
                  <w:sz w:val="24"/>
                  <w:szCs w:val="24"/>
                  <w:lang w:eastAsia="en-GB"/>
                </w:rPr>
                <w:t>Back to top</w:t>
              </w:r>
            </w:hyperlink>
          </w:p>
          <w:p w14:paraId="0CAF9A88" w14:textId="77777777" w:rsidR="00B92DDF" w:rsidRPr="00CF00BA" w:rsidRDefault="00B92DDF" w:rsidP="00B92DDF">
            <w:pPr>
              <w:spacing w:before="60" w:after="60" w:line="240" w:lineRule="auto"/>
              <w:rPr>
                <w:rFonts w:eastAsia="Times New Roman" w:cs="Arial"/>
                <w:lang w:eastAsia="en-GB"/>
              </w:rPr>
            </w:pPr>
            <w:r w:rsidRPr="00CF00BA">
              <w:rPr>
                <w:rFonts w:eastAsia="Times New Roman" w:cs="Arial"/>
                <w:bCs/>
                <w:lang w:eastAsia="en-GB"/>
              </w:rPr>
              <w:t>Define the referral procedure from hospital to primary care prescriber &amp; route of return should the patient’s condition change.</w:t>
            </w:r>
          </w:p>
        </w:tc>
      </w:tr>
      <w:tr w:rsidR="00B92DDF" w:rsidRPr="00CF00BA" w14:paraId="1EFCF2EC" w14:textId="77777777" w:rsidTr="007C7494">
        <w:trPr>
          <w:jc w:val="center"/>
        </w:trPr>
        <w:tc>
          <w:tcPr>
            <w:tcW w:w="10455" w:type="dxa"/>
            <w:tcBorders>
              <w:top w:val="nil"/>
            </w:tcBorders>
          </w:tcPr>
          <w:p w14:paraId="51A4166B" w14:textId="6135F63C" w:rsidR="00B92DDF" w:rsidRPr="00CF00BA" w:rsidRDefault="00243F99" w:rsidP="00B92DDF">
            <w:pPr>
              <w:spacing w:before="60" w:after="60" w:line="240" w:lineRule="auto"/>
              <w:rPr>
                <w:rFonts w:eastAsia="Times New Roman" w:cs="Arial"/>
                <w:color w:val="000000"/>
                <w:lang w:val="en" w:eastAsia="en-GB"/>
              </w:rPr>
            </w:pPr>
            <w:r>
              <w:t>Follow Place based processes</w:t>
            </w:r>
            <w:r w:rsidR="00B92DDF" w:rsidRPr="00CF00BA">
              <w:rPr>
                <w:rFonts w:eastAsia="Times New Roman" w:cs="Arial"/>
                <w:lang w:eastAsia="en-GB"/>
              </w:rPr>
              <w:t xml:space="preserve"> </w:t>
            </w:r>
          </w:p>
        </w:tc>
      </w:tr>
    </w:tbl>
    <w:p w14:paraId="4F3763D2" w14:textId="0DE927B2" w:rsidR="0087662D" w:rsidRPr="00CF00BA" w:rsidRDefault="0087662D" w:rsidP="00295135">
      <w:pPr>
        <w:spacing w:after="0" w:line="240" w:lineRule="auto"/>
        <w:rPr>
          <w:rFonts w:ascii="Times New Roman" w:eastAsia="Times New Roman" w:hAnsi="Times New Roman" w:cs="Times New Roman"/>
          <w:szCs w:val="24"/>
          <w:lang w:eastAsia="en-GB"/>
        </w:rPr>
      </w:pPr>
    </w:p>
    <w:p w14:paraId="1AFD53FF" w14:textId="77777777" w:rsidR="00295135" w:rsidRPr="00CF00BA" w:rsidRDefault="00295135" w:rsidP="00295135">
      <w:pPr>
        <w:pStyle w:val="mmFooter"/>
        <w:spacing w:before="0" w:beforeAutospacing="0" w:after="0" w:afterAutospacing="0"/>
        <w:jc w:val="left"/>
      </w:pPr>
      <w:r w:rsidRPr="00CF00BA">
        <w:t xml:space="preserve">APC board date: </w:t>
      </w:r>
    </w:p>
    <w:p w14:paraId="038C15E9" w14:textId="77777777" w:rsidR="00295135" w:rsidRPr="00CF00BA" w:rsidRDefault="00295135" w:rsidP="00295135">
      <w:pPr>
        <w:pStyle w:val="mmFooter"/>
        <w:spacing w:before="0" w:beforeAutospacing="0" w:after="0" w:afterAutospacing="0"/>
        <w:jc w:val="left"/>
      </w:pPr>
      <w:r w:rsidRPr="00CF00BA">
        <w:t xml:space="preserve">Last updated: </w:t>
      </w:r>
    </w:p>
    <w:p w14:paraId="75924742" w14:textId="77777777" w:rsidR="00A063A1" w:rsidRPr="00CF00BA" w:rsidRDefault="00A063A1" w:rsidP="00877E1D">
      <w:pPr>
        <w:rPr>
          <w:rFonts w:ascii="Calibri" w:hAnsi="Calibri" w:cs="Calibri"/>
          <w:b/>
          <w:u w:val="single"/>
        </w:rPr>
      </w:pPr>
    </w:p>
    <w:p w14:paraId="4F2BAA2E" w14:textId="77777777" w:rsidR="005F6358" w:rsidRPr="00CF00BA" w:rsidRDefault="005F6358" w:rsidP="005F6358">
      <w:pPr>
        <w:rPr>
          <w:rFonts w:cstheme="minorHAnsi"/>
        </w:rPr>
      </w:pPr>
      <w:r w:rsidRPr="00CF00BA">
        <w:rPr>
          <w:rFonts w:cstheme="minorHAnsi"/>
        </w:rPr>
        <w:br w:type="page"/>
      </w:r>
    </w:p>
    <w:p w14:paraId="592C80B3" w14:textId="77777777" w:rsidR="005F6358" w:rsidRPr="00CF00BA" w:rsidRDefault="005F6358" w:rsidP="00F13240">
      <w:pPr>
        <w:pStyle w:val="Heading1"/>
        <w:numPr>
          <w:ilvl w:val="0"/>
          <w:numId w:val="0"/>
        </w:numPr>
      </w:pPr>
      <w:bookmarkStart w:id="21" w:name="_Toc64632334"/>
      <w:r w:rsidRPr="00CF00BA">
        <w:lastRenderedPageBreak/>
        <w:t>Appendix 1: Shared Care Request letter (Specialist to Primary Care Prescriber)</w:t>
      </w:r>
      <w:bookmarkEnd w:id="21"/>
    </w:p>
    <w:p w14:paraId="246F0E02" w14:textId="77777777" w:rsidR="000440DF" w:rsidRPr="006C3BBB" w:rsidRDefault="000440DF" w:rsidP="000440DF">
      <w:pPr>
        <w:rPr>
          <w:rFonts w:eastAsia="Times New Roman" w:cs="Calibri"/>
          <w:szCs w:val="24"/>
        </w:rPr>
      </w:pPr>
      <w:bookmarkStart w:id="22" w:name="_Hlk193792059"/>
      <w:r w:rsidRPr="006C3BBB">
        <w:rPr>
          <w:rFonts w:eastAsia="Times New Roman" w:cs="Calibri"/>
          <w:szCs w:val="24"/>
        </w:rPr>
        <w:t xml:space="preserve">Dear </w:t>
      </w:r>
      <w:permStart w:id="588277013" w:edGrp="everyone"/>
      <w:r w:rsidRPr="006C3BBB">
        <w:rPr>
          <w:rFonts w:eastAsia="Times New Roman" w:cs="Calibri"/>
          <w:i/>
          <w:iCs/>
          <w:szCs w:val="24"/>
        </w:rPr>
        <w:t>insert Primary Care Prescriber's name</w:t>
      </w:r>
      <w:permEnd w:id="588277013"/>
    </w:p>
    <w:p w14:paraId="5379263C" w14:textId="51BDFCED" w:rsidR="000440DF" w:rsidRPr="006C3BBB" w:rsidRDefault="000440DF" w:rsidP="000440DF">
      <w:pPr>
        <w:spacing w:after="0"/>
        <w:rPr>
          <w:rFonts w:eastAsia="Times New Roman" w:cs="Calibri"/>
          <w:szCs w:val="24"/>
        </w:rPr>
      </w:pPr>
      <w:r w:rsidRPr="006C3BBB">
        <w:rPr>
          <w:rFonts w:eastAsia="Times New Roman" w:cs="Calibri"/>
          <w:szCs w:val="24"/>
        </w:rPr>
        <w:t>Patient name:</w:t>
      </w:r>
      <w:r>
        <w:rPr>
          <w:rFonts w:eastAsia="Times New Roman" w:cs="Calibri"/>
          <w:szCs w:val="24"/>
        </w:rPr>
        <w:t xml:space="preserve"> </w:t>
      </w:r>
      <w:permStart w:id="1658925795" w:edGrp="everyone"/>
      <w:r w:rsidRPr="006C3BBB">
        <w:rPr>
          <w:rFonts w:eastAsia="Times New Roman" w:cs="Calibri"/>
          <w:i/>
          <w:iCs/>
          <w:szCs w:val="24"/>
        </w:rPr>
        <w:t>insert patient's</w:t>
      </w:r>
      <w:r w:rsidR="005D6F55">
        <w:t xml:space="preserve"> </w:t>
      </w:r>
      <w:r w:rsidRPr="006C3BBB">
        <w:rPr>
          <w:rFonts w:eastAsia="Times New Roman" w:cs="Calibri"/>
          <w:i/>
          <w:iCs/>
          <w:szCs w:val="24"/>
        </w:rPr>
        <w:t>name</w:t>
      </w:r>
      <w:permEnd w:id="1658925795"/>
    </w:p>
    <w:p w14:paraId="69BCBEE2" w14:textId="77777777" w:rsidR="000440DF" w:rsidRPr="006C3BBB" w:rsidRDefault="000440DF" w:rsidP="000440DF">
      <w:pPr>
        <w:spacing w:after="0"/>
        <w:rPr>
          <w:rFonts w:eastAsia="Times New Roman" w:cs="Calibri"/>
          <w:i/>
          <w:szCs w:val="24"/>
        </w:rPr>
      </w:pPr>
      <w:r w:rsidRPr="006C3BBB">
        <w:rPr>
          <w:rFonts w:eastAsia="Times New Roman" w:cs="Calibri"/>
          <w:szCs w:val="24"/>
        </w:rPr>
        <w:t>Date of birth:</w:t>
      </w:r>
      <w:r w:rsidRPr="006C3BBB">
        <w:rPr>
          <w:rFonts w:eastAsia="Times New Roman" w:cs="Calibri"/>
          <w:szCs w:val="24"/>
        </w:rPr>
        <w:tab/>
      </w:r>
      <w:permStart w:id="1591574044" w:edGrp="everyone"/>
      <w:r w:rsidRPr="006C3BBB">
        <w:rPr>
          <w:rFonts w:eastAsia="Times New Roman" w:cs="Calibri"/>
          <w:i/>
          <w:iCs/>
          <w:szCs w:val="24"/>
        </w:rPr>
        <w:t>insert date of birth</w:t>
      </w:r>
      <w:permEnd w:id="1591574044"/>
    </w:p>
    <w:p w14:paraId="08F3E44F" w14:textId="77777777" w:rsidR="000440DF" w:rsidRPr="006C3BBB" w:rsidRDefault="000440DF" w:rsidP="000440DF">
      <w:pPr>
        <w:spacing w:after="0"/>
        <w:rPr>
          <w:rFonts w:eastAsia="Times New Roman" w:cs="Calibri"/>
          <w:szCs w:val="24"/>
        </w:rPr>
      </w:pPr>
      <w:r w:rsidRPr="006C3BBB">
        <w:rPr>
          <w:rFonts w:eastAsia="Times New Roman" w:cs="Calibri"/>
          <w:szCs w:val="24"/>
        </w:rPr>
        <w:t>NHS Number</w:t>
      </w:r>
      <w:r w:rsidRPr="006C3BBB">
        <w:rPr>
          <w:rFonts w:eastAsia="Times New Roman" w:cs="Calibri"/>
          <w:i/>
          <w:szCs w:val="24"/>
        </w:rPr>
        <w:t xml:space="preserve">: </w:t>
      </w:r>
      <w:permStart w:id="640294597" w:edGrp="everyone"/>
      <w:r w:rsidRPr="006C3BBB">
        <w:rPr>
          <w:rFonts w:eastAsia="Times New Roman" w:cs="Calibri"/>
          <w:i/>
          <w:szCs w:val="24"/>
        </w:rPr>
        <w:t>insert NHS Number</w:t>
      </w:r>
      <w:permEnd w:id="640294597"/>
    </w:p>
    <w:p w14:paraId="0F8A5603" w14:textId="77777777" w:rsidR="000440DF" w:rsidRPr="006C3BBB" w:rsidRDefault="000440DF" w:rsidP="000440DF">
      <w:pPr>
        <w:rPr>
          <w:rFonts w:eastAsia="Times New Roman" w:cs="Calibri"/>
          <w:i/>
          <w:szCs w:val="24"/>
        </w:rPr>
      </w:pPr>
      <w:r w:rsidRPr="006C3BBB">
        <w:rPr>
          <w:rFonts w:eastAsia="Times New Roman" w:cs="Calibri"/>
          <w:szCs w:val="24"/>
        </w:rPr>
        <w:t xml:space="preserve">Diagnosis: </w:t>
      </w:r>
      <w:permStart w:id="317988612" w:edGrp="everyone"/>
      <w:r w:rsidRPr="006C3BBB">
        <w:rPr>
          <w:rFonts w:eastAsia="Times New Roman" w:cs="Calibri"/>
          <w:i/>
          <w:iCs/>
          <w:szCs w:val="24"/>
        </w:rPr>
        <w:t>insert diagnosis</w:t>
      </w:r>
      <w:permEnd w:id="317988612"/>
    </w:p>
    <w:p w14:paraId="4912641E" w14:textId="77777777" w:rsidR="000440DF" w:rsidRDefault="000440DF" w:rsidP="00983DCA">
      <w:pPr>
        <w:spacing w:after="0"/>
        <w:rPr>
          <w:rFonts w:eastAsia="Calibri" w:cs="Times New Roman"/>
          <w:szCs w:val="24"/>
        </w:rPr>
      </w:pPr>
    </w:p>
    <w:p w14:paraId="6197A11F" w14:textId="77777777" w:rsidR="000440DF" w:rsidRPr="006C3BBB" w:rsidRDefault="000440DF" w:rsidP="000440DF">
      <w:pPr>
        <w:rPr>
          <w:rFonts w:eastAsia="Calibri" w:cs="Times New Roman"/>
          <w:i/>
          <w:iCs/>
          <w:szCs w:val="24"/>
        </w:rPr>
      </w:pPr>
      <w:r w:rsidRPr="006C3BBB">
        <w:rPr>
          <w:rFonts w:eastAsia="Calibri" w:cs="Times New Roman"/>
          <w:szCs w:val="24"/>
        </w:rPr>
        <w:t>As per the agreed</w:t>
      </w:r>
      <w:r>
        <w:rPr>
          <w:rFonts w:eastAsia="Calibri" w:cs="Times New Roman"/>
          <w:szCs w:val="24"/>
        </w:rPr>
        <w:t xml:space="preserve"> SWL s</w:t>
      </w:r>
      <w:r w:rsidRPr="006C3BBB">
        <w:rPr>
          <w:rFonts w:eastAsia="Calibri" w:cs="Times New Roman"/>
          <w:szCs w:val="24"/>
        </w:rPr>
        <w:t>hared care protocol for</w:t>
      </w:r>
      <w:r>
        <w:rPr>
          <w:rFonts w:eastAsia="Calibri" w:cs="Times New Roman"/>
          <w:szCs w:val="24"/>
        </w:rPr>
        <w:t xml:space="preserve"> </w:t>
      </w:r>
      <w:permStart w:id="610539024" w:edGrp="everyone"/>
      <w:r w:rsidRPr="006C3BBB">
        <w:rPr>
          <w:rFonts w:eastAsia="Calibri" w:cs="Times New Roman"/>
          <w:i/>
          <w:iCs/>
          <w:szCs w:val="24"/>
        </w:rPr>
        <w:t xml:space="preserve">insert medicine </w:t>
      </w:r>
      <w:permEnd w:id="610539024"/>
      <w:r w:rsidRPr="006C3BBB">
        <w:rPr>
          <w:rFonts w:eastAsia="Calibri" w:cs="Times New Roman"/>
          <w:i/>
          <w:iCs/>
          <w:szCs w:val="24"/>
        </w:rPr>
        <w:t>name</w:t>
      </w:r>
      <w:r>
        <w:rPr>
          <w:rFonts w:eastAsia="Calibri" w:cs="Times New Roman"/>
          <w:i/>
          <w:iCs/>
          <w:szCs w:val="24"/>
        </w:rPr>
        <w:t xml:space="preserve"> </w:t>
      </w:r>
      <w:r w:rsidRPr="006C3BBB">
        <w:rPr>
          <w:rFonts w:eastAsia="Calibri" w:cs="Times New Roman"/>
          <w:szCs w:val="24"/>
        </w:rPr>
        <w:t xml:space="preserve">for the treatment of </w:t>
      </w:r>
      <w:permStart w:id="1553872864" w:edGrp="everyone"/>
      <w:r w:rsidRPr="006C3BBB">
        <w:rPr>
          <w:rFonts w:eastAsia="Calibri" w:cs="Times New Roman"/>
          <w:i/>
          <w:iCs/>
          <w:szCs w:val="24"/>
        </w:rPr>
        <w:t>insert indication</w:t>
      </w:r>
      <w:permEnd w:id="1553872864"/>
      <w:r w:rsidRPr="006C3BBB">
        <w:rPr>
          <w:rFonts w:eastAsia="Calibri" w:cs="Times New Roman"/>
          <w:i/>
          <w:szCs w:val="24"/>
        </w:rPr>
        <w:t xml:space="preserve">, </w:t>
      </w:r>
      <w:r w:rsidRPr="006C3BBB">
        <w:rPr>
          <w:rFonts w:eastAsia="Calibri" w:cs="Times New Roman"/>
          <w:szCs w:val="24"/>
        </w:rPr>
        <w:t>this patient is now suitable for prescribing to move to primary care.</w:t>
      </w:r>
    </w:p>
    <w:bookmarkEnd w:id="22"/>
    <w:p w14:paraId="2093DFBA" w14:textId="1BEE152D" w:rsidR="005F6358" w:rsidRPr="00CF00BA" w:rsidRDefault="005F6358" w:rsidP="00F13240">
      <w:r w:rsidRPr="00CF00BA">
        <w:t>The patient fulfils criteria for shared care and I am therefore requesting your agreement to participate in shared care. Where baseline investigations are set out in the shared care protocol, I have carried these out.</w:t>
      </w:r>
    </w:p>
    <w:p w14:paraId="63FAAEC5" w14:textId="77777777" w:rsidR="005F6358" w:rsidRPr="00CF00BA" w:rsidRDefault="005F6358" w:rsidP="00F13240">
      <w:r w:rsidRPr="00CF00BA">
        <w:t>I can confirm that the following has happened with regard to this treatment:</w:t>
      </w:r>
    </w:p>
    <w:tbl>
      <w:tblPr>
        <w:tblStyle w:val="TableGrid1"/>
        <w:tblW w:w="9776" w:type="dxa"/>
        <w:tblLook w:val="04A0" w:firstRow="1" w:lastRow="0" w:firstColumn="1" w:lastColumn="0" w:noHBand="0" w:noVBand="1"/>
      </w:tblPr>
      <w:tblGrid>
        <w:gridCol w:w="7650"/>
        <w:gridCol w:w="2126"/>
      </w:tblGrid>
      <w:tr w:rsidR="005F6358" w:rsidRPr="00CF00BA" w14:paraId="0B8EECC0" w14:textId="77777777" w:rsidTr="00F13240">
        <w:tc>
          <w:tcPr>
            <w:tcW w:w="7650" w:type="dxa"/>
            <w:shd w:val="clear" w:color="auto" w:fill="D9D9D9" w:themeFill="background1" w:themeFillShade="D9"/>
            <w:vAlign w:val="center"/>
          </w:tcPr>
          <w:p w14:paraId="230FB15B" w14:textId="77777777" w:rsidR="005F6358" w:rsidRPr="00CF00BA" w:rsidRDefault="005F6358" w:rsidP="00F13240">
            <w:pPr>
              <w:spacing w:before="60" w:after="60" w:line="276" w:lineRule="auto"/>
              <w:jc w:val="center"/>
              <w:rPr>
                <w:rFonts w:eastAsia="Times New Roman" w:cstheme="minorHAnsi"/>
                <w:b/>
                <w:sz w:val="18"/>
              </w:rPr>
            </w:pPr>
          </w:p>
        </w:tc>
        <w:tc>
          <w:tcPr>
            <w:tcW w:w="2126" w:type="dxa"/>
            <w:shd w:val="clear" w:color="auto" w:fill="D9D9D9" w:themeFill="background1" w:themeFillShade="D9"/>
            <w:vAlign w:val="center"/>
          </w:tcPr>
          <w:p w14:paraId="2C13B837" w14:textId="77777777" w:rsidR="005F6358" w:rsidRPr="00CF00BA" w:rsidRDefault="005F6358" w:rsidP="00F13240">
            <w:pPr>
              <w:spacing w:before="60" w:after="60" w:line="276" w:lineRule="auto"/>
              <w:jc w:val="center"/>
              <w:rPr>
                <w:rFonts w:eastAsia="Times New Roman" w:cstheme="minorHAnsi"/>
                <w:b/>
                <w:sz w:val="18"/>
              </w:rPr>
            </w:pPr>
            <w:r w:rsidRPr="00CF00BA">
              <w:rPr>
                <w:rFonts w:eastAsia="Times New Roman" w:cstheme="minorHAnsi"/>
                <w:b/>
                <w:sz w:val="18"/>
              </w:rPr>
              <w:t>Specialist to complete</w:t>
            </w:r>
          </w:p>
        </w:tc>
      </w:tr>
      <w:tr w:rsidR="005F6358" w:rsidRPr="00CF00BA" w14:paraId="36312264" w14:textId="77777777" w:rsidTr="00F13240">
        <w:tc>
          <w:tcPr>
            <w:tcW w:w="7650" w:type="dxa"/>
            <w:vAlign w:val="center"/>
          </w:tcPr>
          <w:p w14:paraId="051D4244" w14:textId="77777777" w:rsidR="005F6358" w:rsidRPr="00CF00BA" w:rsidRDefault="005F6358" w:rsidP="00F13240">
            <w:pPr>
              <w:spacing w:before="60" w:after="60" w:line="276" w:lineRule="auto"/>
              <w:jc w:val="right"/>
              <w:rPr>
                <w:rFonts w:eastAsia="Times New Roman" w:cstheme="minorHAnsi"/>
                <w:i/>
                <w:sz w:val="18"/>
              </w:rPr>
            </w:pPr>
            <w:permStart w:id="201227072" w:edGrp="everyone" w:colFirst="1" w:colLast="1"/>
            <w:r w:rsidRPr="00CF00BA">
              <w:rPr>
                <w:rFonts w:eastAsia="Times New Roman" w:cstheme="minorHAnsi"/>
                <w:i/>
                <w:sz w:val="18"/>
              </w:rPr>
              <w:t>The patient has been initiated on this therapy and has been on an optimised dose for the following period of time:</w:t>
            </w:r>
          </w:p>
        </w:tc>
        <w:tc>
          <w:tcPr>
            <w:tcW w:w="2126" w:type="dxa"/>
          </w:tcPr>
          <w:p w14:paraId="4E83ED3D" w14:textId="77777777" w:rsidR="005F6358" w:rsidRPr="00CF00BA" w:rsidRDefault="005F6358" w:rsidP="00F13240">
            <w:pPr>
              <w:spacing w:before="60" w:after="60" w:line="276" w:lineRule="auto"/>
              <w:rPr>
                <w:rFonts w:eastAsia="Times New Roman" w:cstheme="minorHAnsi"/>
                <w:i/>
                <w:sz w:val="18"/>
              </w:rPr>
            </w:pPr>
          </w:p>
        </w:tc>
      </w:tr>
      <w:tr w:rsidR="005F6358" w:rsidRPr="00CF00BA" w14:paraId="296A4D6C" w14:textId="77777777" w:rsidTr="00F13240">
        <w:tc>
          <w:tcPr>
            <w:tcW w:w="7650" w:type="dxa"/>
            <w:vAlign w:val="center"/>
          </w:tcPr>
          <w:p w14:paraId="16011904" w14:textId="77777777" w:rsidR="005F6358" w:rsidRPr="00CF00BA" w:rsidRDefault="005F6358" w:rsidP="00F13240">
            <w:pPr>
              <w:spacing w:before="60" w:after="60" w:line="276" w:lineRule="auto"/>
              <w:jc w:val="right"/>
              <w:rPr>
                <w:rFonts w:eastAsia="Times New Roman" w:cstheme="minorHAnsi"/>
                <w:i/>
                <w:sz w:val="18"/>
              </w:rPr>
            </w:pPr>
            <w:permStart w:id="435435150" w:edGrp="everyone" w:colFirst="1" w:colLast="1"/>
            <w:permEnd w:id="201227072"/>
            <w:r w:rsidRPr="00CF00BA">
              <w:rPr>
                <w:rFonts w:eastAsia="Times New Roman" w:cstheme="minorHAnsi"/>
                <w:i/>
                <w:sz w:val="18"/>
              </w:rPr>
              <w:t>Baseline investigation and monitoring as set out in the shared care documents have been completed and were satisfactory</w:t>
            </w:r>
          </w:p>
        </w:tc>
        <w:tc>
          <w:tcPr>
            <w:tcW w:w="2126" w:type="dxa"/>
            <w:vAlign w:val="center"/>
          </w:tcPr>
          <w:p w14:paraId="43297B41" w14:textId="77777777" w:rsidR="005F6358" w:rsidRPr="00CF00BA" w:rsidRDefault="005F6358" w:rsidP="00F13240">
            <w:pPr>
              <w:spacing w:before="60" w:after="60" w:line="276" w:lineRule="auto"/>
              <w:jc w:val="center"/>
              <w:rPr>
                <w:rFonts w:eastAsia="Times New Roman" w:cstheme="minorHAnsi"/>
                <w:i/>
                <w:sz w:val="18"/>
              </w:rPr>
            </w:pPr>
            <w:r w:rsidRPr="00CF00BA">
              <w:rPr>
                <w:rFonts w:eastAsia="Times New Roman" w:cstheme="minorHAnsi"/>
                <w:i/>
                <w:sz w:val="18"/>
              </w:rPr>
              <w:t>Yes  /  No</w:t>
            </w:r>
          </w:p>
        </w:tc>
      </w:tr>
      <w:tr w:rsidR="005F6358" w:rsidRPr="00CF00BA" w14:paraId="60A05EDF" w14:textId="77777777" w:rsidTr="00F13240">
        <w:tc>
          <w:tcPr>
            <w:tcW w:w="7650" w:type="dxa"/>
            <w:vAlign w:val="center"/>
          </w:tcPr>
          <w:p w14:paraId="6E28F5C8" w14:textId="77777777" w:rsidR="005F6358" w:rsidRPr="00CF00BA" w:rsidRDefault="005F6358" w:rsidP="00F13240">
            <w:pPr>
              <w:spacing w:before="60" w:after="60" w:line="276" w:lineRule="auto"/>
              <w:jc w:val="right"/>
              <w:rPr>
                <w:rFonts w:eastAsia="Times New Roman" w:cstheme="minorHAnsi"/>
                <w:i/>
                <w:sz w:val="18"/>
              </w:rPr>
            </w:pPr>
            <w:permStart w:id="185426570" w:edGrp="everyone" w:colFirst="1" w:colLast="1"/>
            <w:permEnd w:id="435435150"/>
            <w:r w:rsidRPr="00CF00BA">
              <w:rPr>
                <w:rFonts w:eastAsia="Times New Roman" w:cstheme="minorHAnsi"/>
                <w:i/>
                <w:sz w:val="18"/>
              </w:rPr>
              <w:t>The condition being treated has a predictable course of progression and the patient can be suitably maintained by primary care</w:t>
            </w:r>
          </w:p>
        </w:tc>
        <w:tc>
          <w:tcPr>
            <w:tcW w:w="2126" w:type="dxa"/>
            <w:vAlign w:val="center"/>
          </w:tcPr>
          <w:p w14:paraId="3469F9C9" w14:textId="77777777" w:rsidR="005F6358" w:rsidRPr="00CF00BA" w:rsidRDefault="005F6358" w:rsidP="00F13240">
            <w:pPr>
              <w:spacing w:before="60" w:after="60" w:line="276" w:lineRule="auto"/>
              <w:jc w:val="center"/>
              <w:rPr>
                <w:rFonts w:eastAsia="Times New Roman" w:cstheme="minorHAnsi"/>
                <w:i/>
                <w:sz w:val="18"/>
              </w:rPr>
            </w:pPr>
            <w:r w:rsidRPr="00CF00BA">
              <w:rPr>
                <w:rFonts w:eastAsia="Times New Roman" w:cstheme="minorHAnsi"/>
                <w:i/>
                <w:sz w:val="18"/>
              </w:rPr>
              <w:t>Yes  /  No</w:t>
            </w:r>
          </w:p>
        </w:tc>
      </w:tr>
      <w:tr w:rsidR="005F6358" w:rsidRPr="00CF00BA" w14:paraId="57D89858" w14:textId="77777777" w:rsidTr="00F13240">
        <w:tc>
          <w:tcPr>
            <w:tcW w:w="7650" w:type="dxa"/>
            <w:vAlign w:val="center"/>
          </w:tcPr>
          <w:p w14:paraId="03647C77" w14:textId="77777777" w:rsidR="005F6358" w:rsidRPr="00CF00BA" w:rsidRDefault="005F6358" w:rsidP="00F13240">
            <w:pPr>
              <w:spacing w:before="60" w:after="60" w:line="276" w:lineRule="auto"/>
              <w:jc w:val="right"/>
              <w:rPr>
                <w:rFonts w:eastAsia="Times New Roman" w:cstheme="minorHAnsi"/>
                <w:i/>
                <w:sz w:val="18"/>
              </w:rPr>
            </w:pPr>
            <w:permStart w:id="1075255562" w:edGrp="everyone" w:colFirst="1" w:colLast="1"/>
            <w:permEnd w:id="185426570"/>
            <w:r w:rsidRPr="00CF00BA">
              <w:rPr>
                <w:rFonts w:eastAsia="Times New Roman" w:cstheme="minorHAnsi"/>
                <w:i/>
                <w:sz w:val="18"/>
              </w:rPr>
              <w:t>The risks and benefits of treatment have been explained to the patient</w:t>
            </w:r>
          </w:p>
        </w:tc>
        <w:tc>
          <w:tcPr>
            <w:tcW w:w="2126" w:type="dxa"/>
            <w:vAlign w:val="center"/>
          </w:tcPr>
          <w:p w14:paraId="4107807A" w14:textId="77777777" w:rsidR="005F6358" w:rsidRPr="00CF00BA" w:rsidRDefault="005F6358" w:rsidP="00F13240">
            <w:pPr>
              <w:spacing w:before="60" w:after="60" w:line="276" w:lineRule="auto"/>
              <w:jc w:val="center"/>
              <w:rPr>
                <w:i/>
                <w:sz w:val="18"/>
              </w:rPr>
            </w:pPr>
            <w:r w:rsidRPr="00CF00BA">
              <w:rPr>
                <w:i/>
                <w:sz w:val="18"/>
              </w:rPr>
              <w:t>Yes  /  No</w:t>
            </w:r>
          </w:p>
        </w:tc>
      </w:tr>
      <w:tr w:rsidR="005F6358" w:rsidRPr="00CF00BA" w14:paraId="2FD663D7" w14:textId="77777777" w:rsidTr="00F13240">
        <w:tc>
          <w:tcPr>
            <w:tcW w:w="7650" w:type="dxa"/>
            <w:vAlign w:val="center"/>
          </w:tcPr>
          <w:p w14:paraId="2B594182" w14:textId="77777777" w:rsidR="005F6358" w:rsidRPr="00CF00BA" w:rsidRDefault="005F6358" w:rsidP="00F13240">
            <w:pPr>
              <w:spacing w:before="60" w:after="60" w:line="276" w:lineRule="auto"/>
              <w:jc w:val="right"/>
              <w:rPr>
                <w:rFonts w:eastAsia="Times New Roman" w:cstheme="minorHAnsi"/>
                <w:i/>
                <w:sz w:val="18"/>
              </w:rPr>
            </w:pPr>
            <w:permStart w:id="1025801555" w:edGrp="everyone" w:colFirst="1" w:colLast="1"/>
            <w:permEnd w:id="1075255562"/>
            <w:r w:rsidRPr="00CF00BA">
              <w:rPr>
                <w:rFonts w:eastAsia="Times New Roman" w:cstheme="minorHAnsi"/>
                <w:i/>
                <w:sz w:val="18"/>
              </w:rPr>
              <w:t>The roles of the specialist/specialist team/</w:t>
            </w:r>
            <w:r w:rsidRPr="00CF00BA">
              <w:t xml:space="preserve"> </w:t>
            </w:r>
            <w:r w:rsidRPr="00CF00BA">
              <w:rPr>
                <w:rFonts w:eastAsia="Times New Roman" w:cstheme="minorHAnsi"/>
                <w:i/>
                <w:sz w:val="18"/>
              </w:rPr>
              <w:t>Primary Care Prescriber / Patient and pharmacist have been explained and agreed</w:t>
            </w:r>
          </w:p>
        </w:tc>
        <w:tc>
          <w:tcPr>
            <w:tcW w:w="2126" w:type="dxa"/>
            <w:vAlign w:val="center"/>
          </w:tcPr>
          <w:p w14:paraId="1A32F464" w14:textId="77777777" w:rsidR="005F6358" w:rsidRPr="00CF00BA" w:rsidRDefault="005F6358" w:rsidP="00F13240">
            <w:pPr>
              <w:spacing w:before="60" w:after="60" w:line="276" w:lineRule="auto"/>
              <w:jc w:val="center"/>
              <w:rPr>
                <w:i/>
                <w:sz w:val="18"/>
              </w:rPr>
            </w:pPr>
            <w:r w:rsidRPr="00CF00BA">
              <w:rPr>
                <w:i/>
                <w:sz w:val="18"/>
              </w:rPr>
              <w:t>Yes  /  No</w:t>
            </w:r>
          </w:p>
        </w:tc>
      </w:tr>
      <w:tr w:rsidR="005F6358" w:rsidRPr="00CF00BA" w14:paraId="336ADA04" w14:textId="77777777" w:rsidTr="00F13240">
        <w:tc>
          <w:tcPr>
            <w:tcW w:w="7650" w:type="dxa"/>
            <w:vAlign w:val="center"/>
          </w:tcPr>
          <w:p w14:paraId="4EC0FBD5" w14:textId="77777777" w:rsidR="005F6358" w:rsidRPr="00CF00BA" w:rsidRDefault="005F6358" w:rsidP="00F13240">
            <w:pPr>
              <w:spacing w:before="60" w:after="60" w:line="276" w:lineRule="auto"/>
              <w:jc w:val="right"/>
              <w:rPr>
                <w:rFonts w:eastAsia="Times New Roman" w:cstheme="minorHAnsi"/>
                <w:i/>
                <w:sz w:val="18"/>
              </w:rPr>
            </w:pPr>
            <w:permStart w:id="918248158" w:edGrp="everyone" w:colFirst="1" w:colLast="1"/>
            <w:permEnd w:id="1025801555"/>
            <w:r w:rsidRPr="00CF00BA">
              <w:rPr>
                <w:rFonts w:eastAsia="Times New Roman" w:cstheme="minorHAnsi"/>
                <w:i/>
                <w:sz w:val="18"/>
              </w:rPr>
              <w:t>The patient has agreed to this shared care arrangement, understands the need for ongoing monitoring, and has agreed to attend all necessary appointments</w:t>
            </w:r>
          </w:p>
        </w:tc>
        <w:tc>
          <w:tcPr>
            <w:tcW w:w="2126" w:type="dxa"/>
            <w:vAlign w:val="center"/>
          </w:tcPr>
          <w:p w14:paraId="5C89F437" w14:textId="77777777" w:rsidR="005F6358" w:rsidRPr="00CF00BA" w:rsidRDefault="005F6358" w:rsidP="00F13240">
            <w:pPr>
              <w:spacing w:before="60" w:after="60" w:line="276" w:lineRule="auto"/>
              <w:jc w:val="center"/>
              <w:rPr>
                <w:i/>
                <w:sz w:val="18"/>
              </w:rPr>
            </w:pPr>
            <w:r w:rsidRPr="00CF00BA">
              <w:rPr>
                <w:i/>
                <w:sz w:val="18"/>
              </w:rPr>
              <w:t>Yes  /  No</w:t>
            </w:r>
          </w:p>
        </w:tc>
      </w:tr>
      <w:tr w:rsidR="005F6358" w:rsidRPr="00CF00BA" w14:paraId="1137386B" w14:textId="77777777" w:rsidTr="00F13240">
        <w:tc>
          <w:tcPr>
            <w:tcW w:w="7650" w:type="dxa"/>
            <w:vAlign w:val="center"/>
          </w:tcPr>
          <w:p w14:paraId="253AA4D8" w14:textId="77777777" w:rsidR="005F6358" w:rsidRPr="00CF00BA" w:rsidRDefault="005F6358" w:rsidP="00F13240">
            <w:pPr>
              <w:spacing w:before="60" w:after="60" w:line="276" w:lineRule="auto"/>
              <w:jc w:val="right"/>
              <w:rPr>
                <w:rFonts w:eastAsia="Times New Roman" w:cstheme="minorHAnsi"/>
                <w:i/>
                <w:sz w:val="18"/>
              </w:rPr>
            </w:pPr>
            <w:permStart w:id="601518772" w:edGrp="everyone" w:colFirst="1" w:colLast="1"/>
            <w:permEnd w:id="918248158"/>
            <w:r w:rsidRPr="00CF00BA">
              <w:rPr>
                <w:rFonts w:eastAsia="Times New Roman" w:cstheme="minorHAnsi"/>
                <w:i/>
                <w:sz w:val="18"/>
              </w:rPr>
              <w:t>I have enclosed a copy of the shared care protocol  which covers this treatment/the SCP can be found here (</w:t>
            </w:r>
            <w:permStart w:id="1231181814" w:edGrp="everyone"/>
            <w:r w:rsidRPr="00CF00BA">
              <w:rPr>
                <w:rFonts w:eastAsia="Times New Roman" w:cstheme="minorHAnsi"/>
                <w:i/>
                <w:sz w:val="18"/>
              </w:rPr>
              <w:t>insert electronic/ web link</w:t>
            </w:r>
            <w:permEnd w:id="1231181814"/>
            <w:r w:rsidRPr="00CF00BA">
              <w:rPr>
                <w:rFonts w:eastAsia="Times New Roman" w:cstheme="minorHAnsi"/>
                <w:i/>
                <w:sz w:val="18"/>
              </w:rPr>
              <w:t>)</w:t>
            </w:r>
          </w:p>
        </w:tc>
        <w:tc>
          <w:tcPr>
            <w:tcW w:w="2126" w:type="dxa"/>
            <w:vAlign w:val="center"/>
          </w:tcPr>
          <w:p w14:paraId="55D2C0B1" w14:textId="77777777" w:rsidR="005F6358" w:rsidRPr="00CF00BA" w:rsidRDefault="005F6358" w:rsidP="00F13240">
            <w:pPr>
              <w:spacing w:before="60" w:after="60" w:line="276" w:lineRule="auto"/>
              <w:jc w:val="center"/>
              <w:rPr>
                <w:i/>
                <w:sz w:val="18"/>
              </w:rPr>
            </w:pPr>
            <w:r w:rsidRPr="00CF00BA">
              <w:rPr>
                <w:i/>
                <w:sz w:val="18"/>
              </w:rPr>
              <w:t>Yes  /  No</w:t>
            </w:r>
          </w:p>
        </w:tc>
      </w:tr>
      <w:tr w:rsidR="005F6358" w:rsidRPr="00CF00BA" w14:paraId="179E7E01" w14:textId="77777777" w:rsidTr="00F13240">
        <w:tc>
          <w:tcPr>
            <w:tcW w:w="7650" w:type="dxa"/>
            <w:vAlign w:val="center"/>
          </w:tcPr>
          <w:p w14:paraId="0E7C2CDA" w14:textId="77777777" w:rsidR="005F6358" w:rsidRPr="00CF00BA" w:rsidRDefault="005F6358" w:rsidP="00F13240">
            <w:pPr>
              <w:spacing w:before="60" w:after="60" w:line="276" w:lineRule="auto"/>
              <w:jc w:val="right"/>
              <w:rPr>
                <w:rFonts w:eastAsia="Times New Roman" w:cstheme="minorHAnsi"/>
                <w:i/>
                <w:sz w:val="18"/>
              </w:rPr>
            </w:pPr>
            <w:permStart w:id="348529579" w:edGrp="everyone" w:colFirst="1" w:colLast="1"/>
            <w:permEnd w:id="601518772"/>
            <w:r w:rsidRPr="00CF00BA">
              <w:rPr>
                <w:rFonts w:eastAsia="Times New Roman" w:cstheme="minorHAnsi"/>
                <w:i/>
                <w:sz w:val="18"/>
              </w:rPr>
              <w:t>I have included with the letter copies of the information the patient has received</w:t>
            </w:r>
          </w:p>
        </w:tc>
        <w:tc>
          <w:tcPr>
            <w:tcW w:w="2126" w:type="dxa"/>
            <w:vAlign w:val="center"/>
          </w:tcPr>
          <w:p w14:paraId="4CD161B7" w14:textId="77777777" w:rsidR="005F6358" w:rsidRPr="00CF00BA" w:rsidRDefault="005F6358" w:rsidP="00F13240">
            <w:pPr>
              <w:spacing w:before="60" w:after="60" w:line="276" w:lineRule="auto"/>
              <w:jc w:val="center"/>
              <w:rPr>
                <w:i/>
                <w:sz w:val="18"/>
              </w:rPr>
            </w:pPr>
            <w:r w:rsidRPr="00CF00BA">
              <w:rPr>
                <w:i/>
                <w:sz w:val="18"/>
              </w:rPr>
              <w:t>Yes  /  No</w:t>
            </w:r>
          </w:p>
        </w:tc>
      </w:tr>
      <w:tr w:rsidR="005F6358" w:rsidRPr="00CF00BA" w14:paraId="4D499DCE" w14:textId="77777777" w:rsidTr="00F13240">
        <w:tc>
          <w:tcPr>
            <w:tcW w:w="7650" w:type="dxa"/>
            <w:vAlign w:val="center"/>
          </w:tcPr>
          <w:p w14:paraId="36549BA5" w14:textId="77777777" w:rsidR="005F6358" w:rsidRPr="00CF00BA" w:rsidRDefault="005F6358" w:rsidP="00F13240">
            <w:pPr>
              <w:spacing w:before="60" w:after="60" w:line="276" w:lineRule="auto"/>
              <w:jc w:val="right"/>
              <w:rPr>
                <w:rFonts w:eastAsia="Times New Roman" w:cstheme="minorHAnsi"/>
                <w:i/>
                <w:sz w:val="18"/>
              </w:rPr>
            </w:pPr>
            <w:permStart w:id="1851330906" w:edGrp="everyone" w:colFirst="1" w:colLast="1"/>
            <w:permEnd w:id="348529579"/>
            <w:r w:rsidRPr="00CF00BA">
              <w:rPr>
                <w:rFonts w:eastAsia="Times New Roman" w:cstheme="minorHAnsi"/>
                <w:i/>
                <w:sz w:val="18"/>
              </w:rPr>
              <w:t>I have provided the patient with sufficient medication to last until</w:t>
            </w:r>
          </w:p>
        </w:tc>
        <w:tc>
          <w:tcPr>
            <w:tcW w:w="2126" w:type="dxa"/>
          </w:tcPr>
          <w:p w14:paraId="66E3D404" w14:textId="77777777" w:rsidR="005F6358" w:rsidRPr="00CF00BA" w:rsidRDefault="005F6358" w:rsidP="00F13240">
            <w:pPr>
              <w:spacing w:before="60" w:after="60" w:line="276" w:lineRule="auto"/>
              <w:rPr>
                <w:rFonts w:eastAsia="Times New Roman" w:cstheme="minorHAnsi"/>
                <w:i/>
                <w:sz w:val="18"/>
              </w:rPr>
            </w:pPr>
          </w:p>
        </w:tc>
      </w:tr>
      <w:tr w:rsidR="005F6358" w:rsidRPr="00CF00BA" w14:paraId="33D9304A" w14:textId="77777777" w:rsidTr="00F13240">
        <w:tc>
          <w:tcPr>
            <w:tcW w:w="7650" w:type="dxa"/>
            <w:vAlign w:val="center"/>
          </w:tcPr>
          <w:p w14:paraId="1C37C772" w14:textId="77777777" w:rsidR="005F6358" w:rsidRPr="00CF00BA" w:rsidRDefault="005F6358" w:rsidP="00F13240">
            <w:pPr>
              <w:spacing w:before="60" w:after="60" w:line="276" w:lineRule="auto"/>
              <w:jc w:val="right"/>
              <w:rPr>
                <w:rFonts w:eastAsia="Times New Roman" w:cstheme="minorHAnsi"/>
                <w:i/>
                <w:sz w:val="18"/>
              </w:rPr>
            </w:pPr>
            <w:permStart w:id="1108090062" w:edGrp="everyone" w:colFirst="1" w:colLast="1"/>
            <w:permEnd w:id="1851330906"/>
            <w:r w:rsidRPr="00CF00BA">
              <w:rPr>
                <w:rFonts w:eastAsia="Times New Roman" w:cstheme="minorHAnsi"/>
                <w:i/>
                <w:sz w:val="18"/>
              </w:rPr>
              <w:t>I have arranged a follow up with this patient in the following timescale</w:t>
            </w:r>
          </w:p>
        </w:tc>
        <w:tc>
          <w:tcPr>
            <w:tcW w:w="2126" w:type="dxa"/>
          </w:tcPr>
          <w:p w14:paraId="22EB3190" w14:textId="77777777" w:rsidR="005F6358" w:rsidRPr="00CF00BA" w:rsidRDefault="005F6358" w:rsidP="00F13240">
            <w:pPr>
              <w:spacing w:before="60" w:after="60" w:line="276" w:lineRule="auto"/>
              <w:rPr>
                <w:rFonts w:eastAsia="Times New Roman" w:cstheme="minorHAnsi"/>
                <w:i/>
                <w:sz w:val="18"/>
              </w:rPr>
            </w:pPr>
          </w:p>
        </w:tc>
      </w:tr>
    </w:tbl>
    <w:permEnd w:id="1108090062"/>
    <w:p w14:paraId="740D9C4B" w14:textId="3F05733A" w:rsidR="000D530F" w:rsidRPr="006C3BBB" w:rsidRDefault="000D530F" w:rsidP="000D530F">
      <w:pPr>
        <w:spacing w:after="60"/>
        <w:rPr>
          <w:rFonts w:eastAsia="Calibri" w:cs="Times New Roman"/>
          <w:szCs w:val="24"/>
        </w:rPr>
      </w:pPr>
      <w:r w:rsidRPr="006C3BBB">
        <w:rPr>
          <w:rFonts w:eastAsia="Calibri" w:cs="Times New Roman"/>
          <w:szCs w:val="24"/>
        </w:rPr>
        <w:t xml:space="preserve">Treatment was started on </w:t>
      </w:r>
      <w:permStart w:id="432811124" w:edGrp="everyone"/>
      <w:r w:rsidRPr="006C3BBB">
        <w:rPr>
          <w:rFonts w:eastAsia="Calibri" w:cs="Times New Roman"/>
          <w:i/>
          <w:iCs/>
          <w:szCs w:val="24"/>
        </w:rPr>
        <w:t>insert date started</w:t>
      </w:r>
      <w:r w:rsidRPr="006C3BBB">
        <w:rPr>
          <w:rFonts w:eastAsia="Calibri" w:cs="Times New Roman"/>
          <w:szCs w:val="24"/>
        </w:rPr>
        <w:t xml:space="preserve"> </w:t>
      </w:r>
      <w:permEnd w:id="432811124"/>
      <w:r w:rsidRPr="006C3BBB">
        <w:rPr>
          <w:rFonts w:eastAsia="Calibri" w:cs="Times New Roman"/>
          <w:szCs w:val="24"/>
        </w:rPr>
        <w:t xml:space="preserve">and the current dose is </w:t>
      </w:r>
      <w:permStart w:id="1803365451" w:edGrp="everyone"/>
      <w:r w:rsidRPr="006C3BBB">
        <w:rPr>
          <w:rFonts w:eastAsia="Calibri" w:cs="Times New Roman"/>
          <w:i/>
          <w:iCs/>
          <w:szCs w:val="24"/>
        </w:rPr>
        <w:t>insert dose and frequency</w:t>
      </w:r>
    </w:p>
    <w:permEnd w:id="1803365451"/>
    <w:p w14:paraId="0C7C5171" w14:textId="77777777" w:rsidR="00BA3098" w:rsidRDefault="00BA3098" w:rsidP="00BA3098">
      <w:pPr>
        <w:spacing w:after="60"/>
        <w:rPr>
          <w:rFonts w:eastAsia="Times New Roman" w:cs="Calibri"/>
          <w:szCs w:val="24"/>
        </w:rPr>
      </w:pPr>
    </w:p>
    <w:p w14:paraId="763B45F6" w14:textId="1E3C5B03" w:rsidR="00BA3098" w:rsidRPr="00BA3098" w:rsidRDefault="00BA3098" w:rsidP="00BA3098">
      <w:pPr>
        <w:spacing w:after="60"/>
        <w:rPr>
          <w:rFonts w:eastAsia="Times New Roman" w:cs="Calibri"/>
          <w:szCs w:val="24"/>
        </w:rPr>
      </w:pPr>
      <w:r w:rsidRPr="006C3BBB">
        <w:rPr>
          <w:rFonts w:eastAsia="Times New Roman" w:cs="Calibri"/>
          <w:szCs w:val="24"/>
        </w:rPr>
        <w:t>If you are in agreement, please undertake monitoring and treatment from</w:t>
      </w:r>
      <w:r>
        <w:rPr>
          <w:rFonts w:eastAsia="Times New Roman" w:cs="Calibri"/>
          <w:szCs w:val="24"/>
        </w:rPr>
        <w:t xml:space="preserve"> </w:t>
      </w:r>
      <w:permStart w:id="1593468076" w:edGrp="everyone"/>
      <w:r w:rsidRPr="006C3BBB">
        <w:rPr>
          <w:rFonts w:eastAsia="Times New Roman" w:cs="Calibri"/>
          <w:i/>
          <w:iCs/>
          <w:szCs w:val="24"/>
        </w:rPr>
        <w:t>insert date</w:t>
      </w:r>
      <w:r>
        <w:rPr>
          <w:rFonts w:eastAsia="Times New Roman" w:cs="Calibri"/>
          <w:i/>
          <w:iCs/>
          <w:szCs w:val="24"/>
        </w:rPr>
        <w:t xml:space="preserve"> </w:t>
      </w:r>
      <w:permEnd w:id="1593468076"/>
      <w:r w:rsidRPr="006C3BBB">
        <w:rPr>
          <w:rFonts w:eastAsia="Times New Roman" w:cs="Calibri"/>
          <w:szCs w:val="24"/>
        </w:rPr>
        <w:t xml:space="preserve">NB: date must be at </w:t>
      </w:r>
      <w:r w:rsidRPr="004A0BB0">
        <w:rPr>
          <w:rFonts w:eastAsia="Times New Roman" w:cs="Calibri"/>
          <w:szCs w:val="24"/>
        </w:rPr>
        <w:t xml:space="preserve">least 3 months </w:t>
      </w:r>
      <w:r w:rsidRPr="006C3BBB">
        <w:rPr>
          <w:rFonts w:eastAsia="Times New Roman" w:cs="Calibri"/>
          <w:szCs w:val="24"/>
        </w:rPr>
        <w:t>from initiation of treatment.</w:t>
      </w:r>
    </w:p>
    <w:p w14:paraId="5AF7F217" w14:textId="544DCA78" w:rsidR="00BA3098" w:rsidRPr="006C3BBB" w:rsidRDefault="00BA3098" w:rsidP="00BA3098">
      <w:pPr>
        <w:spacing w:after="60"/>
        <w:rPr>
          <w:rFonts w:eastAsia="Times New Roman" w:cs="Calibri"/>
          <w:szCs w:val="24"/>
        </w:rPr>
      </w:pPr>
      <w:r w:rsidRPr="006C3BBB">
        <w:rPr>
          <w:rFonts w:eastAsia="Times New Roman" w:cs="Calibri"/>
          <w:szCs w:val="24"/>
        </w:rPr>
        <w:t xml:space="preserve">The next blood monitoring is due on </w:t>
      </w:r>
      <w:permStart w:id="427517482" w:edGrp="everyone"/>
      <w:r w:rsidRPr="006C3BBB">
        <w:rPr>
          <w:rFonts w:eastAsia="Times New Roman" w:cs="Calibri"/>
          <w:i/>
          <w:iCs/>
          <w:szCs w:val="24"/>
        </w:rPr>
        <w:t>insert</w:t>
      </w:r>
      <w:r w:rsidR="005D6F55">
        <w:t xml:space="preserve"> </w:t>
      </w:r>
      <w:r w:rsidRPr="006C3BBB">
        <w:rPr>
          <w:rFonts w:eastAsia="Times New Roman" w:cs="Calibri"/>
          <w:i/>
          <w:iCs/>
          <w:szCs w:val="24"/>
        </w:rPr>
        <w:t>date</w:t>
      </w:r>
      <w:r w:rsidRPr="006C3BBB">
        <w:rPr>
          <w:rFonts w:eastAsia="Calibri" w:cs="Times New Roman"/>
          <w:i/>
          <w:szCs w:val="24"/>
        </w:rPr>
        <w:t xml:space="preserve"> </w:t>
      </w:r>
      <w:permEnd w:id="427517482"/>
      <w:r w:rsidRPr="006C3BBB">
        <w:rPr>
          <w:rFonts w:eastAsia="Times New Roman" w:cs="Calibri"/>
          <w:szCs w:val="24"/>
        </w:rPr>
        <w:t>and should be continued in line with the shared care guideline.</w:t>
      </w:r>
    </w:p>
    <w:p w14:paraId="3AC04E09" w14:textId="71F633F7" w:rsidR="005F6358" w:rsidRPr="00CF00BA" w:rsidRDefault="005F6358" w:rsidP="005F6358">
      <w:pPr>
        <w:spacing w:after="60"/>
        <w:rPr>
          <w:rFonts w:eastAsia="Times New Roman" w:cstheme="minorHAnsi"/>
        </w:rPr>
      </w:pPr>
    </w:p>
    <w:p w14:paraId="7E7E76AC" w14:textId="355D44BA" w:rsidR="005F6358" w:rsidRDefault="003F53C9" w:rsidP="005F6358">
      <w:pPr>
        <w:spacing w:after="60"/>
        <w:rPr>
          <w:rFonts w:eastAsia="Times New Roman" w:cstheme="minorHAnsi"/>
        </w:rPr>
      </w:pPr>
      <w:r w:rsidRPr="00CF00BA">
        <w:rPr>
          <w:rFonts w:eastAsia="Times New Roman" w:cstheme="minorHAnsi"/>
        </w:rPr>
        <w:t>Please respond to this request for shared care, in writing, within 14 days of the request being made where possible.</w:t>
      </w:r>
    </w:p>
    <w:p w14:paraId="21C13BD4" w14:textId="77777777" w:rsidR="00BA3098" w:rsidRDefault="00BA3098" w:rsidP="005F6358">
      <w:pPr>
        <w:spacing w:after="60"/>
        <w:rPr>
          <w:rFonts w:eastAsia="Times New Roman" w:cstheme="minorHAnsi"/>
        </w:rPr>
      </w:pPr>
    </w:p>
    <w:p w14:paraId="41BD8DEF" w14:textId="77777777" w:rsidR="005F6358" w:rsidRPr="00CF00BA" w:rsidRDefault="005F6358" w:rsidP="00F13240">
      <w:pPr>
        <w:pStyle w:val="Heading1"/>
        <w:numPr>
          <w:ilvl w:val="0"/>
          <w:numId w:val="0"/>
        </w:numPr>
      </w:pPr>
      <w:bookmarkStart w:id="23" w:name="_Appendix_3"/>
      <w:bookmarkStart w:id="24" w:name="_Toc28084478"/>
      <w:bookmarkStart w:id="25" w:name="_Toc64632335"/>
      <w:bookmarkEnd w:id="23"/>
      <w:r w:rsidRPr="00CF00BA">
        <w:t xml:space="preserve">Appendix </w:t>
      </w:r>
      <w:bookmarkEnd w:id="24"/>
      <w:r w:rsidRPr="00CF00BA">
        <w:t>2: Shared Care Agreement Letter (Primary Care Prescriber to Specialist)</w:t>
      </w:r>
      <w:bookmarkEnd w:id="25"/>
    </w:p>
    <w:p w14:paraId="1FFAE8B0" w14:textId="77777777" w:rsidR="005F6358" w:rsidRPr="00CF00BA" w:rsidRDefault="005F6358" w:rsidP="005F6358">
      <w:pPr>
        <w:spacing w:after="0"/>
        <w:rPr>
          <w:rFonts w:eastAsia="Times New Roman" w:cs="Arial"/>
          <w:b/>
          <w:bCs/>
          <w:sz w:val="32"/>
          <w:szCs w:val="20"/>
        </w:rPr>
      </w:pPr>
    </w:p>
    <w:p w14:paraId="77BD59C3" w14:textId="77777777" w:rsidR="005F6358" w:rsidRPr="00CF00BA" w:rsidRDefault="005F6358" w:rsidP="005F6358">
      <w:pPr>
        <w:rPr>
          <w:rFonts w:cs="Arial"/>
          <w:b/>
        </w:rPr>
      </w:pPr>
      <w:r w:rsidRPr="00CF00BA">
        <w:rPr>
          <w:rFonts w:cs="Arial"/>
          <w:b/>
        </w:rPr>
        <w:t>Primary Care Prescriber Response</w:t>
      </w:r>
    </w:p>
    <w:p w14:paraId="694F861A" w14:textId="77777777" w:rsidR="00277091" w:rsidRPr="006C3BBB" w:rsidRDefault="00277091" w:rsidP="00277091">
      <w:pPr>
        <w:spacing w:after="0"/>
        <w:rPr>
          <w:rFonts w:eastAsia="Times New Roman" w:cs="Arial"/>
          <w:szCs w:val="24"/>
        </w:rPr>
      </w:pPr>
      <w:r w:rsidRPr="006C3BBB">
        <w:rPr>
          <w:rFonts w:eastAsia="Times New Roman" w:cs="Arial"/>
          <w:szCs w:val="24"/>
        </w:rPr>
        <w:t>Dear</w:t>
      </w:r>
      <w:r>
        <w:rPr>
          <w:rFonts w:eastAsia="Times New Roman" w:cs="Arial"/>
          <w:szCs w:val="24"/>
        </w:rPr>
        <w:t xml:space="preserve"> </w:t>
      </w:r>
      <w:permStart w:id="1328885097" w:edGrp="everyone"/>
      <w:r w:rsidRPr="006C3BBB">
        <w:rPr>
          <w:rFonts w:eastAsia="Times New Roman" w:cs="Arial"/>
          <w:i/>
          <w:iCs/>
          <w:szCs w:val="24"/>
        </w:rPr>
        <w:t>insert Doctor's name</w:t>
      </w:r>
      <w:permEnd w:id="1328885097"/>
    </w:p>
    <w:p w14:paraId="2AD873CE" w14:textId="77777777" w:rsidR="00277091" w:rsidRPr="006C3BBB" w:rsidRDefault="00277091" w:rsidP="00277091">
      <w:pPr>
        <w:spacing w:after="0"/>
        <w:rPr>
          <w:rFonts w:eastAsia="Times New Roman" w:cs="Arial"/>
          <w:i/>
          <w:szCs w:val="24"/>
        </w:rPr>
      </w:pPr>
      <w:r w:rsidRPr="006C3BBB">
        <w:rPr>
          <w:rFonts w:eastAsia="Times New Roman" w:cs="Arial"/>
          <w:szCs w:val="24"/>
        </w:rPr>
        <w:t xml:space="preserve">Patient: </w:t>
      </w:r>
      <w:permStart w:id="2061516586" w:edGrp="everyone"/>
      <w:r w:rsidRPr="006C3BBB">
        <w:rPr>
          <w:rFonts w:eastAsia="Times New Roman" w:cs="Arial"/>
          <w:i/>
          <w:iCs/>
          <w:szCs w:val="24"/>
        </w:rPr>
        <w:t>insert Patient's name</w:t>
      </w:r>
      <w:permEnd w:id="2061516586"/>
    </w:p>
    <w:p w14:paraId="4CDF7B67" w14:textId="77777777" w:rsidR="00277091" w:rsidRPr="006C3BBB" w:rsidRDefault="00277091" w:rsidP="00277091">
      <w:pPr>
        <w:spacing w:after="0"/>
        <w:rPr>
          <w:rFonts w:eastAsia="Times New Roman" w:cs="Arial"/>
          <w:iCs/>
          <w:szCs w:val="24"/>
        </w:rPr>
      </w:pPr>
      <w:r w:rsidRPr="006C3BBB">
        <w:rPr>
          <w:rFonts w:eastAsia="Times New Roman" w:cs="Arial"/>
          <w:szCs w:val="24"/>
        </w:rPr>
        <w:t>NHS Number</w:t>
      </w:r>
      <w:r w:rsidRPr="006C3BBB">
        <w:rPr>
          <w:rFonts w:eastAsia="Times New Roman" w:cs="Arial"/>
          <w:szCs w:val="24"/>
        </w:rPr>
        <w:tab/>
        <w:t xml:space="preserve">:  </w:t>
      </w:r>
      <w:permStart w:id="1939823941" w:edGrp="everyone"/>
      <w:r w:rsidRPr="006C3BBB">
        <w:rPr>
          <w:rFonts w:eastAsia="Times New Roman" w:cs="Arial"/>
          <w:i/>
          <w:iCs/>
          <w:szCs w:val="24"/>
        </w:rPr>
        <w:t>insert NHS Number</w:t>
      </w:r>
      <w:permEnd w:id="1939823941"/>
    </w:p>
    <w:p w14:paraId="348E08E4" w14:textId="2C23EBB5" w:rsidR="00277091" w:rsidRPr="006C3BBB" w:rsidRDefault="00277091" w:rsidP="00277091">
      <w:pPr>
        <w:spacing w:after="0"/>
        <w:rPr>
          <w:rFonts w:eastAsia="Times New Roman" w:cs="Arial"/>
          <w:i/>
          <w:iCs/>
          <w:szCs w:val="24"/>
        </w:rPr>
      </w:pPr>
      <w:r w:rsidRPr="006C3BBB">
        <w:rPr>
          <w:rFonts w:eastAsia="Times New Roman" w:cs="Arial"/>
          <w:szCs w:val="24"/>
        </w:rPr>
        <w:t xml:space="preserve">Identifier:  </w:t>
      </w:r>
      <w:permStart w:id="1410736705" w:edGrp="everyone"/>
      <w:r w:rsidRPr="006C3BBB">
        <w:rPr>
          <w:rFonts w:eastAsia="Times New Roman" w:cs="Arial"/>
          <w:i/>
          <w:iCs/>
          <w:szCs w:val="24"/>
        </w:rPr>
        <w:t>insert patient's date of birth</w:t>
      </w:r>
      <w:r w:rsidR="005D6F55">
        <w:t xml:space="preserve"> </w:t>
      </w:r>
      <w:r w:rsidRPr="006C3BBB">
        <w:rPr>
          <w:rFonts w:eastAsia="Times New Roman" w:cs="Arial"/>
          <w:i/>
          <w:iCs/>
          <w:szCs w:val="24"/>
        </w:rPr>
        <w:t>and/or address</w:t>
      </w:r>
      <w:permEnd w:id="1410736705"/>
    </w:p>
    <w:p w14:paraId="1462A147" w14:textId="77777777" w:rsidR="005F6358" w:rsidRPr="00CF00BA" w:rsidRDefault="005F6358" w:rsidP="005F6358">
      <w:pPr>
        <w:spacing w:after="0"/>
        <w:rPr>
          <w:rFonts w:eastAsia="Times New Roman" w:cs="Arial"/>
          <w:i/>
          <w:iCs/>
        </w:rPr>
      </w:pPr>
    </w:p>
    <w:p w14:paraId="5BC3417C" w14:textId="77777777" w:rsidR="005F6358" w:rsidRPr="00CF00BA" w:rsidRDefault="005F6358" w:rsidP="005F6358">
      <w:pPr>
        <w:spacing w:after="0"/>
        <w:rPr>
          <w:rFonts w:eastAsia="Times New Roman" w:cs="Arial"/>
        </w:rPr>
      </w:pPr>
      <w:r w:rsidRPr="00CF00BA">
        <w:rPr>
          <w:rFonts w:eastAsia="Times New Roman" w:cs="Arial"/>
        </w:rPr>
        <w:t>Thank you for your request for me to accept prescribing responsibility for this patient under a shared care agreement and to provide the following treatment</w:t>
      </w:r>
    </w:p>
    <w:p w14:paraId="6CB42489" w14:textId="77777777" w:rsidR="005F6358" w:rsidRPr="00CF00BA" w:rsidRDefault="005F6358" w:rsidP="005F6358">
      <w:pPr>
        <w:spacing w:after="0"/>
        <w:rPr>
          <w:rFonts w:eastAsia="Times New Roman" w:cs="Arial"/>
        </w:rPr>
      </w:pPr>
    </w:p>
    <w:tbl>
      <w:tblPr>
        <w:tblStyle w:val="TableGrid1"/>
        <w:tblW w:w="0" w:type="auto"/>
        <w:tblLook w:val="04A0" w:firstRow="1" w:lastRow="0" w:firstColumn="1" w:lastColumn="0" w:noHBand="0" w:noVBand="1"/>
      </w:tblPr>
      <w:tblGrid>
        <w:gridCol w:w="3030"/>
        <w:gridCol w:w="2987"/>
        <w:gridCol w:w="3043"/>
      </w:tblGrid>
      <w:tr w:rsidR="005F6358" w:rsidRPr="00CF00BA" w14:paraId="78F58A4F" w14:textId="77777777" w:rsidTr="00E3221B">
        <w:tc>
          <w:tcPr>
            <w:tcW w:w="3320" w:type="dxa"/>
            <w:shd w:val="clear" w:color="auto" w:fill="D9D9D9" w:themeFill="background1" w:themeFillShade="D9"/>
          </w:tcPr>
          <w:p w14:paraId="55EA8A96" w14:textId="77777777" w:rsidR="005F6358" w:rsidRPr="00CF00BA" w:rsidRDefault="005F6358" w:rsidP="00E3221B">
            <w:pPr>
              <w:jc w:val="center"/>
              <w:rPr>
                <w:rFonts w:eastAsia="Times New Roman" w:cs="Arial"/>
              </w:rPr>
            </w:pPr>
            <w:r w:rsidRPr="00CF00BA">
              <w:rPr>
                <w:rFonts w:eastAsia="Times New Roman" w:cs="Arial"/>
              </w:rPr>
              <w:t>Medicine</w:t>
            </w:r>
          </w:p>
        </w:tc>
        <w:tc>
          <w:tcPr>
            <w:tcW w:w="3321" w:type="dxa"/>
            <w:shd w:val="clear" w:color="auto" w:fill="D9D9D9" w:themeFill="background1" w:themeFillShade="D9"/>
          </w:tcPr>
          <w:p w14:paraId="21D38F36" w14:textId="77777777" w:rsidR="005F6358" w:rsidRPr="00CF00BA" w:rsidRDefault="005F6358" w:rsidP="00E3221B">
            <w:pPr>
              <w:jc w:val="center"/>
              <w:rPr>
                <w:rFonts w:eastAsia="Times New Roman" w:cs="Arial"/>
              </w:rPr>
            </w:pPr>
            <w:r w:rsidRPr="00CF00BA">
              <w:rPr>
                <w:rFonts w:eastAsia="Times New Roman" w:cs="Arial"/>
              </w:rPr>
              <w:t>Route</w:t>
            </w:r>
          </w:p>
        </w:tc>
        <w:tc>
          <w:tcPr>
            <w:tcW w:w="3321" w:type="dxa"/>
            <w:shd w:val="clear" w:color="auto" w:fill="D9D9D9" w:themeFill="background1" w:themeFillShade="D9"/>
          </w:tcPr>
          <w:p w14:paraId="4C29C19D" w14:textId="77777777" w:rsidR="005F6358" w:rsidRPr="00CF00BA" w:rsidRDefault="005F6358" w:rsidP="00E3221B">
            <w:pPr>
              <w:jc w:val="center"/>
              <w:rPr>
                <w:rFonts w:eastAsia="Times New Roman" w:cs="Arial"/>
              </w:rPr>
            </w:pPr>
            <w:r w:rsidRPr="00CF00BA">
              <w:rPr>
                <w:rFonts w:eastAsia="Times New Roman" w:cs="Arial"/>
              </w:rPr>
              <w:t>Dose &amp; frequency</w:t>
            </w:r>
          </w:p>
        </w:tc>
      </w:tr>
      <w:tr w:rsidR="005F6358" w:rsidRPr="00CF00BA" w14:paraId="1EB3B9B3" w14:textId="77777777" w:rsidTr="00E3221B">
        <w:tc>
          <w:tcPr>
            <w:tcW w:w="3320" w:type="dxa"/>
          </w:tcPr>
          <w:p w14:paraId="7EC7F693" w14:textId="77777777" w:rsidR="005F6358" w:rsidRPr="00CF00BA" w:rsidRDefault="005F6358" w:rsidP="00E3221B">
            <w:pPr>
              <w:rPr>
                <w:rFonts w:eastAsia="Times New Roman" w:cs="Arial"/>
              </w:rPr>
            </w:pPr>
            <w:permStart w:id="1091255161" w:edGrp="everyone" w:colFirst="0" w:colLast="0"/>
            <w:permStart w:id="878314193" w:edGrp="everyone" w:colFirst="1" w:colLast="1"/>
            <w:permStart w:id="201468526" w:edGrp="everyone" w:colFirst="2" w:colLast="2"/>
          </w:p>
        </w:tc>
        <w:tc>
          <w:tcPr>
            <w:tcW w:w="3321" w:type="dxa"/>
          </w:tcPr>
          <w:p w14:paraId="584B6B99" w14:textId="77777777" w:rsidR="005F6358" w:rsidRPr="00CF00BA" w:rsidRDefault="005F6358" w:rsidP="00E3221B">
            <w:pPr>
              <w:rPr>
                <w:rFonts w:eastAsia="Times New Roman" w:cs="Arial"/>
              </w:rPr>
            </w:pPr>
          </w:p>
        </w:tc>
        <w:tc>
          <w:tcPr>
            <w:tcW w:w="3321" w:type="dxa"/>
          </w:tcPr>
          <w:p w14:paraId="606BB2B5" w14:textId="77777777" w:rsidR="005F6358" w:rsidRPr="00CF00BA" w:rsidRDefault="005F6358" w:rsidP="00E3221B">
            <w:pPr>
              <w:rPr>
                <w:rFonts w:eastAsia="Times New Roman" w:cs="Arial"/>
              </w:rPr>
            </w:pPr>
          </w:p>
        </w:tc>
      </w:tr>
      <w:permEnd w:id="1091255161"/>
      <w:permEnd w:id="878314193"/>
      <w:permEnd w:id="201468526"/>
    </w:tbl>
    <w:p w14:paraId="6FE7C9BD" w14:textId="77777777" w:rsidR="005F6358" w:rsidRPr="00CF00BA" w:rsidRDefault="005F6358" w:rsidP="005F6358">
      <w:pPr>
        <w:spacing w:after="0"/>
        <w:rPr>
          <w:rFonts w:eastAsia="Times New Roman" w:cs="Arial"/>
        </w:rPr>
      </w:pPr>
    </w:p>
    <w:p w14:paraId="492B7988" w14:textId="77777777" w:rsidR="00F56B07" w:rsidRPr="006C3BBB" w:rsidRDefault="00F56B07" w:rsidP="00F56B07">
      <w:pPr>
        <w:spacing w:after="0"/>
        <w:rPr>
          <w:rFonts w:eastAsia="Times New Roman" w:cs="Arial"/>
        </w:rPr>
      </w:pPr>
      <w:r w:rsidRPr="104F79DE">
        <w:rPr>
          <w:rFonts w:eastAsia="Times New Roman" w:cs="Arial"/>
        </w:rPr>
        <w:t xml:space="preserve">I can confirm that I am willing to take on this responsibility from </w:t>
      </w:r>
      <w:permStart w:id="1584220850" w:edGrp="everyone"/>
      <w:r w:rsidRPr="104F79DE">
        <w:rPr>
          <w:rFonts w:eastAsia="Times New Roman" w:cs="Arial"/>
          <w:i/>
        </w:rPr>
        <w:t xml:space="preserve">insert date </w:t>
      </w:r>
      <w:permEnd w:id="1584220850"/>
      <w:r w:rsidRPr="104F79DE">
        <w:rPr>
          <w:rFonts w:eastAsia="Times New Roman" w:cs="Arial"/>
        </w:rPr>
        <w:t>and will complete the monitoring as set out in the shared care protocol for this medicine/condition.</w:t>
      </w:r>
    </w:p>
    <w:p w14:paraId="1A2733A6" w14:textId="77777777" w:rsidR="005F6358" w:rsidRPr="00CF00BA" w:rsidRDefault="005F6358" w:rsidP="005F6358">
      <w:pPr>
        <w:spacing w:after="0"/>
        <w:ind w:left="720"/>
        <w:rPr>
          <w:rFonts w:eastAsia="Times New Roman" w:cs="Arial"/>
          <w:bCs/>
        </w:rPr>
      </w:pPr>
    </w:p>
    <w:p w14:paraId="5733BFBC" w14:textId="77777777" w:rsidR="00F56B07" w:rsidRDefault="005F6358" w:rsidP="005F6358">
      <w:pPr>
        <w:spacing w:after="0"/>
        <w:rPr>
          <w:rFonts w:eastAsia="Times New Roman" w:cs="Arial"/>
          <w:bCs/>
        </w:rPr>
      </w:pPr>
      <w:r w:rsidRPr="00CF00BA">
        <w:rPr>
          <w:rFonts w:eastAsia="Times New Roman" w:cs="Arial"/>
          <w:bCs/>
        </w:rPr>
        <w:t>Primary Care Prescriber signature: _______________________________</w:t>
      </w:r>
      <w:r w:rsidRPr="00CF00BA">
        <w:rPr>
          <w:rFonts w:eastAsia="Times New Roman" w:cs="Arial"/>
          <w:bCs/>
        </w:rPr>
        <w:tab/>
      </w:r>
    </w:p>
    <w:p w14:paraId="6CF5221F" w14:textId="18ED005D" w:rsidR="005F6358" w:rsidRPr="00CF00BA" w:rsidRDefault="005F6358" w:rsidP="005F6358">
      <w:pPr>
        <w:spacing w:after="0"/>
        <w:rPr>
          <w:rFonts w:eastAsia="Times New Roman" w:cs="Arial"/>
          <w:bCs/>
        </w:rPr>
      </w:pPr>
      <w:r w:rsidRPr="00CF00BA">
        <w:rPr>
          <w:rFonts w:eastAsia="Times New Roman" w:cs="Arial"/>
          <w:bCs/>
        </w:rPr>
        <w:t xml:space="preserve">Date: ____________ </w:t>
      </w:r>
    </w:p>
    <w:p w14:paraId="132AEFA8" w14:textId="77777777" w:rsidR="005F6358" w:rsidRPr="00CF00BA" w:rsidRDefault="005F6358" w:rsidP="005F6358">
      <w:pPr>
        <w:spacing w:after="0"/>
        <w:ind w:left="720"/>
        <w:rPr>
          <w:rFonts w:eastAsia="Times New Roman" w:cs="Arial"/>
          <w:bCs/>
        </w:rPr>
      </w:pPr>
    </w:p>
    <w:p w14:paraId="7138C530" w14:textId="77777777" w:rsidR="005F6358" w:rsidRPr="00CF00BA" w:rsidRDefault="005F6358" w:rsidP="005F6358">
      <w:pPr>
        <w:spacing w:after="0"/>
        <w:ind w:left="720"/>
        <w:rPr>
          <w:rFonts w:eastAsia="Times New Roman" w:cs="Arial"/>
          <w:bCs/>
        </w:rPr>
      </w:pPr>
    </w:p>
    <w:p w14:paraId="29F1B561" w14:textId="77777777" w:rsidR="005F6358" w:rsidRPr="00CF00BA" w:rsidRDefault="005F6358" w:rsidP="005F6358">
      <w:pPr>
        <w:spacing w:after="0"/>
        <w:ind w:left="720"/>
        <w:rPr>
          <w:rFonts w:eastAsia="Times New Roman" w:cs="Arial"/>
          <w:bCs/>
        </w:rPr>
      </w:pPr>
    </w:p>
    <w:p w14:paraId="38C8164B" w14:textId="77777777" w:rsidR="005F6358" w:rsidRPr="00CF00BA" w:rsidRDefault="005F6358" w:rsidP="005F6358">
      <w:pPr>
        <w:spacing w:after="0"/>
        <w:rPr>
          <w:rFonts w:eastAsia="Times New Roman" w:cs="Arial"/>
          <w:bCs/>
        </w:rPr>
      </w:pPr>
      <w:r w:rsidRPr="00CF00BA">
        <w:rPr>
          <w:rFonts w:eastAsia="Times New Roman" w:cs="Arial"/>
          <w:bCs/>
        </w:rPr>
        <w:t>Primary Care Prescriber address/practice stamp</w:t>
      </w:r>
    </w:p>
    <w:p w14:paraId="6F0BFCBB" w14:textId="77777777" w:rsidR="005F6358" w:rsidRPr="00CF00BA" w:rsidRDefault="005F6358" w:rsidP="005F6358">
      <w:pPr>
        <w:rPr>
          <w:rFonts w:eastAsia="Times New Roman" w:cs="Arial"/>
          <w:bCs/>
        </w:rPr>
      </w:pPr>
      <w:r w:rsidRPr="00CF00BA">
        <w:rPr>
          <w:rFonts w:eastAsia="Times New Roman" w:cs="Arial"/>
          <w:bCs/>
        </w:rPr>
        <w:br w:type="page"/>
      </w:r>
    </w:p>
    <w:p w14:paraId="39EB88B2" w14:textId="77777777" w:rsidR="005F6358" w:rsidRPr="00CF00BA" w:rsidRDefault="005F6358" w:rsidP="00F13240">
      <w:pPr>
        <w:pStyle w:val="Heading1"/>
        <w:numPr>
          <w:ilvl w:val="0"/>
          <w:numId w:val="0"/>
        </w:numPr>
      </w:pPr>
      <w:bookmarkStart w:id="26" w:name="_Appendix_4"/>
      <w:bookmarkStart w:id="27" w:name="_Toc28084479"/>
      <w:bookmarkStart w:id="28" w:name="_Toc64632336"/>
      <w:bookmarkEnd w:id="26"/>
      <w:r w:rsidRPr="00CF00BA">
        <w:lastRenderedPageBreak/>
        <w:t xml:space="preserve">Appendix </w:t>
      </w:r>
      <w:bookmarkEnd w:id="27"/>
      <w:r w:rsidRPr="00CF00BA">
        <w:t>3: Shared Care Refusal Letter (Primary Care Prescriber to Specialist)</w:t>
      </w:r>
      <w:bookmarkEnd w:id="28"/>
    </w:p>
    <w:p w14:paraId="1BE7EAC2" w14:textId="77777777" w:rsidR="005F6358" w:rsidRPr="00CF00BA" w:rsidRDefault="005F6358" w:rsidP="005F6358">
      <w:pPr>
        <w:autoSpaceDE w:val="0"/>
        <w:autoSpaceDN w:val="0"/>
        <w:adjustRightInd w:val="0"/>
        <w:spacing w:after="0"/>
        <w:rPr>
          <w:rFonts w:eastAsia="Times New Roman" w:cs="Arial"/>
          <w:lang w:eastAsia="en-GB"/>
        </w:rPr>
      </w:pPr>
    </w:p>
    <w:p w14:paraId="2B25E301" w14:textId="77777777" w:rsidR="005F6358" w:rsidRPr="00CF00BA" w:rsidRDefault="005F6358" w:rsidP="005F6358">
      <w:pPr>
        <w:autoSpaceDE w:val="0"/>
        <w:autoSpaceDN w:val="0"/>
        <w:adjustRightInd w:val="0"/>
        <w:spacing w:after="0"/>
        <w:rPr>
          <w:rFonts w:eastAsia="Times New Roman" w:cs="Arial"/>
          <w:b/>
          <w:lang w:eastAsia="en-GB"/>
        </w:rPr>
      </w:pPr>
      <w:r w:rsidRPr="00CF00BA">
        <w:rPr>
          <w:rFonts w:eastAsia="Times New Roman" w:cs="Arial"/>
          <w:b/>
          <w:lang w:eastAsia="en-GB"/>
        </w:rPr>
        <w:t xml:space="preserve">Re: </w:t>
      </w:r>
    </w:p>
    <w:p w14:paraId="57EEE939" w14:textId="77777777" w:rsidR="008215C1" w:rsidRPr="006C3BBB" w:rsidRDefault="008215C1" w:rsidP="008215C1">
      <w:pPr>
        <w:spacing w:after="0"/>
        <w:rPr>
          <w:rFonts w:eastAsia="Times New Roman" w:cs="Arial"/>
          <w:i/>
          <w:szCs w:val="24"/>
        </w:rPr>
      </w:pPr>
      <w:r w:rsidRPr="006C3BBB">
        <w:rPr>
          <w:rFonts w:eastAsia="Times New Roman" w:cs="Arial"/>
          <w:szCs w:val="24"/>
        </w:rPr>
        <w:t xml:space="preserve">Patient:  </w:t>
      </w:r>
      <w:permStart w:id="802366216" w:edGrp="everyone"/>
      <w:r w:rsidRPr="006C3BBB">
        <w:rPr>
          <w:rFonts w:eastAsia="Times New Roman" w:cs="Arial"/>
          <w:i/>
          <w:iCs/>
          <w:szCs w:val="24"/>
        </w:rPr>
        <w:t>insert Patient's name</w:t>
      </w:r>
      <w:permEnd w:id="802366216"/>
    </w:p>
    <w:p w14:paraId="037626EC" w14:textId="52061B60" w:rsidR="008215C1" w:rsidRPr="006C3BBB" w:rsidRDefault="008215C1" w:rsidP="008215C1">
      <w:pPr>
        <w:spacing w:after="0"/>
        <w:rPr>
          <w:rFonts w:eastAsia="Times New Roman" w:cs="Arial"/>
          <w:iCs/>
          <w:szCs w:val="24"/>
        </w:rPr>
      </w:pPr>
      <w:r w:rsidRPr="006C3BBB">
        <w:rPr>
          <w:rFonts w:eastAsia="Times New Roman" w:cs="Arial"/>
          <w:szCs w:val="24"/>
        </w:rPr>
        <w:t>NHS Number</w:t>
      </w:r>
      <w:r w:rsidRPr="006C3BBB">
        <w:rPr>
          <w:rFonts w:eastAsia="Times New Roman" w:cs="Arial"/>
          <w:szCs w:val="24"/>
        </w:rPr>
        <w:tab/>
        <w:t xml:space="preserve">:  </w:t>
      </w:r>
      <w:permStart w:id="1326995773" w:edGrp="everyone"/>
      <w:r w:rsidRPr="006C3BBB">
        <w:rPr>
          <w:rFonts w:eastAsia="Times New Roman" w:cs="Arial"/>
          <w:i/>
          <w:iCs/>
          <w:szCs w:val="24"/>
        </w:rPr>
        <w:t>insert NHS</w:t>
      </w:r>
      <w:r w:rsidR="005D6F55">
        <w:t xml:space="preserve"> </w:t>
      </w:r>
      <w:r w:rsidRPr="006C3BBB">
        <w:rPr>
          <w:rFonts w:eastAsia="Times New Roman" w:cs="Arial"/>
          <w:i/>
          <w:iCs/>
          <w:szCs w:val="24"/>
        </w:rPr>
        <w:t>Number</w:t>
      </w:r>
      <w:permEnd w:id="1326995773"/>
    </w:p>
    <w:p w14:paraId="66BFDED5" w14:textId="77777777" w:rsidR="008215C1" w:rsidRPr="006C3BBB" w:rsidRDefault="008215C1" w:rsidP="008215C1">
      <w:pPr>
        <w:spacing w:after="0"/>
        <w:rPr>
          <w:rFonts w:eastAsia="Times New Roman" w:cs="Arial"/>
          <w:i/>
          <w:szCs w:val="24"/>
        </w:rPr>
      </w:pPr>
      <w:r w:rsidRPr="006C3BBB">
        <w:rPr>
          <w:rFonts w:eastAsia="Times New Roman" w:cs="Arial"/>
          <w:szCs w:val="24"/>
        </w:rPr>
        <w:t xml:space="preserve">Identifier:  </w:t>
      </w:r>
      <w:permStart w:id="1601661694" w:edGrp="everyone"/>
      <w:r w:rsidRPr="006C3BBB">
        <w:rPr>
          <w:rFonts w:eastAsia="Times New Roman" w:cs="Arial"/>
          <w:i/>
          <w:iCs/>
          <w:szCs w:val="24"/>
        </w:rPr>
        <w:t>insert patient's date of birth and/or address</w:t>
      </w:r>
      <w:r w:rsidRPr="006C3BBB">
        <w:rPr>
          <w:rFonts w:eastAsia="Times New Roman" w:cs="Arial"/>
          <w:i/>
          <w:szCs w:val="24"/>
        </w:rPr>
        <w:t xml:space="preserve"> </w:t>
      </w:r>
      <w:permEnd w:id="1601661694"/>
    </w:p>
    <w:p w14:paraId="69D48CEF" w14:textId="77777777" w:rsidR="008215C1" w:rsidRPr="006C3BBB" w:rsidRDefault="008215C1" w:rsidP="008215C1">
      <w:pPr>
        <w:spacing w:after="0"/>
        <w:rPr>
          <w:rFonts w:eastAsia="Times New Roman" w:cs="Arial"/>
          <w:i/>
          <w:iCs/>
          <w:szCs w:val="24"/>
        </w:rPr>
      </w:pPr>
    </w:p>
    <w:p w14:paraId="1A2F9AD2" w14:textId="77777777" w:rsidR="008215C1" w:rsidRPr="006C3BBB" w:rsidRDefault="008215C1" w:rsidP="008215C1">
      <w:pPr>
        <w:autoSpaceDE w:val="0"/>
        <w:autoSpaceDN w:val="0"/>
        <w:adjustRightInd w:val="0"/>
        <w:spacing w:after="240"/>
        <w:rPr>
          <w:rFonts w:eastAsia="Times New Roman" w:cs="Arial"/>
          <w:b/>
          <w:bCs/>
          <w:szCs w:val="24"/>
          <w:lang w:eastAsia="en-GB"/>
        </w:rPr>
      </w:pPr>
      <w:r w:rsidRPr="006C3BBB">
        <w:rPr>
          <w:rFonts w:eastAsia="Times New Roman" w:cs="Arial"/>
          <w:szCs w:val="24"/>
          <w:lang w:eastAsia="en-GB"/>
        </w:rPr>
        <w:t>Thank you for your request for me to accept prescribing responsibility for this patient.</w:t>
      </w:r>
    </w:p>
    <w:p w14:paraId="2F5336A4" w14:textId="77777777" w:rsidR="008215C1" w:rsidRPr="009E33B5" w:rsidRDefault="008215C1" w:rsidP="008215C1">
      <w:pPr>
        <w:autoSpaceDE w:val="0"/>
        <w:autoSpaceDN w:val="0"/>
        <w:adjustRightInd w:val="0"/>
        <w:spacing w:after="0"/>
        <w:rPr>
          <w:rFonts w:eastAsia="Times New Roman" w:cs="Arial"/>
          <w:b/>
          <w:lang w:eastAsia="en-GB"/>
        </w:rPr>
      </w:pPr>
      <w:r w:rsidRPr="006C3BBB">
        <w:rPr>
          <w:rFonts w:eastAsia="Times New Roman" w:cs="Arial"/>
          <w:szCs w:val="24"/>
          <w:lang w:eastAsia="en-GB"/>
        </w:rPr>
        <w:t>In the interest of patient safety NHS</w:t>
      </w:r>
      <w:r>
        <w:rPr>
          <w:rFonts w:eastAsia="Times New Roman" w:cs="Arial"/>
          <w:szCs w:val="24"/>
          <w:lang w:eastAsia="en-GB"/>
        </w:rPr>
        <w:t xml:space="preserve"> SWL ICB,</w:t>
      </w:r>
      <w:r w:rsidRPr="006C3BBB">
        <w:rPr>
          <w:rFonts w:eastAsia="Times New Roman" w:cs="Arial"/>
          <w:szCs w:val="24"/>
          <w:lang w:eastAsia="en-GB"/>
        </w:rPr>
        <w:t xml:space="preserve"> in conjunction with local acute trusts have classified </w:t>
      </w:r>
      <w:permStart w:id="705250496" w:edGrp="everyone"/>
      <w:r w:rsidRPr="006C3BBB">
        <w:rPr>
          <w:rFonts w:eastAsia="Times New Roman" w:cs="Arial"/>
          <w:i/>
          <w:iCs/>
          <w:szCs w:val="24"/>
          <w:lang w:eastAsia="en-GB"/>
        </w:rPr>
        <w:t>insert medicine nam</w:t>
      </w:r>
      <w:r>
        <w:rPr>
          <w:rFonts w:eastAsia="Times New Roman" w:cs="Arial"/>
          <w:i/>
          <w:iCs/>
          <w:szCs w:val="24"/>
          <w:lang w:eastAsia="en-GB"/>
        </w:rPr>
        <w:t>e</w:t>
      </w:r>
      <w:r w:rsidRPr="006C3BBB">
        <w:rPr>
          <w:rFonts w:eastAsia="Times New Roman" w:cs="Arial"/>
          <w:bCs/>
          <w:szCs w:val="24"/>
          <w:lang w:eastAsia="en-GB"/>
        </w:rPr>
        <w:t xml:space="preserve"> </w:t>
      </w:r>
      <w:permEnd w:id="705250496"/>
      <w:r w:rsidRPr="006C3BBB">
        <w:rPr>
          <w:rFonts w:eastAsia="Times New Roman" w:cs="Arial"/>
          <w:bCs/>
          <w:szCs w:val="24"/>
          <w:lang w:eastAsia="en-GB"/>
        </w:rPr>
        <w:t>as a Shared Care drug and requires a number of conditions to be met before transfer can be made to primary care</w:t>
      </w:r>
    </w:p>
    <w:p w14:paraId="442D194A" w14:textId="77777777" w:rsidR="005F6358" w:rsidRPr="00CF00BA" w:rsidRDefault="005F6358" w:rsidP="00F13240">
      <w:pPr>
        <w:autoSpaceDE w:val="0"/>
        <w:autoSpaceDN w:val="0"/>
        <w:adjustRightInd w:val="0"/>
        <w:spacing w:after="240"/>
        <w:rPr>
          <w:rFonts w:eastAsia="Times New Roman" w:cs="Arial"/>
          <w:b/>
          <w:bCs/>
          <w:sz w:val="20"/>
          <w:szCs w:val="20"/>
          <w:lang w:eastAsia="en-GB"/>
        </w:rPr>
      </w:pPr>
      <w:r w:rsidRPr="00CF00BA">
        <w:rPr>
          <w:rFonts w:eastAsia="Times New Roman" w:cs="Arial"/>
          <w:b/>
          <w:bCs/>
          <w:lang w:eastAsia="en-GB"/>
        </w:rPr>
        <w:t>I regret to inform you that in this instance I am unable to take on responsibility due to the following:</w:t>
      </w:r>
    </w:p>
    <w:tbl>
      <w:tblPr>
        <w:tblStyle w:val="TableGrid1"/>
        <w:tblW w:w="5000" w:type="pct"/>
        <w:tblCellMar>
          <w:top w:w="113" w:type="dxa"/>
          <w:bottom w:w="113" w:type="dxa"/>
        </w:tblCellMar>
        <w:tblLook w:val="04A0" w:firstRow="1" w:lastRow="0" w:firstColumn="1" w:lastColumn="0" w:noHBand="0" w:noVBand="1"/>
      </w:tblPr>
      <w:tblGrid>
        <w:gridCol w:w="383"/>
        <w:gridCol w:w="7579"/>
        <w:gridCol w:w="1098"/>
      </w:tblGrid>
      <w:tr w:rsidR="005F6358" w:rsidRPr="00CF00BA" w14:paraId="65190CF4" w14:textId="77777777" w:rsidTr="00F13240">
        <w:trPr>
          <w:cantSplit/>
        </w:trPr>
        <w:tc>
          <w:tcPr>
            <w:tcW w:w="211" w:type="pct"/>
          </w:tcPr>
          <w:p w14:paraId="1130104A" w14:textId="77777777" w:rsidR="005F6358" w:rsidRPr="00CF00BA" w:rsidRDefault="005F6358" w:rsidP="00F13240">
            <w:pPr>
              <w:autoSpaceDE w:val="0"/>
              <w:autoSpaceDN w:val="0"/>
              <w:adjustRightInd w:val="0"/>
              <w:spacing w:line="276" w:lineRule="auto"/>
              <w:jc w:val="center"/>
              <w:rPr>
                <w:rFonts w:eastAsia="Times New Roman" w:cs="Arial"/>
                <w:b/>
                <w:bCs/>
                <w:lang w:eastAsia="en-GB"/>
              </w:rPr>
            </w:pPr>
            <w:r w:rsidRPr="00CF00BA">
              <w:rPr>
                <w:rFonts w:eastAsia="Times New Roman" w:cs="Arial"/>
                <w:b/>
                <w:bCs/>
                <w:lang w:eastAsia="en-GB"/>
              </w:rPr>
              <w:t xml:space="preserve">   </w:t>
            </w:r>
          </w:p>
        </w:tc>
        <w:tc>
          <w:tcPr>
            <w:tcW w:w="4183" w:type="pct"/>
          </w:tcPr>
          <w:p w14:paraId="7BEDA9A4" w14:textId="77777777" w:rsidR="005F6358" w:rsidRPr="00CF00BA" w:rsidRDefault="005F6358" w:rsidP="00F13240">
            <w:pPr>
              <w:autoSpaceDE w:val="0"/>
              <w:autoSpaceDN w:val="0"/>
              <w:adjustRightInd w:val="0"/>
              <w:spacing w:after="120" w:line="276" w:lineRule="auto"/>
              <w:jc w:val="center"/>
              <w:rPr>
                <w:rFonts w:eastAsia="Times New Roman" w:cs="Arial"/>
                <w:b/>
                <w:bCs/>
                <w:lang w:eastAsia="en-GB"/>
              </w:rPr>
            </w:pPr>
          </w:p>
        </w:tc>
        <w:tc>
          <w:tcPr>
            <w:tcW w:w="606" w:type="pct"/>
          </w:tcPr>
          <w:p w14:paraId="6791F2B6" w14:textId="77777777" w:rsidR="005F6358" w:rsidRPr="00CF00BA" w:rsidRDefault="005F6358" w:rsidP="00F13240">
            <w:pPr>
              <w:autoSpaceDE w:val="0"/>
              <w:autoSpaceDN w:val="0"/>
              <w:adjustRightInd w:val="0"/>
              <w:spacing w:line="276" w:lineRule="auto"/>
              <w:jc w:val="center"/>
              <w:rPr>
                <w:rFonts w:eastAsia="Times New Roman" w:cs="Arial"/>
                <w:b/>
                <w:bCs/>
                <w:sz w:val="18"/>
                <w:lang w:eastAsia="en-GB"/>
              </w:rPr>
            </w:pPr>
            <w:r w:rsidRPr="00CF00BA">
              <w:rPr>
                <w:rFonts w:eastAsia="Times New Roman" w:cs="Arial"/>
                <w:b/>
                <w:bCs/>
                <w:sz w:val="18"/>
                <w:lang w:eastAsia="en-GB"/>
              </w:rPr>
              <w:t>Tick which apply</w:t>
            </w:r>
          </w:p>
        </w:tc>
      </w:tr>
      <w:tr w:rsidR="005F6358" w:rsidRPr="00CF00BA" w14:paraId="06E31781" w14:textId="77777777" w:rsidTr="00F13240">
        <w:trPr>
          <w:cantSplit/>
        </w:trPr>
        <w:tc>
          <w:tcPr>
            <w:tcW w:w="211" w:type="pct"/>
          </w:tcPr>
          <w:p w14:paraId="0D12C882" w14:textId="77777777" w:rsidR="005F6358" w:rsidRPr="00CF00BA" w:rsidRDefault="005F6358" w:rsidP="00F13240">
            <w:pPr>
              <w:autoSpaceDE w:val="0"/>
              <w:autoSpaceDN w:val="0"/>
              <w:adjustRightInd w:val="0"/>
              <w:spacing w:line="276" w:lineRule="auto"/>
              <w:rPr>
                <w:rFonts w:eastAsia="Times New Roman" w:cs="Arial"/>
                <w:b/>
                <w:bCs/>
                <w:sz w:val="20"/>
                <w:szCs w:val="20"/>
                <w:lang w:eastAsia="en-GB"/>
              </w:rPr>
            </w:pPr>
            <w:permStart w:id="1166281739" w:edGrp="everyone" w:colFirst="2" w:colLast="2"/>
            <w:r w:rsidRPr="00CF00BA">
              <w:rPr>
                <w:rFonts w:eastAsia="Times New Roman" w:cs="Arial"/>
                <w:b/>
                <w:bCs/>
                <w:sz w:val="20"/>
                <w:szCs w:val="20"/>
                <w:lang w:eastAsia="en-GB"/>
              </w:rPr>
              <w:t>1.</w:t>
            </w:r>
          </w:p>
        </w:tc>
        <w:tc>
          <w:tcPr>
            <w:tcW w:w="4183" w:type="pct"/>
          </w:tcPr>
          <w:p w14:paraId="24A2CADE" w14:textId="77777777" w:rsidR="005F6358" w:rsidRPr="00CF00BA" w:rsidRDefault="005F6358" w:rsidP="00F13240">
            <w:pPr>
              <w:autoSpaceDE w:val="0"/>
              <w:autoSpaceDN w:val="0"/>
              <w:adjustRightInd w:val="0"/>
              <w:spacing w:after="120" w:line="276" w:lineRule="auto"/>
              <w:rPr>
                <w:rFonts w:eastAsia="Times New Roman" w:cs="Arial"/>
                <w:b/>
                <w:bCs/>
                <w:sz w:val="20"/>
                <w:szCs w:val="20"/>
                <w:lang w:eastAsia="en-GB"/>
              </w:rPr>
            </w:pPr>
            <w:r w:rsidRPr="00CF00BA">
              <w:rPr>
                <w:rFonts w:eastAsia="Times New Roman" w:cs="Arial"/>
                <w:b/>
                <w:bCs/>
                <w:sz w:val="20"/>
                <w:szCs w:val="20"/>
                <w:lang w:eastAsia="en-GB"/>
              </w:rPr>
              <w:t>The prescriber does not feel clinically confident in managing this individual patient’s condition, and there is a sound clinical basis for refusing to accept shared care</w:t>
            </w:r>
          </w:p>
          <w:p w14:paraId="144D5D80" w14:textId="3004DF8A" w:rsidR="005F6358" w:rsidRPr="00CF00BA" w:rsidRDefault="005F6358" w:rsidP="00F13240">
            <w:pPr>
              <w:autoSpaceDE w:val="0"/>
              <w:autoSpaceDN w:val="0"/>
              <w:adjustRightInd w:val="0"/>
              <w:spacing w:after="120" w:line="276" w:lineRule="auto"/>
              <w:rPr>
                <w:rFonts w:eastAsia="Times New Roman" w:cs="Arial"/>
                <w:bCs/>
                <w:sz w:val="20"/>
                <w:szCs w:val="20"/>
                <w:lang w:eastAsia="en-GB"/>
              </w:rPr>
            </w:pPr>
            <w:r w:rsidRPr="00CF00BA">
              <w:rPr>
                <w:rFonts w:eastAsia="Times New Roman" w:cs="Arial"/>
                <w:bCs/>
                <w:sz w:val="20"/>
                <w:szCs w:val="20"/>
                <w:lang w:eastAsia="en-GB"/>
              </w:rPr>
              <w:t>As the patients primary care prescriber I do not feel clinically confident to manage this patient’s condition because</w:t>
            </w:r>
            <w:r w:rsidR="00046076">
              <w:rPr>
                <w:rFonts w:eastAsia="Times New Roman" w:cs="Arial"/>
                <w:bCs/>
                <w:sz w:val="20"/>
                <w:szCs w:val="20"/>
                <w:lang w:eastAsia="en-GB"/>
              </w:rPr>
              <w:t xml:space="preserve"> </w:t>
            </w:r>
            <w:permStart w:id="839720155" w:edGrp="everyone"/>
            <w:r w:rsidR="00046076">
              <w:rPr>
                <w:rFonts w:eastAsia="Times New Roman" w:cs="Arial"/>
                <w:bCs/>
                <w:i/>
                <w:iCs/>
                <w:sz w:val="20"/>
                <w:szCs w:val="20"/>
                <w:lang w:eastAsia="en-GB"/>
              </w:rPr>
              <w:t>insert reason</w:t>
            </w:r>
            <w:r w:rsidRPr="00CF00BA">
              <w:rPr>
                <w:rFonts w:eastAsia="Times New Roman" w:cs="Arial"/>
                <w:bCs/>
                <w:sz w:val="20"/>
                <w:szCs w:val="20"/>
                <w:lang w:eastAsia="en-GB"/>
              </w:rPr>
              <w:t xml:space="preserve">. </w:t>
            </w:r>
            <w:permEnd w:id="839720155"/>
            <w:r w:rsidRPr="00CF00BA">
              <w:rPr>
                <w:rFonts w:eastAsia="Times New Roman" w:cs="Arial"/>
                <w:bCs/>
                <w:sz w:val="20"/>
                <w:szCs w:val="20"/>
                <w:lang w:eastAsia="en-GB"/>
              </w:rPr>
              <w:t>I have consulted with other primary care prescribers in my practice who support my decision. This is not an issue which would be resolved through adequate and appropriate training of prescribers within my practice.</w:t>
            </w:r>
          </w:p>
          <w:p w14:paraId="7708A979" w14:textId="77777777" w:rsidR="005F6358" w:rsidRPr="00CF00BA" w:rsidRDefault="005F6358" w:rsidP="00F13240">
            <w:pPr>
              <w:autoSpaceDE w:val="0"/>
              <w:autoSpaceDN w:val="0"/>
              <w:adjustRightInd w:val="0"/>
              <w:spacing w:after="120" w:line="276" w:lineRule="auto"/>
              <w:rPr>
                <w:rFonts w:eastAsia="Times New Roman" w:cs="Arial"/>
                <w:b/>
                <w:bCs/>
                <w:sz w:val="20"/>
                <w:szCs w:val="20"/>
                <w:lang w:eastAsia="en-GB"/>
              </w:rPr>
            </w:pPr>
            <w:r w:rsidRPr="00CF00BA">
              <w:rPr>
                <w:rFonts w:eastAsia="Times New Roman" w:cs="Arial"/>
                <w:b/>
                <w:bCs/>
                <w:sz w:val="20"/>
                <w:szCs w:val="20"/>
                <w:lang w:eastAsia="en-GB"/>
              </w:rPr>
              <w:t>I have discussed my decision with the patient and request that prescribing for this individual remain with you as the specialist, due to the sound clinical basis given above.</w:t>
            </w:r>
          </w:p>
        </w:tc>
        <w:tc>
          <w:tcPr>
            <w:tcW w:w="606" w:type="pct"/>
          </w:tcPr>
          <w:p w14:paraId="225A8D15" w14:textId="77777777" w:rsidR="005F6358" w:rsidRPr="00CF00BA" w:rsidRDefault="005F6358" w:rsidP="00F13240">
            <w:pPr>
              <w:autoSpaceDE w:val="0"/>
              <w:autoSpaceDN w:val="0"/>
              <w:adjustRightInd w:val="0"/>
              <w:spacing w:line="276" w:lineRule="auto"/>
              <w:rPr>
                <w:rFonts w:eastAsia="Times New Roman" w:cs="Arial"/>
                <w:b/>
                <w:bCs/>
                <w:sz w:val="18"/>
                <w:lang w:eastAsia="en-GB"/>
              </w:rPr>
            </w:pPr>
          </w:p>
        </w:tc>
      </w:tr>
      <w:tr w:rsidR="005F6358" w:rsidRPr="00CF00BA" w14:paraId="6095A7DF" w14:textId="77777777" w:rsidTr="00F13240">
        <w:trPr>
          <w:cantSplit/>
        </w:trPr>
        <w:tc>
          <w:tcPr>
            <w:tcW w:w="211" w:type="pct"/>
          </w:tcPr>
          <w:p w14:paraId="51095E2B" w14:textId="77777777" w:rsidR="005F6358" w:rsidRPr="00CF00BA" w:rsidRDefault="005F6358" w:rsidP="00F13240">
            <w:pPr>
              <w:autoSpaceDE w:val="0"/>
              <w:autoSpaceDN w:val="0"/>
              <w:adjustRightInd w:val="0"/>
              <w:spacing w:line="276" w:lineRule="auto"/>
              <w:rPr>
                <w:rFonts w:eastAsia="Times New Roman" w:cs="Arial"/>
                <w:b/>
                <w:bCs/>
                <w:sz w:val="20"/>
                <w:szCs w:val="20"/>
                <w:lang w:eastAsia="en-GB"/>
              </w:rPr>
            </w:pPr>
            <w:permStart w:id="710158465" w:edGrp="everyone" w:colFirst="2" w:colLast="2"/>
            <w:permEnd w:id="1166281739"/>
            <w:r w:rsidRPr="00CF00BA">
              <w:rPr>
                <w:rFonts w:eastAsia="Times New Roman" w:cs="Arial"/>
                <w:b/>
                <w:bCs/>
                <w:sz w:val="20"/>
                <w:szCs w:val="20"/>
                <w:lang w:eastAsia="en-GB"/>
              </w:rPr>
              <w:t>2.</w:t>
            </w:r>
          </w:p>
        </w:tc>
        <w:tc>
          <w:tcPr>
            <w:tcW w:w="4183" w:type="pct"/>
          </w:tcPr>
          <w:p w14:paraId="6F6E7B33" w14:textId="77777777" w:rsidR="005F6358" w:rsidRPr="00CF00BA" w:rsidRDefault="005F6358" w:rsidP="00F13240">
            <w:pPr>
              <w:autoSpaceDE w:val="0"/>
              <w:autoSpaceDN w:val="0"/>
              <w:adjustRightInd w:val="0"/>
              <w:spacing w:after="120" w:line="276" w:lineRule="auto"/>
              <w:rPr>
                <w:rFonts w:eastAsia="Times New Roman" w:cs="Arial"/>
                <w:b/>
                <w:bCs/>
                <w:sz w:val="20"/>
                <w:szCs w:val="20"/>
                <w:lang w:eastAsia="en-GB"/>
              </w:rPr>
            </w:pPr>
            <w:r w:rsidRPr="00CF00BA">
              <w:rPr>
                <w:rFonts w:eastAsia="Times New Roman" w:cs="Arial"/>
                <w:b/>
                <w:bCs/>
                <w:sz w:val="20"/>
                <w:szCs w:val="20"/>
                <w:lang w:eastAsia="en-GB"/>
              </w:rPr>
              <w:t>The medicine or condition does not fall within the criteria defining suitability for inclusion in a shared care arrangement</w:t>
            </w:r>
          </w:p>
          <w:p w14:paraId="7C793CB9" w14:textId="77777777" w:rsidR="005F6358" w:rsidRPr="00CF00BA" w:rsidRDefault="005F6358" w:rsidP="00F13240">
            <w:pPr>
              <w:autoSpaceDE w:val="0"/>
              <w:autoSpaceDN w:val="0"/>
              <w:adjustRightInd w:val="0"/>
              <w:spacing w:after="120" w:line="276" w:lineRule="auto"/>
              <w:rPr>
                <w:rFonts w:eastAsia="Times New Roman" w:cs="Arial"/>
                <w:bCs/>
                <w:sz w:val="20"/>
                <w:szCs w:val="20"/>
                <w:lang w:eastAsia="en-GB"/>
              </w:rPr>
            </w:pPr>
            <w:r w:rsidRPr="00CF00BA">
              <w:rPr>
                <w:rFonts w:eastAsia="Times New Roman" w:cs="Arial"/>
                <w:bCs/>
                <w:sz w:val="20"/>
                <w:szCs w:val="20"/>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21B864F" w14:textId="77777777" w:rsidR="005F6358" w:rsidRPr="00CF00BA" w:rsidRDefault="005F6358" w:rsidP="00F13240">
            <w:pPr>
              <w:autoSpaceDE w:val="0"/>
              <w:autoSpaceDN w:val="0"/>
              <w:adjustRightInd w:val="0"/>
              <w:spacing w:after="120" w:line="276" w:lineRule="auto"/>
              <w:rPr>
                <w:rFonts w:eastAsia="Times New Roman" w:cs="Arial"/>
                <w:b/>
                <w:bCs/>
                <w:sz w:val="20"/>
                <w:szCs w:val="20"/>
                <w:lang w:eastAsia="en-GB"/>
              </w:rPr>
            </w:pPr>
            <w:r w:rsidRPr="00CF00BA">
              <w:rPr>
                <w:rFonts w:eastAsia="Times New Roman" w:cs="Arial"/>
                <w:b/>
                <w:bCs/>
                <w:sz w:val="20"/>
                <w:szCs w:val="20"/>
                <w:lang w:eastAsia="en-GB"/>
              </w:rPr>
              <w:t xml:space="preserve">Until this medicine is identified either nationally or locally as requiring shared care the responsibility for providing this patient with their medication remains with you </w:t>
            </w:r>
          </w:p>
        </w:tc>
        <w:tc>
          <w:tcPr>
            <w:tcW w:w="606" w:type="pct"/>
          </w:tcPr>
          <w:p w14:paraId="04FC5D58" w14:textId="77777777" w:rsidR="005F6358" w:rsidRPr="00CF00BA" w:rsidRDefault="005F6358" w:rsidP="00F13240">
            <w:pPr>
              <w:autoSpaceDE w:val="0"/>
              <w:autoSpaceDN w:val="0"/>
              <w:adjustRightInd w:val="0"/>
              <w:spacing w:line="276" w:lineRule="auto"/>
              <w:rPr>
                <w:rFonts w:eastAsia="Times New Roman" w:cs="Arial"/>
                <w:b/>
                <w:bCs/>
                <w:sz w:val="18"/>
                <w:lang w:eastAsia="en-GB"/>
              </w:rPr>
            </w:pPr>
          </w:p>
        </w:tc>
      </w:tr>
      <w:tr w:rsidR="005F6358" w:rsidRPr="00CF00BA" w14:paraId="51D5B5F5" w14:textId="77777777" w:rsidTr="00F13240">
        <w:trPr>
          <w:cantSplit/>
        </w:trPr>
        <w:tc>
          <w:tcPr>
            <w:tcW w:w="211" w:type="pct"/>
          </w:tcPr>
          <w:p w14:paraId="68560AF9" w14:textId="77777777" w:rsidR="005F6358" w:rsidRPr="00CF00BA" w:rsidRDefault="005F6358" w:rsidP="00F13240">
            <w:pPr>
              <w:autoSpaceDE w:val="0"/>
              <w:autoSpaceDN w:val="0"/>
              <w:adjustRightInd w:val="0"/>
              <w:spacing w:line="276" w:lineRule="auto"/>
              <w:rPr>
                <w:rFonts w:eastAsia="Times New Roman" w:cs="Arial"/>
                <w:b/>
                <w:bCs/>
                <w:sz w:val="20"/>
                <w:szCs w:val="20"/>
                <w:lang w:eastAsia="en-GB"/>
              </w:rPr>
            </w:pPr>
            <w:permStart w:id="1240466817" w:edGrp="everyone" w:colFirst="2" w:colLast="2"/>
            <w:permEnd w:id="710158465"/>
            <w:r w:rsidRPr="00CF00BA">
              <w:rPr>
                <w:rFonts w:eastAsia="Times New Roman" w:cs="Arial"/>
                <w:b/>
                <w:bCs/>
                <w:sz w:val="20"/>
                <w:szCs w:val="20"/>
                <w:lang w:eastAsia="en-GB"/>
              </w:rPr>
              <w:lastRenderedPageBreak/>
              <w:t>3.</w:t>
            </w:r>
          </w:p>
        </w:tc>
        <w:tc>
          <w:tcPr>
            <w:tcW w:w="4183" w:type="pct"/>
          </w:tcPr>
          <w:p w14:paraId="47EFE10D" w14:textId="77777777" w:rsidR="005F6358" w:rsidRPr="00CF00BA" w:rsidRDefault="005F6358" w:rsidP="00F13240">
            <w:pPr>
              <w:autoSpaceDE w:val="0"/>
              <w:autoSpaceDN w:val="0"/>
              <w:adjustRightInd w:val="0"/>
              <w:spacing w:after="120" w:line="276" w:lineRule="auto"/>
              <w:rPr>
                <w:rFonts w:eastAsia="Times New Roman" w:cs="Arial"/>
                <w:b/>
                <w:bCs/>
                <w:sz w:val="20"/>
                <w:szCs w:val="20"/>
                <w:lang w:eastAsia="en-GB"/>
              </w:rPr>
            </w:pPr>
            <w:r w:rsidRPr="00CF00BA">
              <w:rPr>
                <w:rFonts w:eastAsia="Times New Roman" w:cs="Arial"/>
                <w:b/>
                <w:bCs/>
                <w:sz w:val="20"/>
                <w:szCs w:val="20"/>
                <w:lang w:eastAsia="en-GB"/>
              </w:rPr>
              <w:t>A minimum duration of supply by the initiating clinician</w:t>
            </w:r>
          </w:p>
          <w:p w14:paraId="58998D75" w14:textId="77777777" w:rsidR="005F6358" w:rsidRPr="00CF00BA" w:rsidRDefault="005F6358" w:rsidP="00F13240">
            <w:pPr>
              <w:autoSpaceDE w:val="0"/>
              <w:autoSpaceDN w:val="0"/>
              <w:adjustRightInd w:val="0"/>
              <w:spacing w:after="120" w:line="276" w:lineRule="auto"/>
              <w:rPr>
                <w:rFonts w:eastAsia="Times New Roman" w:cs="Arial"/>
                <w:b/>
                <w:i/>
                <w:sz w:val="20"/>
                <w:szCs w:val="20"/>
                <w:lang w:eastAsia="en-GB"/>
              </w:rPr>
            </w:pPr>
            <w:r w:rsidRPr="00CF00BA">
              <w:rPr>
                <w:rFonts w:eastAsia="Times New Roman" w:cs="Arial"/>
                <w:sz w:val="20"/>
                <w:szCs w:val="20"/>
                <w:lang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15D4A443" w14:textId="77777777" w:rsidR="005F6358" w:rsidRPr="00CF00BA" w:rsidRDefault="005F6358" w:rsidP="00F13240">
            <w:pPr>
              <w:autoSpaceDE w:val="0"/>
              <w:autoSpaceDN w:val="0"/>
              <w:adjustRightInd w:val="0"/>
              <w:spacing w:after="120" w:line="276" w:lineRule="auto"/>
              <w:rPr>
                <w:rFonts w:eastAsia="Times New Roman" w:cs="Arial"/>
                <w:sz w:val="20"/>
                <w:szCs w:val="20"/>
                <w:lang w:eastAsia="en-GB"/>
              </w:rPr>
            </w:pPr>
            <w:r w:rsidRPr="00CF00BA">
              <w:rPr>
                <w:rFonts w:eastAsia="Times New Roman" w:cs="Arial"/>
                <w:b/>
                <w:i/>
                <w:sz w:val="20"/>
                <w:szCs w:val="20"/>
                <w:lang w:eastAsia="en-GB"/>
              </w:rPr>
              <w:t>Until the patient has had the appropriate length of supply the responsibility for providing the patient with their medication remains with you</w:t>
            </w:r>
            <w:r w:rsidRPr="00CF00BA">
              <w:rPr>
                <w:rFonts w:eastAsia="Times New Roman" w:cs="Arial"/>
                <w:b/>
                <w:bCs/>
                <w:i/>
                <w:sz w:val="20"/>
                <w:szCs w:val="20"/>
                <w:lang w:eastAsia="en-GB"/>
              </w:rPr>
              <w:t>.</w:t>
            </w:r>
          </w:p>
        </w:tc>
        <w:tc>
          <w:tcPr>
            <w:tcW w:w="606" w:type="pct"/>
          </w:tcPr>
          <w:p w14:paraId="19AE6141" w14:textId="77777777" w:rsidR="005F6358" w:rsidRPr="00CF00BA" w:rsidRDefault="005F6358" w:rsidP="00F13240">
            <w:pPr>
              <w:autoSpaceDE w:val="0"/>
              <w:autoSpaceDN w:val="0"/>
              <w:adjustRightInd w:val="0"/>
              <w:spacing w:line="276" w:lineRule="auto"/>
              <w:rPr>
                <w:rFonts w:eastAsia="Times New Roman" w:cs="Arial"/>
                <w:b/>
                <w:bCs/>
                <w:sz w:val="18"/>
                <w:lang w:eastAsia="en-GB"/>
              </w:rPr>
            </w:pPr>
          </w:p>
        </w:tc>
      </w:tr>
      <w:tr w:rsidR="005F6358" w:rsidRPr="00CF00BA" w14:paraId="089988B7" w14:textId="77777777" w:rsidTr="00F13240">
        <w:trPr>
          <w:cantSplit/>
        </w:trPr>
        <w:tc>
          <w:tcPr>
            <w:tcW w:w="211" w:type="pct"/>
          </w:tcPr>
          <w:p w14:paraId="0EB24C74" w14:textId="77777777" w:rsidR="005F6358" w:rsidRPr="00CF00BA" w:rsidRDefault="005F6358" w:rsidP="00F13240">
            <w:pPr>
              <w:autoSpaceDE w:val="0"/>
              <w:autoSpaceDN w:val="0"/>
              <w:adjustRightInd w:val="0"/>
              <w:spacing w:line="276" w:lineRule="auto"/>
              <w:rPr>
                <w:rFonts w:eastAsia="Times New Roman" w:cs="Arial"/>
                <w:b/>
                <w:bCs/>
                <w:sz w:val="20"/>
                <w:szCs w:val="20"/>
                <w:lang w:eastAsia="en-GB"/>
              </w:rPr>
            </w:pPr>
            <w:permStart w:id="746140048" w:edGrp="everyone" w:colFirst="2" w:colLast="2"/>
            <w:permEnd w:id="1240466817"/>
            <w:r w:rsidRPr="00CF00BA">
              <w:rPr>
                <w:rFonts w:eastAsia="Times New Roman" w:cs="Arial"/>
                <w:b/>
                <w:bCs/>
                <w:sz w:val="20"/>
                <w:szCs w:val="20"/>
                <w:lang w:eastAsia="en-GB"/>
              </w:rPr>
              <w:t>4.</w:t>
            </w:r>
          </w:p>
        </w:tc>
        <w:tc>
          <w:tcPr>
            <w:tcW w:w="4183" w:type="pct"/>
          </w:tcPr>
          <w:p w14:paraId="692BA673" w14:textId="77777777" w:rsidR="005F6358" w:rsidRPr="00CF00BA" w:rsidRDefault="005F6358" w:rsidP="00F13240">
            <w:pPr>
              <w:autoSpaceDE w:val="0"/>
              <w:autoSpaceDN w:val="0"/>
              <w:adjustRightInd w:val="0"/>
              <w:spacing w:after="120" w:line="276" w:lineRule="auto"/>
              <w:rPr>
                <w:rFonts w:eastAsia="Times New Roman" w:cs="Arial"/>
                <w:b/>
                <w:sz w:val="20"/>
                <w:szCs w:val="20"/>
                <w:lang w:eastAsia="en-GB"/>
              </w:rPr>
            </w:pPr>
            <w:r w:rsidRPr="00CF00BA">
              <w:rPr>
                <w:rFonts w:eastAsia="Times New Roman" w:cs="Arial"/>
                <w:b/>
                <w:sz w:val="20"/>
                <w:szCs w:val="20"/>
                <w:lang w:eastAsia="en-GB"/>
              </w:rPr>
              <w:t>Initiation and optimisation by the initiating specialist</w:t>
            </w:r>
          </w:p>
          <w:p w14:paraId="4A9D7F57" w14:textId="77777777" w:rsidR="005F6358" w:rsidRPr="00CF00BA" w:rsidRDefault="005F6358" w:rsidP="00F13240">
            <w:pPr>
              <w:autoSpaceDE w:val="0"/>
              <w:autoSpaceDN w:val="0"/>
              <w:adjustRightInd w:val="0"/>
              <w:spacing w:after="120" w:line="276" w:lineRule="auto"/>
              <w:rPr>
                <w:rFonts w:eastAsia="Times New Roman" w:cs="Arial"/>
                <w:b/>
                <w:i/>
                <w:sz w:val="20"/>
                <w:szCs w:val="20"/>
                <w:lang w:eastAsia="en-GB"/>
              </w:rPr>
            </w:pPr>
            <w:r w:rsidRPr="00CF00BA">
              <w:rPr>
                <w:rFonts w:eastAsia="Times New Roman" w:cs="Arial"/>
                <w:sz w:val="20"/>
                <w:szCs w:val="20"/>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172B0639" w14:textId="77777777" w:rsidR="005F6358" w:rsidRPr="00CF00BA" w:rsidRDefault="005F6358" w:rsidP="00F13240">
            <w:pPr>
              <w:autoSpaceDE w:val="0"/>
              <w:autoSpaceDN w:val="0"/>
              <w:adjustRightInd w:val="0"/>
              <w:spacing w:after="120" w:line="276" w:lineRule="auto"/>
              <w:rPr>
                <w:rFonts w:eastAsia="Times New Roman" w:cs="Arial"/>
                <w:b/>
                <w:i/>
                <w:sz w:val="20"/>
                <w:szCs w:val="20"/>
                <w:lang w:eastAsia="en-GB"/>
              </w:rPr>
            </w:pPr>
            <w:r w:rsidRPr="00CF00BA">
              <w:rPr>
                <w:rFonts w:eastAsia="Times New Roman" w:cs="Arial"/>
                <w:b/>
                <w:i/>
                <w:sz w:val="20"/>
                <w:szCs w:val="20"/>
                <w:lang w:eastAsia="en-GB"/>
              </w:rPr>
              <w:t>Until the patient is optimised on this medication the responsibility for providing the patient with their medication remains with you.</w:t>
            </w:r>
          </w:p>
        </w:tc>
        <w:tc>
          <w:tcPr>
            <w:tcW w:w="606" w:type="pct"/>
          </w:tcPr>
          <w:p w14:paraId="689A7579" w14:textId="77777777" w:rsidR="005F6358" w:rsidRPr="00CF00BA" w:rsidRDefault="005F6358" w:rsidP="00F13240">
            <w:pPr>
              <w:autoSpaceDE w:val="0"/>
              <w:autoSpaceDN w:val="0"/>
              <w:adjustRightInd w:val="0"/>
              <w:spacing w:line="276" w:lineRule="auto"/>
              <w:rPr>
                <w:rFonts w:eastAsia="Times New Roman" w:cs="Arial"/>
                <w:b/>
                <w:bCs/>
                <w:sz w:val="18"/>
                <w:lang w:eastAsia="en-GB"/>
              </w:rPr>
            </w:pPr>
          </w:p>
        </w:tc>
      </w:tr>
      <w:tr w:rsidR="005F6358" w:rsidRPr="00CF00BA" w14:paraId="2013151E" w14:textId="77777777" w:rsidTr="00F13240">
        <w:trPr>
          <w:cantSplit/>
        </w:trPr>
        <w:tc>
          <w:tcPr>
            <w:tcW w:w="211" w:type="pct"/>
          </w:tcPr>
          <w:p w14:paraId="051E7B39" w14:textId="77777777" w:rsidR="005F6358" w:rsidRPr="00CF00BA" w:rsidRDefault="005F6358" w:rsidP="00F13240">
            <w:pPr>
              <w:autoSpaceDE w:val="0"/>
              <w:autoSpaceDN w:val="0"/>
              <w:adjustRightInd w:val="0"/>
              <w:spacing w:line="276" w:lineRule="auto"/>
              <w:rPr>
                <w:rFonts w:eastAsia="Times New Roman" w:cs="Arial"/>
                <w:b/>
                <w:bCs/>
                <w:sz w:val="20"/>
                <w:szCs w:val="20"/>
                <w:lang w:eastAsia="en-GB"/>
              </w:rPr>
            </w:pPr>
            <w:permStart w:id="145186318" w:edGrp="everyone" w:colFirst="2" w:colLast="2"/>
            <w:permEnd w:id="746140048"/>
            <w:r w:rsidRPr="00CF00BA">
              <w:rPr>
                <w:rFonts w:eastAsia="Times New Roman" w:cs="Arial"/>
                <w:b/>
                <w:bCs/>
                <w:sz w:val="20"/>
                <w:szCs w:val="20"/>
                <w:lang w:eastAsia="en-GB"/>
              </w:rPr>
              <w:t>5.</w:t>
            </w:r>
          </w:p>
        </w:tc>
        <w:tc>
          <w:tcPr>
            <w:tcW w:w="4183" w:type="pct"/>
          </w:tcPr>
          <w:p w14:paraId="7D69E9A8" w14:textId="77777777" w:rsidR="005F6358" w:rsidRPr="00CF00BA" w:rsidRDefault="005F6358" w:rsidP="00F13240">
            <w:pPr>
              <w:autoSpaceDE w:val="0"/>
              <w:autoSpaceDN w:val="0"/>
              <w:adjustRightInd w:val="0"/>
              <w:spacing w:after="120" w:line="276" w:lineRule="auto"/>
              <w:rPr>
                <w:rFonts w:eastAsia="Times New Roman" w:cs="Arial"/>
                <w:b/>
                <w:sz w:val="20"/>
                <w:szCs w:val="20"/>
                <w:lang w:eastAsia="en-GB"/>
              </w:rPr>
            </w:pPr>
            <w:r w:rsidRPr="00CF00BA">
              <w:rPr>
                <w:rFonts w:eastAsia="Times New Roman" w:cs="Arial"/>
                <w:b/>
                <w:sz w:val="20"/>
                <w:szCs w:val="20"/>
                <w:lang w:eastAsia="en-GB"/>
              </w:rPr>
              <w:t>Shared Care Protocol not received</w:t>
            </w:r>
          </w:p>
          <w:p w14:paraId="6335DBD3" w14:textId="77777777" w:rsidR="005F6358" w:rsidRPr="00CF00BA" w:rsidRDefault="005F6358" w:rsidP="00F13240">
            <w:pPr>
              <w:autoSpaceDE w:val="0"/>
              <w:autoSpaceDN w:val="0"/>
              <w:adjustRightInd w:val="0"/>
              <w:spacing w:after="120" w:line="276" w:lineRule="auto"/>
              <w:rPr>
                <w:rFonts w:eastAsia="Times New Roman" w:cs="Arial"/>
                <w:b/>
                <w:i/>
                <w:sz w:val="20"/>
                <w:szCs w:val="20"/>
                <w:lang w:eastAsia="en-GB"/>
              </w:rPr>
            </w:pPr>
            <w:r w:rsidRPr="00CF00BA">
              <w:rPr>
                <w:rFonts w:eastAsia="Times New Roman" w:cs="Arial"/>
                <w:sz w:val="20"/>
                <w:szCs w:val="20"/>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CF00BA">
              <w:rPr>
                <w:rFonts w:eastAsia="Times New Roman" w:cs="Arial"/>
                <w:b/>
                <w:i/>
                <w:sz w:val="20"/>
                <w:szCs w:val="20"/>
                <w:lang w:eastAsia="en-GB"/>
              </w:rPr>
              <w:t>.</w:t>
            </w:r>
          </w:p>
          <w:p w14:paraId="243F08FE" w14:textId="77777777" w:rsidR="005F6358" w:rsidRPr="00CF00BA" w:rsidRDefault="005F6358" w:rsidP="00F13240">
            <w:pPr>
              <w:autoSpaceDE w:val="0"/>
              <w:autoSpaceDN w:val="0"/>
              <w:adjustRightInd w:val="0"/>
              <w:spacing w:after="120" w:line="276" w:lineRule="auto"/>
              <w:rPr>
                <w:rFonts w:eastAsia="Times New Roman" w:cs="Arial"/>
                <w:b/>
                <w:i/>
                <w:sz w:val="20"/>
                <w:szCs w:val="20"/>
                <w:lang w:eastAsia="en-GB"/>
              </w:rPr>
            </w:pPr>
            <w:r w:rsidRPr="00CF00BA">
              <w:rPr>
                <w:rFonts w:eastAsia="Times New Roman" w:cs="Arial"/>
                <w:sz w:val="20"/>
                <w:szCs w:val="20"/>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CF00BA">
              <w:rPr>
                <w:rFonts w:eastAsia="Times New Roman" w:cs="Arial"/>
                <w:b/>
                <w:i/>
                <w:sz w:val="20"/>
                <w:szCs w:val="20"/>
                <w:lang w:eastAsia="en-GB"/>
              </w:rPr>
              <w:t xml:space="preserve">  </w:t>
            </w:r>
          </w:p>
          <w:p w14:paraId="2148BBDC" w14:textId="77777777" w:rsidR="005F6358" w:rsidRPr="00CF00BA" w:rsidRDefault="005F6358" w:rsidP="00F13240">
            <w:pPr>
              <w:autoSpaceDE w:val="0"/>
              <w:autoSpaceDN w:val="0"/>
              <w:adjustRightInd w:val="0"/>
              <w:spacing w:after="120" w:line="276" w:lineRule="auto"/>
              <w:rPr>
                <w:rFonts w:eastAsia="Times New Roman" w:cs="Arial"/>
                <w:sz w:val="20"/>
                <w:szCs w:val="20"/>
                <w:lang w:eastAsia="en-GB"/>
              </w:rPr>
            </w:pPr>
            <w:r w:rsidRPr="00CF00BA">
              <w:rPr>
                <w:rFonts w:eastAsia="Times New Roman" w:cs="Arial"/>
                <w:b/>
                <w:i/>
                <w:sz w:val="20"/>
                <w:szCs w:val="20"/>
                <w:lang w:eastAsia="en-GB"/>
              </w:rPr>
              <w:t>Until I receive the appropriate SCP, responsibility for providing the patient with their medication remains with you</w:t>
            </w:r>
            <w:r w:rsidRPr="00CF00BA">
              <w:rPr>
                <w:rFonts w:eastAsia="Times New Roman" w:cs="Arial"/>
                <w:b/>
                <w:bCs/>
                <w:i/>
                <w:sz w:val="20"/>
                <w:szCs w:val="20"/>
                <w:lang w:eastAsia="en-GB"/>
              </w:rPr>
              <w:t>.</w:t>
            </w:r>
          </w:p>
        </w:tc>
        <w:tc>
          <w:tcPr>
            <w:tcW w:w="606" w:type="pct"/>
          </w:tcPr>
          <w:p w14:paraId="7E5BBA9D" w14:textId="77777777" w:rsidR="005F6358" w:rsidRPr="00CF00BA" w:rsidRDefault="005F6358" w:rsidP="00F13240">
            <w:pPr>
              <w:autoSpaceDE w:val="0"/>
              <w:autoSpaceDN w:val="0"/>
              <w:adjustRightInd w:val="0"/>
              <w:spacing w:line="276" w:lineRule="auto"/>
              <w:rPr>
                <w:rFonts w:eastAsia="Times New Roman" w:cs="Arial"/>
                <w:b/>
                <w:bCs/>
                <w:sz w:val="18"/>
                <w:lang w:eastAsia="en-GB"/>
              </w:rPr>
            </w:pPr>
          </w:p>
        </w:tc>
      </w:tr>
      <w:tr w:rsidR="005F6358" w:rsidRPr="00CF00BA" w14:paraId="2B399447" w14:textId="77777777" w:rsidTr="00F13240">
        <w:trPr>
          <w:cantSplit/>
        </w:trPr>
        <w:tc>
          <w:tcPr>
            <w:tcW w:w="211" w:type="pct"/>
          </w:tcPr>
          <w:p w14:paraId="171DF1F3" w14:textId="77777777" w:rsidR="005F6358" w:rsidRPr="00CF00BA" w:rsidRDefault="005F6358" w:rsidP="00F13240">
            <w:pPr>
              <w:autoSpaceDE w:val="0"/>
              <w:autoSpaceDN w:val="0"/>
              <w:adjustRightInd w:val="0"/>
              <w:spacing w:line="276" w:lineRule="auto"/>
              <w:rPr>
                <w:rFonts w:eastAsia="Times New Roman" w:cs="Arial"/>
                <w:b/>
                <w:bCs/>
                <w:sz w:val="20"/>
                <w:szCs w:val="20"/>
                <w:lang w:eastAsia="en-GB"/>
              </w:rPr>
            </w:pPr>
            <w:permStart w:id="956444008" w:edGrp="everyone" w:colFirst="2" w:colLast="2"/>
            <w:permEnd w:id="145186318"/>
            <w:r w:rsidRPr="00CF00BA">
              <w:rPr>
                <w:rFonts w:eastAsia="Times New Roman" w:cs="Arial"/>
                <w:b/>
                <w:bCs/>
                <w:sz w:val="20"/>
                <w:szCs w:val="20"/>
                <w:lang w:eastAsia="en-GB"/>
              </w:rPr>
              <w:t>6.</w:t>
            </w:r>
          </w:p>
        </w:tc>
        <w:tc>
          <w:tcPr>
            <w:tcW w:w="4183" w:type="pct"/>
          </w:tcPr>
          <w:p w14:paraId="72D7A6C7" w14:textId="77777777" w:rsidR="005F6358" w:rsidRPr="00CF00BA" w:rsidRDefault="005F6358" w:rsidP="00F13240">
            <w:pPr>
              <w:autoSpaceDE w:val="0"/>
              <w:autoSpaceDN w:val="0"/>
              <w:adjustRightInd w:val="0"/>
              <w:spacing w:after="120" w:line="276" w:lineRule="auto"/>
              <w:rPr>
                <w:rFonts w:eastAsia="Times New Roman" w:cs="Arial"/>
                <w:b/>
                <w:sz w:val="20"/>
                <w:szCs w:val="20"/>
                <w:lang w:eastAsia="en-GB"/>
              </w:rPr>
            </w:pPr>
            <w:r w:rsidRPr="00CF00BA">
              <w:rPr>
                <w:rFonts w:eastAsia="Times New Roman" w:cs="Arial"/>
                <w:b/>
                <w:sz w:val="20"/>
                <w:szCs w:val="20"/>
                <w:lang w:eastAsia="en-GB"/>
              </w:rPr>
              <w:t>Other (</w:t>
            </w:r>
            <w:permStart w:id="286413599" w:edGrp="everyone"/>
            <w:r w:rsidRPr="00CF00BA">
              <w:rPr>
                <w:rFonts w:eastAsia="Times New Roman" w:cs="Arial"/>
                <w:b/>
                <w:sz w:val="20"/>
                <w:szCs w:val="20"/>
                <w:lang w:eastAsia="en-GB"/>
              </w:rPr>
              <w:t>Primary Care Prescriber to complete if there are other reasons why shared care cannot be accepted</w:t>
            </w:r>
            <w:permEnd w:id="286413599"/>
            <w:r w:rsidRPr="00CF00BA">
              <w:rPr>
                <w:rFonts w:eastAsia="Times New Roman" w:cs="Arial"/>
                <w:b/>
                <w:sz w:val="20"/>
                <w:szCs w:val="20"/>
                <w:lang w:eastAsia="en-GB"/>
              </w:rPr>
              <w:t>)</w:t>
            </w:r>
          </w:p>
          <w:p w14:paraId="562626A3" w14:textId="77777777" w:rsidR="005F6358" w:rsidRPr="00CF00BA" w:rsidRDefault="005F6358" w:rsidP="00F13240">
            <w:pPr>
              <w:autoSpaceDE w:val="0"/>
              <w:autoSpaceDN w:val="0"/>
              <w:adjustRightInd w:val="0"/>
              <w:spacing w:after="120" w:line="276" w:lineRule="auto"/>
              <w:rPr>
                <w:rFonts w:eastAsia="Times New Roman" w:cs="Arial"/>
                <w:b/>
                <w:sz w:val="20"/>
                <w:szCs w:val="20"/>
                <w:lang w:eastAsia="en-GB"/>
              </w:rPr>
            </w:pPr>
          </w:p>
          <w:p w14:paraId="10A52F48" w14:textId="77777777" w:rsidR="005F6358" w:rsidRPr="00CF00BA" w:rsidRDefault="005F6358" w:rsidP="00F13240">
            <w:pPr>
              <w:autoSpaceDE w:val="0"/>
              <w:autoSpaceDN w:val="0"/>
              <w:adjustRightInd w:val="0"/>
              <w:spacing w:after="120" w:line="276" w:lineRule="auto"/>
              <w:rPr>
                <w:rFonts w:eastAsia="Times New Roman" w:cs="Arial"/>
                <w:b/>
                <w:sz w:val="20"/>
                <w:szCs w:val="20"/>
                <w:lang w:eastAsia="en-GB"/>
              </w:rPr>
            </w:pPr>
          </w:p>
          <w:p w14:paraId="2C139E7F" w14:textId="77777777" w:rsidR="005F6358" w:rsidRPr="00CF00BA" w:rsidRDefault="005F6358" w:rsidP="00F13240">
            <w:pPr>
              <w:autoSpaceDE w:val="0"/>
              <w:autoSpaceDN w:val="0"/>
              <w:adjustRightInd w:val="0"/>
              <w:spacing w:after="120" w:line="276" w:lineRule="auto"/>
              <w:rPr>
                <w:rFonts w:eastAsia="Times New Roman" w:cs="Arial"/>
                <w:b/>
                <w:sz w:val="20"/>
                <w:szCs w:val="20"/>
                <w:lang w:eastAsia="en-GB"/>
              </w:rPr>
            </w:pPr>
          </w:p>
          <w:p w14:paraId="07B4309A" w14:textId="77777777" w:rsidR="005F6358" w:rsidRPr="00CF00BA" w:rsidRDefault="005F6358" w:rsidP="00F13240">
            <w:pPr>
              <w:autoSpaceDE w:val="0"/>
              <w:autoSpaceDN w:val="0"/>
              <w:adjustRightInd w:val="0"/>
              <w:spacing w:after="120" w:line="276" w:lineRule="auto"/>
              <w:rPr>
                <w:rFonts w:eastAsia="Times New Roman" w:cs="Arial"/>
                <w:b/>
                <w:sz w:val="20"/>
                <w:szCs w:val="20"/>
                <w:lang w:eastAsia="en-GB"/>
              </w:rPr>
            </w:pPr>
          </w:p>
        </w:tc>
        <w:tc>
          <w:tcPr>
            <w:tcW w:w="606" w:type="pct"/>
          </w:tcPr>
          <w:p w14:paraId="26B93BD8" w14:textId="77777777" w:rsidR="005F6358" w:rsidRPr="00CF00BA" w:rsidRDefault="005F6358" w:rsidP="00F13240">
            <w:pPr>
              <w:autoSpaceDE w:val="0"/>
              <w:autoSpaceDN w:val="0"/>
              <w:adjustRightInd w:val="0"/>
              <w:spacing w:line="276" w:lineRule="auto"/>
              <w:rPr>
                <w:rFonts w:eastAsia="Times New Roman" w:cs="Arial"/>
                <w:b/>
                <w:bCs/>
                <w:sz w:val="18"/>
                <w:lang w:eastAsia="en-GB"/>
              </w:rPr>
            </w:pPr>
          </w:p>
        </w:tc>
      </w:tr>
      <w:permEnd w:id="956444008"/>
    </w:tbl>
    <w:p w14:paraId="5AFA3438" w14:textId="77777777" w:rsidR="005F6358" w:rsidRPr="00CF00BA" w:rsidRDefault="005F6358" w:rsidP="005F6358">
      <w:pPr>
        <w:autoSpaceDE w:val="0"/>
        <w:autoSpaceDN w:val="0"/>
        <w:adjustRightInd w:val="0"/>
        <w:spacing w:after="0"/>
        <w:rPr>
          <w:rFonts w:eastAsia="Times New Roman" w:cs="Arial"/>
          <w:b/>
          <w:bCs/>
          <w:lang w:eastAsia="en-GB"/>
        </w:rPr>
      </w:pPr>
    </w:p>
    <w:p w14:paraId="4BB22CAC" w14:textId="77777777" w:rsidR="005F6358" w:rsidRPr="00CF00BA" w:rsidRDefault="005F6358" w:rsidP="005F6358">
      <w:pPr>
        <w:autoSpaceDE w:val="0"/>
        <w:autoSpaceDN w:val="0"/>
        <w:adjustRightInd w:val="0"/>
        <w:spacing w:after="0"/>
        <w:rPr>
          <w:rFonts w:eastAsia="Times New Roman" w:cs="Arial"/>
          <w:bCs/>
          <w:lang w:eastAsia="en-GB"/>
        </w:rPr>
      </w:pPr>
      <w:r w:rsidRPr="00CF00BA">
        <w:rPr>
          <w:rFonts w:eastAsia="Times New Roman" w:cs="Arial"/>
          <w:bCs/>
          <w:lang w:eastAsia="en-GB"/>
        </w:rPr>
        <w:t xml:space="preserve">I would be willing to consider prescribing for this patient once the above criteria have been met for this treatment.  </w:t>
      </w:r>
    </w:p>
    <w:p w14:paraId="0D68A4A5" w14:textId="77777777" w:rsidR="005F6358" w:rsidRPr="00CF00BA" w:rsidRDefault="005F6358" w:rsidP="005F6358">
      <w:pPr>
        <w:autoSpaceDE w:val="0"/>
        <w:autoSpaceDN w:val="0"/>
        <w:adjustRightInd w:val="0"/>
        <w:spacing w:after="0"/>
        <w:rPr>
          <w:rFonts w:eastAsia="Times New Roman" w:cs="Arial"/>
          <w:bCs/>
          <w:lang w:eastAsia="en-GB"/>
        </w:rPr>
      </w:pPr>
    </w:p>
    <w:p w14:paraId="0280FF79" w14:textId="77777777" w:rsidR="005F6358" w:rsidRPr="00CF00BA" w:rsidRDefault="005F6358" w:rsidP="005F6358">
      <w:pPr>
        <w:autoSpaceDE w:val="0"/>
        <w:autoSpaceDN w:val="0"/>
        <w:adjustRightInd w:val="0"/>
        <w:spacing w:after="0"/>
        <w:rPr>
          <w:rFonts w:eastAsia="Times New Roman" w:cs="Arial"/>
          <w:lang w:eastAsia="en-GB"/>
        </w:rPr>
      </w:pPr>
      <w:r w:rsidRPr="00CF00BA">
        <w:rPr>
          <w:rFonts w:eastAsia="Times New Roman" w:cs="Arial"/>
          <w:lang w:eastAsia="en-GB"/>
        </w:rPr>
        <w:t xml:space="preserve">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t>
      </w:r>
      <w:r w:rsidRPr="00CF00BA">
        <w:rPr>
          <w:rFonts w:eastAsia="Times New Roman" w:cs="Arial"/>
          <w:lang w:eastAsia="en-GB"/>
        </w:rPr>
        <w:lastRenderedPageBreak/>
        <w:t>we would also see the term GP being interchangeable with the term Primary Care Prescriber.</w:t>
      </w:r>
    </w:p>
    <w:p w14:paraId="29D57AE8" w14:textId="77777777" w:rsidR="005F6358" w:rsidRPr="00CF00BA" w:rsidRDefault="005F6358" w:rsidP="005F6358">
      <w:pPr>
        <w:autoSpaceDE w:val="0"/>
        <w:autoSpaceDN w:val="0"/>
        <w:adjustRightInd w:val="0"/>
        <w:spacing w:after="0"/>
        <w:rPr>
          <w:rFonts w:eastAsia="Times New Roman" w:cs="Arial"/>
          <w:lang w:eastAsia="en-GB"/>
        </w:rPr>
      </w:pPr>
    </w:p>
    <w:p w14:paraId="7DD8E7BA" w14:textId="77777777" w:rsidR="005F6358" w:rsidRPr="00CF00BA" w:rsidRDefault="005F6358" w:rsidP="005F6358">
      <w:pPr>
        <w:autoSpaceDE w:val="0"/>
        <w:autoSpaceDN w:val="0"/>
        <w:adjustRightInd w:val="0"/>
        <w:spacing w:after="0"/>
        <w:rPr>
          <w:rFonts w:eastAsia="Times New Roman" w:cs="Arial"/>
          <w:lang w:eastAsia="en-GB"/>
        </w:rPr>
      </w:pPr>
      <w:r w:rsidRPr="00CF00BA">
        <w:rPr>
          <w:rFonts w:eastAsia="Times New Roman" w:cs="Arial"/>
          <w:lang w:eastAsia="en-GB"/>
        </w:rPr>
        <w:t>Please do not hesitate to contact me if you wish to discuss any aspect of my letter in more detail and I hope to receive more information regarding this shared care agreement as soon as possible</w:t>
      </w:r>
    </w:p>
    <w:p w14:paraId="053ECC6D" w14:textId="77777777" w:rsidR="005F6358" w:rsidRPr="00CF00BA" w:rsidRDefault="005F6358" w:rsidP="005F6358">
      <w:pPr>
        <w:autoSpaceDE w:val="0"/>
        <w:autoSpaceDN w:val="0"/>
        <w:adjustRightInd w:val="0"/>
        <w:spacing w:after="0"/>
        <w:rPr>
          <w:rFonts w:eastAsia="Times New Roman" w:cs="Arial"/>
          <w:lang w:eastAsia="en-GB"/>
        </w:rPr>
      </w:pPr>
    </w:p>
    <w:p w14:paraId="55351CD5" w14:textId="77777777" w:rsidR="005F6358" w:rsidRPr="00CF00BA" w:rsidRDefault="005F6358" w:rsidP="005F6358">
      <w:pPr>
        <w:spacing w:after="0"/>
        <w:rPr>
          <w:rFonts w:eastAsia="Times New Roman" w:cs="Arial"/>
          <w:lang w:eastAsia="en-GB"/>
        </w:rPr>
      </w:pPr>
      <w:r w:rsidRPr="00CF00BA">
        <w:rPr>
          <w:rFonts w:eastAsia="Times New Roman" w:cs="Arial"/>
          <w:lang w:eastAsia="en-GB"/>
        </w:rPr>
        <w:t>Yours sincerely</w:t>
      </w:r>
    </w:p>
    <w:p w14:paraId="719FE9CC" w14:textId="77777777" w:rsidR="005F6358" w:rsidRPr="00CF00BA" w:rsidRDefault="005F6358" w:rsidP="005F6358">
      <w:pPr>
        <w:spacing w:after="0" w:line="240" w:lineRule="auto"/>
        <w:rPr>
          <w:rFonts w:eastAsia="Times New Roman" w:cs="Arial"/>
          <w:lang w:eastAsia="en-GB"/>
        </w:rPr>
      </w:pPr>
    </w:p>
    <w:p w14:paraId="1ED92FD2" w14:textId="77777777" w:rsidR="005F6358" w:rsidRPr="00CF00BA" w:rsidRDefault="005F6358" w:rsidP="005F6358">
      <w:pPr>
        <w:spacing w:after="0" w:line="240" w:lineRule="auto"/>
        <w:rPr>
          <w:rFonts w:eastAsia="Times New Roman" w:cs="Arial"/>
          <w:lang w:eastAsia="en-GB"/>
        </w:rPr>
      </w:pPr>
    </w:p>
    <w:p w14:paraId="71D9979D" w14:textId="77777777" w:rsidR="00046076" w:rsidRDefault="005F6358" w:rsidP="005F6358">
      <w:pPr>
        <w:autoSpaceDE w:val="0"/>
        <w:autoSpaceDN w:val="0"/>
        <w:adjustRightInd w:val="0"/>
        <w:spacing w:after="0" w:line="240" w:lineRule="auto"/>
        <w:rPr>
          <w:rFonts w:eastAsia="Times New Roman" w:cs="Arial"/>
          <w:b/>
          <w:bCs/>
        </w:rPr>
      </w:pPr>
      <w:r w:rsidRPr="00CF00BA">
        <w:rPr>
          <w:rFonts w:eastAsia="Times New Roman" w:cs="Arial"/>
          <w:b/>
          <w:bCs/>
        </w:rPr>
        <w:t>Primary Care Prescriber signature: _______________________________</w:t>
      </w:r>
      <w:r w:rsidRPr="00CF00BA">
        <w:rPr>
          <w:rFonts w:eastAsia="Times New Roman" w:cs="Arial"/>
          <w:b/>
          <w:bCs/>
        </w:rPr>
        <w:tab/>
      </w:r>
    </w:p>
    <w:p w14:paraId="0D0C56BF" w14:textId="72F310D4" w:rsidR="005F6358" w:rsidRPr="00CF00BA" w:rsidRDefault="005F6358" w:rsidP="005F6358">
      <w:pPr>
        <w:autoSpaceDE w:val="0"/>
        <w:autoSpaceDN w:val="0"/>
        <w:adjustRightInd w:val="0"/>
        <w:spacing w:after="0" w:line="240" w:lineRule="auto"/>
        <w:rPr>
          <w:rFonts w:eastAsia="Times New Roman" w:cs="Arial"/>
          <w:b/>
          <w:bCs/>
        </w:rPr>
      </w:pPr>
      <w:r w:rsidRPr="00CF00BA">
        <w:rPr>
          <w:rFonts w:eastAsia="Times New Roman" w:cs="Arial"/>
          <w:b/>
          <w:bCs/>
        </w:rPr>
        <w:t xml:space="preserve">Date: ____________ </w:t>
      </w:r>
    </w:p>
    <w:p w14:paraId="2D688D7E" w14:textId="77777777" w:rsidR="005F6358" w:rsidRPr="00CF00BA" w:rsidRDefault="005F6358" w:rsidP="005F6358">
      <w:pPr>
        <w:autoSpaceDE w:val="0"/>
        <w:autoSpaceDN w:val="0"/>
        <w:adjustRightInd w:val="0"/>
        <w:spacing w:after="0" w:line="240" w:lineRule="auto"/>
        <w:rPr>
          <w:rFonts w:eastAsia="Times New Roman" w:cs="Arial"/>
          <w:b/>
          <w:bCs/>
        </w:rPr>
      </w:pPr>
    </w:p>
    <w:p w14:paraId="1F08E5C7" w14:textId="77777777" w:rsidR="005F6358" w:rsidRPr="00CF00BA" w:rsidRDefault="005F6358" w:rsidP="005F6358">
      <w:pPr>
        <w:autoSpaceDE w:val="0"/>
        <w:autoSpaceDN w:val="0"/>
        <w:adjustRightInd w:val="0"/>
        <w:spacing w:after="0" w:line="240" w:lineRule="auto"/>
        <w:rPr>
          <w:rFonts w:eastAsia="Times New Roman" w:cs="Arial"/>
          <w:b/>
          <w:bCs/>
        </w:rPr>
      </w:pPr>
    </w:p>
    <w:p w14:paraId="3363D651" w14:textId="77777777" w:rsidR="005F6358" w:rsidRPr="00CF00BA" w:rsidRDefault="005F6358" w:rsidP="005F6358">
      <w:pPr>
        <w:autoSpaceDE w:val="0"/>
        <w:autoSpaceDN w:val="0"/>
        <w:adjustRightInd w:val="0"/>
        <w:spacing w:after="0" w:line="240" w:lineRule="auto"/>
        <w:rPr>
          <w:rFonts w:eastAsia="Times New Roman" w:cs="Arial"/>
          <w:b/>
          <w:bCs/>
        </w:rPr>
      </w:pPr>
    </w:p>
    <w:p w14:paraId="18219ECB" w14:textId="77777777" w:rsidR="005F6358" w:rsidRPr="00F13240" w:rsidRDefault="005F6358" w:rsidP="005F6358">
      <w:pPr>
        <w:autoSpaceDE w:val="0"/>
        <w:autoSpaceDN w:val="0"/>
        <w:adjustRightInd w:val="0"/>
        <w:spacing w:after="0" w:line="240" w:lineRule="auto"/>
        <w:rPr>
          <w:rFonts w:eastAsia="Times New Roman" w:cs="Arial"/>
          <w:sz w:val="20"/>
          <w:szCs w:val="20"/>
          <w:lang w:eastAsia="en-GB"/>
        </w:rPr>
      </w:pPr>
      <w:r w:rsidRPr="00CF00BA">
        <w:rPr>
          <w:rFonts w:eastAsia="Times New Roman" w:cs="Arial"/>
          <w:b/>
          <w:bCs/>
        </w:rPr>
        <w:t>Primary Care Prescriber address/practice stamp</w:t>
      </w:r>
    </w:p>
    <w:p w14:paraId="5CD5A284" w14:textId="77777777" w:rsidR="005F6358" w:rsidRPr="00F13240" w:rsidRDefault="005F6358" w:rsidP="005F6358">
      <w:pPr>
        <w:autoSpaceDE w:val="0"/>
        <w:autoSpaceDN w:val="0"/>
        <w:adjustRightInd w:val="0"/>
        <w:spacing w:after="0" w:line="240" w:lineRule="auto"/>
        <w:rPr>
          <w:rFonts w:eastAsia="Times New Roman" w:cs="Arial"/>
          <w:lang w:eastAsia="en-GB"/>
        </w:rPr>
      </w:pPr>
    </w:p>
    <w:p w14:paraId="45E2BB9B" w14:textId="77777777" w:rsidR="00877E1D" w:rsidRPr="00F13240" w:rsidRDefault="00877E1D" w:rsidP="00877E1D">
      <w:pPr>
        <w:rPr>
          <w:rFonts w:cs="Arial"/>
        </w:rPr>
      </w:pPr>
    </w:p>
    <w:sectPr w:rsidR="00877E1D" w:rsidRPr="00F13240" w:rsidSect="007C7494">
      <w:type w:val="continuous"/>
      <w:pgSz w:w="11906" w:h="16838"/>
      <w:pgMar w:top="851" w:right="1418" w:bottom="1418"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3966B" w14:textId="77777777" w:rsidR="00DB09A6" w:rsidRDefault="00DB09A6" w:rsidP="0087662D">
      <w:pPr>
        <w:spacing w:after="0" w:line="240" w:lineRule="auto"/>
      </w:pPr>
      <w:r>
        <w:separator/>
      </w:r>
    </w:p>
  </w:endnote>
  <w:endnote w:type="continuationSeparator" w:id="0">
    <w:p w14:paraId="0D59A3B6" w14:textId="77777777" w:rsidR="00DB09A6" w:rsidRDefault="00DB09A6" w:rsidP="0087662D">
      <w:pPr>
        <w:spacing w:after="0" w:line="240" w:lineRule="auto"/>
      </w:pPr>
      <w:r>
        <w:continuationSeparator/>
      </w:r>
    </w:p>
  </w:endnote>
  <w:endnote w:type="continuationNotice" w:id="1">
    <w:p w14:paraId="2B4BE06E" w14:textId="77777777" w:rsidR="00DB09A6" w:rsidRDefault="00DB09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5"/>
        <w:szCs w:val="25"/>
      </w:rPr>
      <w:id w:val="1482272530"/>
      <w:docPartObj>
        <w:docPartGallery w:val="Page Numbers (Bottom of Page)"/>
        <w:docPartUnique/>
      </w:docPartObj>
    </w:sdtPr>
    <w:sdtEndPr>
      <w:rPr>
        <w:noProof/>
        <w:sz w:val="24"/>
        <w:szCs w:val="22"/>
      </w:rPr>
    </w:sdtEndPr>
    <w:sdtContent>
      <w:p w14:paraId="610F42C1" w14:textId="6607C6D8" w:rsidR="000469BF" w:rsidRPr="00EF4D31" w:rsidRDefault="000469BF" w:rsidP="00EF4D31">
        <w:pPr>
          <w:pStyle w:val="Footer"/>
          <w:tabs>
            <w:tab w:val="clear" w:pos="9026"/>
            <w:tab w:val="right" w:pos="9781"/>
          </w:tabs>
          <w:ind w:left="-907" w:right="-711"/>
          <w:rPr>
            <w:sz w:val="25"/>
            <w:szCs w:val="25"/>
          </w:rPr>
        </w:pPr>
        <w:r w:rsidRPr="00EF4D31">
          <w:rPr>
            <w:noProof/>
            <w:color w:val="768692"/>
            <w:sz w:val="25"/>
            <w:szCs w:val="25"/>
          </w:rPr>
          <mc:AlternateContent>
            <mc:Choice Requires="wps">
              <w:drawing>
                <wp:anchor distT="0" distB="0" distL="114300" distR="114300" simplePos="0" relativeHeight="251658241" behindDoc="1" locked="0" layoutInCell="1" allowOverlap="1" wp14:anchorId="65E8C770" wp14:editId="2E37F432">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1DF88F" id="Straight Connector 4" o:spid="_x0000_s1026" style="position:absolute;z-index:-251658239;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" strokecolor="#005eb8" strokeweight="1pt">
                  <w10:wrap anchorx="page" anchory="page"/>
                </v:line>
              </w:pict>
            </mc:Fallback>
          </mc:AlternateContent>
        </w:r>
        <w:r w:rsidRPr="00EF4D31">
          <w:rPr>
            <w:color w:val="768692"/>
            <w:sz w:val="25"/>
            <w:szCs w:val="25"/>
          </w:rPr>
          <w:fldChar w:fldCharType="begin"/>
        </w:r>
        <w:r w:rsidRPr="00EF4D31">
          <w:rPr>
            <w:color w:val="768692"/>
            <w:sz w:val="25"/>
            <w:szCs w:val="25"/>
          </w:rPr>
          <w:instrText xml:space="preserve"> page </w:instrText>
        </w:r>
        <w:r w:rsidRPr="00EF4D31">
          <w:rPr>
            <w:color w:val="768692"/>
            <w:sz w:val="25"/>
            <w:szCs w:val="25"/>
          </w:rPr>
          <w:fldChar w:fldCharType="separate"/>
        </w:r>
        <w:r w:rsidRPr="00EF4D31">
          <w:rPr>
            <w:color w:val="768692"/>
            <w:sz w:val="25"/>
            <w:szCs w:val="25"/>
          </w:rPr>
          <w:t>2</w:t>
        </w:r>
        <w:r w:rsidRPr="00EF4D31">
          <w:rPr>
            <w:color w:val="768692"/>
            <w:sz w:val="25"/>
            <w:szCs w:val="25"/>
          </w:rPr>
          <w:fldChar w:fldCharType="end"/>
        </w:r>
        <w:r w:rsidRPr="00EF4D31">
          <w:rPr>
            <w:color w:val="768692"/>
            <w:sz w:val="25"/>
            <w:szCs w:val="25"/>
          </w:rPr>
          <w:t xml:space="preserve"> </w:t>
        </w:r>
        <w:r w:rsidRPr="00EF4D31">
          <w:rPr>
            <w:sz w:val="25"/>
            <w:szCs w:val="25"/>
          </w:rPr>
          <w:t xml:space="preserve"> </w:t>
        </w:r>
        <w:r w:rsidRPr="00EF4D31">
          <w:rPr>
            <w:rStyle w:val="FooterPipe"/>
            <w:sz w:val="25"/>
            <w:szCs w:val="25"/>
          </w:rPr>
          <w:t>|</w:t>
        </w:r>
        <w:r w:rsidRPr="00EF4D31">
          <w:rPr>
            <w:color w:val="768692"/>
            <w:sz w:val="25"/>
            <w:szCs w:val="25"/>
          </w:rPr>
          <w:t xml:space="preserve">  National shared care protocol: </w:t>
        </w:r>
        <w:r w:rsidRPr="00EF4D31">
          <w:rPr>
            <w:color w:val="768692"/>
            <w:sz w:val="25"/>
            <w:szCs w:val="25"/>
          </w:rPr>
          <w:fldChar w:fldCharType="begin"/>
        </w:r>
        <w:r w:rsidRPr="00EF4D31">
          <w:rPr>
            <w:color w:val="768692"/>
            <w:sz w:val="25"/>
            <w:szCs w:val="25"/>
          </w:rPr>
          <w:instrText xml:space="preserve"> styleref Title </w:instrText>
        </w:r>
        <w:r w:rsidRPr="00EF4D31">
          <w:rPr>
            <w:color w:val="768692"/>
            <w:sz w:val="25"/>
            <w:szCs w:val="25"/>
          </w:rPr>
          <w:fldChar w:fldCharType="separate"/>
        </w:r>
        <w:r w:rsidR="00EC1A79">
          <w:rPr>
            <w:noProof/>
            <w:color w:val="768692"/>
            <w:sz w:val="25"/>
            <w:szCs w:val="25"/>
          </w:rPr>
          <w:t>Hydroxychloroquine for patients within adult services</w:t>
        </w:r>
        <w:r w:rsidRPr="00EF4D31">
          <w:rPr>
            <w:noProof/>
            <w:color w:val="768692"/>
            <w:sz w:val="25"/>
            <w:szCs w:val="25"/>
          </w:rPr>
          <w:fldChar w:fldCharType="end"/>
        </w:r>
      </w:p>
      <w:p w14:paraId="4994ED65" w14:textId="1269D3F0" w:rsidR="000469BF" w:rsidRDefault="00000000" w:rsidP="0063726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7FCA" w14:textId="77777777" w:rsidR="00DB09A6" w:rsidRDefault="00DB09A6" w:rsidP="0087662D">
      <w:pPr>
        <w:spacing w:after="0" w:line="240" w:lineRule="auto"/>
      </w:pPr>
      <w:r>
        <w:separator/>
      </w:r>
    </w:p>
  </w:footnote>
  <w:footnote w:type="continuationSeparator" w:id="0">
    <w:p w14:paraId="764A5778" w14:textId="77777777" w:rsidR="00DB09A6" w:rsidRDefault="00DB09A6" w:rsidP="0087662D">
      <w:pPr>
        <w:spacing w:after="0" w:line="240" w:lineRule="auto"/>
      </w:pPr>
      <w:r>
        <w:continuationSeparator/>
      </w:r>
    </w:p>
  </w:footnote>
  <w:footnote w:type="continuationNotice" w:id="1">
    <w:p w14:paraId="3656EF2D" w14:textId="77777777" w:rsidR="00DB09A6" w:rsidRDefault="00DB09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0469BF" w14:paraId="1C1E5E03" w14:textId="77777777" w:rsidTr="00C3089D">
      <w:trPr>
        <w:trHeight w:val="642"/>
      </w:trPr>
      <w:sdt>
        <w:sdtPr>
          <w:alias w:val="Protective Marking"/>
          <w:tag w:val="Protective Marking"/>
          <w:id w:val="-1097942897"/>
          <w:placeholder>
            <w:docPart w:val="7EF48D3E909B47A192EC1B24CF5DFF7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tc>
            <w:tcPr>
              <w:tcW w:w="6727" w:type="dxa"/>
            </w:tcPr>
            <w:p w14:paraId="1C379A12" w14:textId="475DAB79" w:rsidR="000469BF" w:rsidRDefault="000469BF" w:rsidP="00C3089D">
              <w:pPr>
                <w:pStyle w:val="Classification"/>
              </w:pPr>
              <w:r>
                <w:t>Classification: Official</w:t>
              </w:r>
            </w:p>
          </w:tc>
        </w:sdtContent>
      </w:sdt>
    </w:tr>
    <w:tr w:rsidR="000469BF" w14:paraId="059FB345" w14:textId="77777777" w:rsidTr="00C3089D">
      <w:tc>
        <w:tcPr>
          <w:tcW w:w="6727" w:type="dxa"/>
        </w:tcPr>
        <w:p w14:paraId="540958C7" w14:textId="19E11802" w:rsidR="000469BF" w:rsidRDefault="000469BF" w:rsidP="00C3089D">
          <w:pPr>
            <w:pStyle w:val="Classification"/>
          </w:pPr>
          <w:r>
            <w:t>Publication approval reference: PAR1621</w:t>
          </w:r>
          <w:r w:rsidR="00CF00BA">
            <w:t>_xii</w:t>
          </w:r>
        </w:p>
      </w:tc>
    </w:tr>
  </w:tbl>
  <w:p w14:paraId="6C9D6A08" w14:textId="0560AAE8" w:rsidR="000469BF" w:rsidRDefault="00CF00BA">
    <w:pPr>
      <w:pStyle w:val="Header"/>
    </w:pPr>
    <w:r>
      <w:rPr>
        <w:noProof/>
      </w:rPr>
      <w:drawing>
        <wp:anchor distT="0" distB="0" distL="114300" distR="114300" simplePos="0" relativeHeight="251658242" behindDoc="1" locked="0" layoutInCell="1" allowOverlap="1" wp14:anchorId="5727F6B8" wp14:editId="71FFD3D7">
          <wp:simplePos x="0" y="0"/>
          <wp:positionH relativeFrom="page">
            <wp:posOffset>5807710</wp:posOffset>
          </wp:positionH>
          <wp:positionV relativeFrom="page">
            <wp:posOffset>487680</wp:posOffset>
          </wp:positionV>
          <wp:extent cx="1098000" cy="828000"/>
          <wp:effectExtent l="0" t="0" r="6985" b="0"/>
          <wp:wrapNone/>
          <wp:docPr id="1087017218" name="Picture 108701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69BF">
      <w:rPr>
        <w:noProof/>
      </w:rPr>
      <w:drawing>
        <wp:anchor distT="0" distB="0" distL="114300" distR="114300" simplePos="0" relativeHeight="251658240" behindDoc="1" locked="0" layoutInCell="1" allowOverlap="1" wp14:anchorId="1B143649" wp14:editId="5154B138">
          <wp:simplePos x="0" y="0"/>
          <wp:positionH relativeFrom="column">
            <wp:posOffset>-381445</wp:posOffset>
          </wp:positionH>
          <wp:positionV relativeFrom="page">
            <wp:posOffset>583565</wp:posOffset>
          </wp:positionV>
          <wp:extent cx="1760400" cy="583200"/>
          <wp:effectExtent l="0" t="0" r="0" b="7620"/>
          <wp:wrapNone/>
          <wp:docPr id="215027921" name="Picture 215027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D6D"/>
    <w:multiLevelType w:val="hybridMultilevel"/>
    <w:tmpl w:val="A2308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6B10C4"/>
    <w:multiLevelType w:val="multilevel"/>
    <w:tmpl w:val="A96E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D133B"/>
    <w:multiLevelType w:val="hybridMultilevel"/>
    <w:tmpl w:val="FAA2B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BC64F5"/>
    <w:multiLevelType w:val="hybridMultilevel"/>
    <w:tmpl w:val="92D80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F85885"/>
    <w:multiLevelType w:val="hybridMultilevel"/>
    <w:tmpl w:val="58FC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B4532"/>
    <w:multiLevelType w:val="hybridMultilevel"/>
    <w:tmpl w:val="34B45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235805"/>
    <w:multiLevelType w:val="hybridMultilevel"/>
    <w:tmpl w:val="6B4E0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C07334"/>
    <w:multiLevelType w:val="hybridMultilevel"/>
    <w:tmpl w:val="D7D4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514878"/>
    <w:multiLevelType w:val="hybridMultilevel"/>
    <w:tmpl w:val="BC58F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0D5A85"/>
    <w:multiLevelType w:val="hybridMultilevel"/>
    <w:tmpl w:val="1A1E6E4A"/>
    <w:lvl w:ilvl="0" w:tplc="79F0859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0A1277"/>
    <w:multiLevelType w:val="hybridMultilevel"/>
    <w:tmpl w:val="27E29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F83AF2"/>
    <w:multiLevelType w:val="hybridMultilevel"/>
    <w:tmpl w:val="509E1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8E42DA"/>
    <w:multiLevelType w:val="hybridMultilevel"/>
    <w:tmpl w:val="9BA0E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4F0E8B"/>
    <w:multiLevelType w:val="hybridMultilevel"/>
    <w:tmpl w:val="407668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E968C5"/>
    <w:multiLevelType w:val="hybridMultilevel"/>
    <w:tmpl w:val="361AD8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956018"/>
    <w:multiLevelType w:val="hybridMultilevel"/>
    <w:tmpl w:val="6004E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0012AC1"/>
    <w:multiLevelType w:val="hybridMultilevel"/>
    <w:tmpl w:val="D8D04E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B02142"/>
    <w:multiLevelType w:val="hybridMultilevel"/>
    <w:tmpl w:val="A6D61250"/>
    <w:lvl w:ilvl="0" w:tplc="EAE60800">
      <w:start w:val="1"/>
      <w:numFmt w:val="decimal"/>
      <w:pStyle w:val="Heading1"/>
      <w:lvlText w:val="%1."/>
      <w:lvlJc w:val="left"/>
      <w:pPr>
        <w:ind w:left="720" w:hanging="360"/>
      </w:pPr>
      <w:rPr>
        <w:b/>
        <w:bCs/>
        <w:i w:val="0"/>
        <w:iCs w:val="0"/>
        <w:caps w:val="0"/>
        <w:smallCaps w:val="0"/>
        <w:strike w:val="0"/>
        <w:dstrike w:val="0"/>
        <w:outline w:val="0"/>
        <w:shadow w:val="0"/>
        <w:emboss w:val="0"/>
        <w:imprint w:val="0"/>
        <w:noProof w:val="0"/>
        <w:vanish w:val="0"/>
        <w:color w:val="0066CC"/>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4323F5"/>
    <w:multiLevelType w:val="hybridMultilevel"/>
    <w:tmpl w:val="D980B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7B35601"/>
    <w:multiLevelType w:val="hybridMultilevel"/>
    <w:tmpl w:val="6F72D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9FD20A3"/>
    <w:multiLevelType w:val="hybridMultilevel"/>
    <w:tmpl w:val="DBD0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683460">
    <w:abstractNumId w:val="18"/>
  </w:num>
  <w:num w:numId="2" w16cid:durableId="45032099">
    <w:abstractNumId w:val="13"/>
  </w:num>
  <w:num w:numId="3" w16cid:durableId="1557933243">
    <w:abstractNumId w:val="14"/>
  </w:num>
  <w:num w:numId="4" w16cid:durableId="652175930">
    <w:abstractNumId w:val="17"/>
  </w:num>
  <w:num w:numId="5" w16cid:durableId="404693105">
    <w:abstractNumId w:val="6"/>
  </w:num>
  <w:num w:numId="6" w16cid:durableId="900137331">
    <w:abstractNumId w:val="8"/>
  </w:num>
  <w:num w:numId="7" w16cid:durableId="884369708">
    <w:abstractNumId w:val="3"/>
  </w:num>
  <w:num w:numId="8" w16cid:durableId="1104224148">
    <w:abstractNumId w:val="11"/>
  </w:num>
  <w:num w:numId="9" w16cid:durableId="568810908">
    <w:abstractNumId w:val="19"/>
  </w:num>
  <w:num w:numId="10" w16cid:durableId="911889719">
    <w:abstractNumId w:val="20"/>
  </w:num>
  <w:num w:numId="11" w16cid:durableId="1464350702">
    <w:abstractNumId w:val="16"/>
  </w:num>
  <w:num w:numId="12" w16cid:durableId="1337533745">
    <w:abstractNumId w:val="22"/>
  </w:num>
  <w:num w:numId="13" w16cid:durableId="161630964">
    <w:abstractNumId w:val="5"/>
  </w:num>
  <w:num w:numId="14" w16cid:durableId="957638069">
    <w:abstractNumId w:val="12"/>
  </w:num>
  <w:num w:numId="15" w16cid:durableId="21707112">
    <w:abstractNumId w:val="2"/>
  </w:num>
  <w:num w:numId="16" w16cid:durableId="579607172">
    <w:abstractNumId w:val="10"/>
  </w:num>
  <w:num w:numId="17" w16cid:durableId="20516390">
    <w:abstractNumId w:val="0"/>
  </w:num>
  <w:num w:numId="18" w16cid:durableId="1832015910">
    <w:abstractNumId w:val="15"/>
  </w:num>
  <w:num w:numId="19" w16cid:durableId="907881772">
    <w:abstractNumId w:val="4"/>
  </w:num>
  <w:num w:numId="20" w16cid:durableId="65418983">
    <w:abstractNumId w:val="21"/>
  </w:num>
  <w:num w:numId="21" w16cid:durableId="771320537">
    <w:abstractNumId w:val="9"/>
  </w:num>
  <w:num w:numId="22" w16cid:durableId="598684085">
    <w:abstractNumId w:val="23"/>
  </w:num>
  <w:num w:numId="23" w16cid:durableId="95561944">
    <w:abstractNumId w:val="1"/>
  </w:num>
  <w:num w:numId="24" w16cid:durableId="101635133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NJ4YxiwlrqEDmF61T6NLhARfUbzPuN70w31V6J/zUy4akMFum0MXTMt2YdW9Qq/trTJzQjroFBjA+fs0Q35Qtg==" w:salt="JPm59vbhbMov9e8ZQDcp6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2F61"/>
    <w:rsid w:val="00003484"/>
    <w:rsid w:val="00005713"/>
    <w:rsid w:val="0000752C"/>
    <w:rsid w:val="00011ECC"/>
    <w:rsid w:val="00017825"/>
    <w:rsid w:val="00026F7B"/>
    <w:rsid w:val="00027BF3"/>
    <w:rsid w:val="00031040"/>
    <w:rsid w:val="00032538"/>
    <w:rsid w:val="0003731C"/>
    <w:rsid w:val="00042AE7"/>
    <w:rsid w:val="000440DF"/>
    <w:rsid w:val="00046076"/>
    <w:rsid w:val="000469BF"/>
    <w:rsid w:val="00046C47"/>
    <w:rsid w:val="00055685"/>
    <w:rsid w:val="000625E5"/>
    <w:rsid w:val="00063544"/>
    <w:rsid w:val="000652A2"/>
    <w:rsid w:val="00065565"/>
    <w:rsid w:val="00065775"/>
    <w:rsid w:val="00065B98"/>
    <w:rsid w:val="00067C8D"/>
    <w:rsid w:val="00070CFF"/>
    <w:rsid w:val="00080C62"/>
    <w:rsid w:val="00084DC3"/>
    <w:rsid w:val="00091F97"/>
    <w:rsid w:val="00092621"/>
    <w:rsid w:val="0009626A"/>
    <w:rsid w:val="00096431"/>
    <w:rsid w:val="000979BA"/>
    <w:rsid w:val="000A1C3F"/>
    <w:rsid w:val="000A6D12"/>
    <w:rsid w:val="000B5C73"/>
    <w:rsid w:val="000C44F0"/>
    <w:rsid w:val="000C7037"/>
    <w:rsid w:val="000D1E44"/>
    <w:rsid w:val="000D530F"/>
    <w:rsid w:val="000D5F9E"/>
    <w:rsid w:val="000E1BF6"/>
    <w:rsid w:val="000E3321"/>
    <w:rsid w:val="000E5CFD"/>
    <w:rsid w:val="000E63B8"/>
    <w:rsid w:val="000E743E"/>
    <w:rsid w:val="000F5094"/>
    <w:rsid w:val="000F6CED"/>
    <w:rsid w:val="00101ECA"/>
    <w:rsid w:val="001031D5"/>
    <w:rsid w:val="001039DF"/>
    <w:rsid w:val="00104888"/>
    <w:rsid w:val="001130B8"/>
    <w:rsid w:val="001213C9"/>
    <w:rsid w:val="00127457"/>
    <w:rsid w:val="00127FD8"/>
    <w:rsid w:val="00132FF4"/>
    <w:rsid w:val="0014209C"/>
    <w:rsid w:val="0014434C"/>
    <w:rsid w:val="001468BD"/>
    <w:rsid w:val="00150BBB"/>
    <w:rsid w:val="001518FB"/>
    <w:rsid w:val="0015685E"/>
    <w:rsid w:val="001600D6"/>
    <w:rsid w:val="001636D7"/>
    <w:rsid w:val="00163D1F"/>
    <w:rsid w:val="00166280"/>
    <w:rsid w:val="00166371"/>
    <w:rsid w:val="00173C0C"/>
    <w:rsid w:val="00181489"/>
    <w:rsid w:val="00181953"/>
    <w:rsid w:val="00182AA9"/>
    <w:rsid w:val="00186EA2"/>
    <w:rsid w:val="00191F99"/>
    <w:rsid w:val="00193C19"/>
    <w:rsid w:val="00195599"/>
    <w:rsid w:val="001972DA"/>
    <w:rsid w:val="001A1DB6"/>
    <w:rsid w:val="001A3A33"/>
    <w:rsid w:val="001B096D"/>
    <w:rsid w:val="001B7860"/>
    <w:rsid w:val="001C2FA2"/>
    <w:rsid w:val="001C3E4B"/>
    <w:rsid w:val="001C4563"/>
    <w:rsid w:val="001C57F1"/>
    <w:rsid w:val="001D124F"/>
    <w:rsid w:val="001D20B3"/>
    <w:rsid w:val="001D2756"/>
    <w:rsid w:val="001E0A5E"/>
    <w:rsid w:val="001E3E2A"/>
    <w:rsid w:val="001E7AAA"/>
    <w:rsid w:val="001F04D1"/>
    <w:rsid w:val="001F2FFE"/>
    <w:rsid w:val="001F3C1D"/>
    <w:rsid w:val="001F4ECE"/>
    <w:rsid w:val="001F6FD3"/>
    <w:rsid w:val="00205AE1"/>
    <w:rsid w:val="002102CD"/>
    <w:rsid w:val="002109B2"/>
    <w:rsid w:val="002170F9"/>
    <w:rsid w:val="00221A17"/>
    <w:rsid w:val="0022471E"/>
    <w:rsid w:val="00224B60"/>
    <w:rsid w:val="00230445"/>
    <w:rsid w:val="00230F2C"/>
    <w:rsid w:val="00232C40"/>
    <w:rsid w:val="00234C3F"/>
    <w:rsid w:val="00236640"/>
    <w:rsid w:val="00237CAB"/>
    <w:rsid w:val="00243CF1"/>
    <w:rsid w:val="00243F99"/>
    <w:rsid w:val="0024571E"/>
    <w:rsid w:val="00246CC5"/>
    <w:rsid w:val="00252052"/>
    <w:rsid w:val="00254A99"/>
    <w:rsid w:val="00256BBF"/>
    <w:rsid w:val="00271DA1"/>
    <w:rsid w:val="00271F18"/>
    <w:rsid w:val="00277091"/>
    <w:rsid w:val="00281F31"/>
    <w:rsid w:val="0028289C"/>
    <w:rsid w:val="002829B6"/>
    <w:rsid w:val="0028743E"/>
    <w:rsid w:val="002911D1"/>
    <w:rsid w:val="0029228C"/>
    <w:rsid w:val="00295135"/>
    <w:rsid w:val="002A1D88"/>
    <w:rsid w:val="002A4121"/>
    <w:rsid w:val="002A451D"/>
    <w:rsid w:val="002B3965"/>
    <w:rsid w:val="002B6C74"/>
    <w:rsid w:val="002C1080"/>
    <w:rsid w:val="002C1756"/>
    <w:rsid w:val="002C1FC3"/>
    <w:rsid w:val="002C36BE"/>
    <w:rsid w:val="002C69B2"/>
    <w:rsid w:val="002D0399"/>
    <w:rsid w:val="002D32AD"/>
    <w:rsid w:val="002D5DA5"/>
    <w:rsid w:val="002D5EC6"/>
    <w:rsid w:val="002D6DA8"/>
    <w:rsid w:val="002E0340"/>
    <w:rsid w:val="002E64F1"/>
    <w:rsid w:val="00300AFE"/>
    <w:rsid w:val="00303318"/>
    <w:rsid w:val="00307FE2"/>
    <w:rsid w:val="00316A2C"/>
    <w:rsid w:val="0031762F"/>
    <w:rsid w:val="00320028"/>
    <w:rsid w:val="00321536"/>
    <w:rsid w:val="0032558C"/>
    <w:rsid w:val="00327EC5"/>
    <w:rsid w:val="00332F71"/>
    <w:rsid w:val="00334710"/>
    <w:rsid w:val="00334B2C"/>
    <w:rsid w:val="00335640"/>
    <w:rsid w:val="00335935"/>
    <w:rsid w:val="00337F56"/>
    <w:rsid w:val="00341041"/>
    <w:rsid w:val="003422DE"/>
    <w:rsid w:val="0034687F"/>
    <w:rsid w:val="00347990"/>
    <w:rsid w:val="003512FF"/>
    <w:rsid w:val="00352284"/>
    <w:rsid w:val="003569AC"/>
    <w:rsid w:val="0035702F"/>
    <w:rsid w:val="00362B20"/>
    <w:rsid w:val="00364CD9"/>
    <w:rsid w:val="00370966"/>
    <w:rsid w:val="003736AF"/>
    <w:rsid w:val="003767F5"/>
    <w:rsid w:val="003818FF"/>
    <w:rsid w:val="003832B6"/>
    <w:rsid w:val="00393796"/>
    <w:rsid w:val="00395BCB"/>
    <w:rsid w:val="00397375"/>
    <w:rsid w:val="00397EA3"/>
    <w:rsid w:val="003A0310"/>
    <w:rsid w:val="003A3D2E"/>
    <w:rsid w:val="003B03B0"/>
    <w:rsid w:val="003B5326"/>
    <w:rsid w:val="003C1546"/>
    <w:rsid w:val="003C291F"/>
    <w:rsid w:val="003D0261"/>
    <w:rsid w:val="003D163E"/>
    <w:rsid w:val="003D3182"/>
    <w:rsid w:val="003D3D90"/>
    <w:rsid w:val="003D4B49"/>
    <w:rsid w:val="003E25EA"/>
    <w:rsid w:val="003E6BAD"/>
    <w:rsid w:val="003E7515"/>
    <w:rsid w:val="003E7F57"/>
    <w:rsid w:val="003F3997"/>
    <w:rsid w:val="003F53C9"/>
    <w:rsid w:val="00411634"/>
    <w:rsid w:val="00412A51"/>
    <w:rsid w:val="004206F9"/>
    <w:rsid w:val="004243EF"/>
    <w:rsid w:val="00425C08"/>
    <w:rsid w:val="00426DE1"/>
    <w:rsid w:val="004301BF"/>
    <w:rsid w:val="00431CDC"/>
    <w:rsid w:val="00441F07"/>
    <w:rsid w:val="004470C5"/>
    <w:rsid w:val="004475E1"/>
    <w:rsid w:val="00447C55"/>
    <w:rsid w:val="00450216"/>
    <w:rsid w:val="00450FE2"/>
    <w:rsid w:val="00454EBC"/>
    <w:rsid w:val="00470083"/>
    <w:rsid w:val="00471EBC"/>
    <w:rsid w:val="00472FE3"/>
    <w:rsid w:val="0047377F"/>
    <w:rsid w:val="00474D84"/>
    <w:rsid w:val="004804AA"/>
    <w:rsid w:val="00480571"/>
    <w:rsid w:val="00483CD1"/>
    <w:rsid w:val="00487028"/>
    <w:rsid w:val="0048728C"/>
    <w:rsid w:val="00487BEB"/>
    <w:rsid w:val="00492CD8"/>
    <w:rsid w:val="004A0BF6"/>
    <w:rsid w:val="004A0F06"/>
    <w:rsid w:val="004A20B0"/>
    <w:rsid w:val="004A32C9"/>
    <w:rsid w:val="004A7EB4"/>
    <w:rsid w:val="004B1A68"/>
    <w:rsid w:val="004B3351"/>
    <w:rsid w:val="004B4FE2"/>
    <w:rsid w:val="004B59C6"/>
    <w:rsid w:val="004C0E0B"/>
    <w:rsid w:val="004C3859"/>
    <w:rsid w:val="004D3E80"/>
    <w:rsid w:val="004F0714"/>
    <w:rsid w:val="004F3450"/>
    <w:rsid w:val="004F6453"/>
    <w:rsid w:val="00503741"/>
    <w:rsid w:val="00505A68"/>
    <w:rsid w:val="0051050E"/>
    <w:rsid w:val="00511346"/>
    <w:rsid w:val="005137F4"/>
    <w:rsid w:val="00514D5F"/>
    <w:rsid w:val="00516AFA"/>
    <w:rsid w:val="00516C57"/>
    <w:rsid w:val="00527AE1"/>
    <w:rsid w:val="0053224C"/>
    <w:rsid w:val="005354DC"/>
    <w:rsid w:val="00536A18"/>
    <w:rsid w:val="0054125F"/>
    <w:rsid w:val="00543DA8"/>
    <w:rsid w:val="00544899"/>
    <w:rsid w:val="00547F08"/>
    <w:rsid w:val="005500FF"/>
    <w:rsid w:val="00551E14"/>
    <w:rsid w:val="00553C58"/>
    <w:rsid w:val="00553DF7"/>
    <w:rsid w:val="0056444A"/>
    <w:rsid w:val="005676C0"/>
    <w:rsid w:val="00567D84"/>
    <w:rsid w:val="0057584D"/>
    <w:rsid w:val="00582F77"/>
    <w:rsid w:val="0059083D"/>
    <w:rsid w:val="00595041"/>
    <w:rsid w:val="00595B0A"/>
    <w:rsid w:val="005A01FF"/>
    <w:rsid w:val="005A175B"/>
    <w:rsid w:val="005A5C7B"/>
    <w:rsid w:val="005B431B"/>
    <w:rsid w:val="005C0784"/>
    <w:rsid w:val="005C1E75"/>
    <w:rsid w:val="005C2437"/>
    <w:rsid w:val="005C3015"/>
    <w:rsid w:val="005C48AE"/>
    <w:rsid w:val="005C61AE"/>
    <w:rsid w:val="005C78E5"/>
    <w:rsid w:val="005D08B4"/>
    <w:rsid w:val="005D2143"/>
    <w:rsid w:val="005D6F55"/>
    <w:rsid w:val="005E281F"/>
    <w:rsid w:val="005E541C"/>
    <w:rsid w:val="005E6488"/>
    <w:rsid w:val="005F463D"/>
    <w:rsid w:val="005F6358"/>
    <w:rsid w:val="006025E4"/>
    <w:rsid w:val="00606660"/>
    <w:rsid w:val="00607027"/>
    <w:rsid w:val="00612B55"/>
    <w:rsid w:val="006214C8"/>
    <w:rsid w:val="00621849"/>
    <w:rsid w:val="006225C4"/>
    <w:rsid w:val="006242BB"/>
    <w:rsid w:val="006249F0"/>
    <w:rsid w:val="00624EE6"/>
    <w:rsid w:val="00626B5F"/>
    <w:rsid w:val="006270F1"/>
    <w:rsid w:val="006309F9"/>
    <w:rsid w:val="00632FAA"/>
    <w:rsid w:val="00637261"/>
    <w:rsid w:val="0064050C"/>
    <w:rsid w:val="006408B1"/>
    <w:rsid w:val="006505B0"/>
    <w:rsid w:val="006513D3"/>
    <w:rsid w:val="00651BD9"/>
    <w:rsid w:val="006521B8"/>
    <w:rsid w:val="00657F95"/>
    <w:rsid w:val="00666714"/>
    <w:rsid w:val="00672B9B"/>
    <w:rsid w:val="00673B7A"/>
    <w:rsid w:val="00684EB3"/>
    <w:rsid w:val="006A1C3F"/>
    <w:rsid w:val="006A2910"/>
    <w:rsid w:val="006A35B2"/>
    <w:rsid w:val="006A77D6"/>
    <w:rsid w:val="006A7AB6"/>
    <w:rsid w:val="006A7F2C"/>
    <w:rsid w:val="006B1367"/>
    <w:rsid w:val="006B4B99"/>
    <w:rsid w:val="006B6C80"/>
    <w:rsid w:val="006C44AF"/>
    <w:rsid w:val="006C782B"/>
    <w:rsid w:val="006D4AFF"/>
    <w:rsid w:val="006D4B1B"/>
    <w:rsid w:val="006D4DCC"/>
    <w:rsid w:val="006D559B"/>
    <w:rsid w:val="006D77DA"/>
    <w:rsid w:val="006E2338"/>
    <w:rsid w:val="006E2D55"/>
    <w:rsid w:val="006E40C7"/>
    <w:rsid w:val="006E68A7"/>
    <w:rsid w:val="006F289F"/>
    <w:rsid w:val="006F28E4"/>
    <w:rsid w:val="006F3BBA"/>
    <w:rsid w:val="006F533B"/>
    <w:rsid w:val="0070429F"/>
    <w:rsid w:val="007062A7"/>
    <w:rsid w:val="00706BA7"/>
    <w:rsid w:val="00707E5D"/>
    <w:rsid w:val="00712B97"/>
    <w:rsid w:val="007148DE"/>
    <w:rsid w:val="00715012"/>
    <w:rsid w:val="00715E23"/>
    <w:rsid w:val="00716548"/>
    <w:rsid w:val="00723BC1"/>
    <w:rsid w:val="00727C2E"/>
    <w:rsid w:val="0073175A"/>
    <w:rsid w:val="00733C34"/>
    <w:rsid w:val="0073587B"/>
    <w:rsid w:val="007359F4"/>
    <w:rsid w:val="00736F3B"/>
    <w:rsid w:val="00737CFE"/>
    <w:rsid w:val="00742F60"/>
    <w:rsid w:val="007450A7"/>
    <w:rsid w:val="00747618"/>
    <w:rsid w:val="007555AA"/>
    <w:rsid w:val="00757E5D"/>
    <w:rsid w:val="00757F9E"/>
    <w:rsid w:val="007623B6"/>
    <w:rsid w:val="007634F4"/>
    <w:rsid w:val="0076450B"/>
    <w:rsid w:val="00765204"/>
    <w:rsid w:val="007728C3"/>
    <w:rsid w:val="00774F7C"/>
    <w:rsid w:val="00790845"/>
    <w:rsid w:val="00794292"/>
    <w:rsid w:val="00797F3F"/>
    <w:rsid w:val="007A2AF0"/>
    <w:rsid w:val="007A3CC6"/>
    <w:rsid w:val="007A4A79"/>
    <w:rsid w:val="007B54C4"/>
    <w:rsid w:val="007B739A"/>
    <w:rsid w:val="007B74CC"/>
    <w:rsid w:val="007B76B0"/>
    <w:rsid w:val="007C2F00"/>
    <w:rsid w:val="007C6B10"/>
    <w:rsid w:val="007C6E86"/>
    <w:rsid w:val="007C7198"/>
    <w:rsid w:val="007C7494"/>
    <w:rsid w:val="007D4F4F"/>
    <w:rsid w:val="007E228E"/>
    <w:rsid w:val="007E44AC"/>
    <w:rsid w:val="007E4BD7"/>
    <w:rsid w:val="007E547C"/>
    <w:rsid w:val="007F3977"/>
    <w:rsid w:val="007F3F28"/>
    <w:rsid w:val="008009CB"/>
    <w:rsid w:val="00802960"/>
    <w:rsid w:val="00802BC6"/>
    <w:rsid w:val="00805F12"/>
    <w:rsid w:val="00806AB9"/>
    <w:rsid w:val="008210A6"/>
    <w:rsid w:val="008215C1"/>
    <w:rsid w:val="00822096"/>
    <w:rsid w:val="008359A8"/>
    <w:rsid w:val="00841BE2"/>
    <w:rsid w:val="008426BA"/>
    <w:rsid w:val="008466C6"/>
    <w:rsid w:val="00846A4A"/>
    <w:rsid w:val="00856710"/>
    <w:rsid w:val="00862DC4"/>
    <w:rsid w:val="00866650"/>
    <w:rsid w:val="00867FD9"/>
    <w:rsid w:val="00871AF9"/>
    <w:rsid w:val="00872D8A"/>
    <w:rsid w:val="0087662D"/>
    <w:rsid w:val="00877B39"/>
    <w:rsid w:val="00877E1D"/>
    <w:rsid w:val="008818E7"/>
    <w:rsid w:val="0088256F"/>
    <w:rsid w:val="008844B1"/>
    <w:rsid w:val="0088715B"/>
    <w:rsid w:val="00891224"/>
    <w:rsid w:val="008912BD"/>
    <w:rsid w:val="00892928"/>
    <w:rsid w:val="008A206B"/>
    <w:rsid w:val="008A2569"/>
    <w:rsid w:val="008A6DE5"/>
    <w:rsid w:val="008B44C1"/>
    <w:rsid w:val="008B4B43"/>
    <w:rsid w:val="008B6013"/>
    <w:rsid w:val="008D3057"/>
    <w:rsid w:val="008D5F8F"/>
    <w:rsid w:val="008D6AED"/>
    <w:rsid w:val="008E584D"/>
    <w:rsid w:val="008E62E9"/>
    <w:rsid w:val="008F47B1"/>
    <w:rsid w:val="009038BB"/>
    <w:rsid w:val="009067F0"/>
    <w:rsid w:val="00907EB0"/>
    <w:rsid w:val="00912A1D"/>
    <w:rsid w:val="009142FC"/>
    <w:rsid w:val="00916006"/>
    <w:rsid w:val="00922068"/>
    <w:rsid w:val="00933A4C"/>
    <w:rsid w:val="00940AA2"/>
    <w:rsid w:val="00943E35"/>
    <w:rsid w:val="00944BA0"/>
    <w:rsid w:val="00946248"/>
    <w:rsid w:val="009509FD"/>
    <w:rsid w:val="009533A6"/>
    <w:rsid w:val="00956C8E"/>
    <w:rsid w:val="009610F0"/>
    <w:rsid w:val="00964CEB"/>
    <w:rsid w:val="00965B22"/>
    <w:rsid w:val="009704AA"/>
    <w:rsid w:val="00973238"/>
    <w:rsid w:val="0097517B"/>
    <w:rsid w:val="00982031"/>
    <w:rsid w:val="00982DEF"/>
    <w:rsid w:val="00983DCA"/>
    <w:rsid w:val="00983EF3"/>
    <w:rsid w:val="00984CE8"/>
    <w:rsid w:val="00985C56"/>
    <w:rsid w:val="00986D3D"/>
    <w:rsid w:val="00995C9E"/>
    <w:rsid w:val="00995EAE"/>
    <w:rsid w:val="009A16D5"/>
    <w:rsid w:val="009A2F28"/>
    <w:rsid w:val="009A5568"/>
    <w:rsid w:val="009A5F87"/>
    <w:rsid w:val="009AF2D1"/>
    <w:rsid w:val="009B36E7"/>
    <w:rsid w:val="009B44E1"/>
    <w:rsid w:val="009C1B55"/>
    <w:rsid w:val="009C4C14"/>
    <w:rsid w:val="009C57DE"/>
    <w:rsid w:val="009D1C3D"/>
    <w:rsid w:val="009D47A8"/>
    <w:rsid w:val="009E24CA"/>
    <w:rsid w:val="009E32B5"/>
    <w:rsid w:val="009E3461"/>
    <w:rsid w:val="009E3803"/>
    <w:rsid w:val="009E3840"/>
    <w:rsid w:val="009F3E18"/>
    <w:rsid w:val="00A00BD0"/>
    <w:rsid w:val="00A0302F"/>
    <w:rsid w:val="00A063A1"/>
    <w:rsid w:val="00A10FBB"/>
    <w:rsid w:val="00A1144E"/>
    <w:rsid w:val="00A12522"/>
    <w:rsid w:val="00A125D3"/>
    <w:rsid w:val="00A13C5D"/>
    <w:rsid w:val="00A16193"/>
    <w:rsid w:val="00A20A57"/>
    <w:rsid w:val="00A211B8"/>
    <w:rsid w:val="00A22608"/>
    <w:rsid w:val="00A257B8"/>
    <w:rsid w:val="00A32B8B"/>
    <w:rsid w:val="00A33B0A"/>
    <w:rsid w:val="00A371DB"/>
    <w:rsid w:val="00A4025B"/>
    <w:rsid w:val="00A4762E"/>
    <w:rsid w:val="00A525CA"/>
    <w:rsid w:val="00A53382"/>
    <w:rsid w:val="00A54EC2"/>
    <w:rsid w:val="00A557C0"/>
    <w:rsid w:val="00A624F4"/>
    <w:rsid w:val="00A63ACD"/>
    <w:rsid w:val="00A6476C"/>
    <w:rsid w:val="00A64BF1"/>
    <w:rsid w:val="00A73796"/>
    <w:rsid w:val="00A75F99"/>
    <w:rsid w:val="00A807BD"/>
    <w:rsid w:val="00A81545"/>
    <w:rsid w:val="00A836C4"/>
    <w:rsid w:val="00A837C8"/>
    <w:rsid w:val="00A84C2C"/>
    <w:rsid w:val="00A84E41"/>
    <w:rsid w:val="00A96801"/>
    <w:rsid w:val="00AA3E21"/>
    <w:rsid w:val="00AA41D4"/>
    <w:rsid w:val="00AA4BBC"/>
    <w:rsid w:val="00AB2869"/>
    <w:rsid w:val="00AB5BA1"/>
    <w:rsid w:val="00AC1D52"/>
    <w:rsid w:val="00AC36B9"/>
    <w:rsid w:val="00AD44FD"/>
    <w:rsid w:val="00AE1969"/>
    <w:rsid w:val="00AE34E7"/>
    <w:rsid w:val="00AE425C"/>
    <w:rsid w:val="00AE42DB"/>
    <w:rsid w:val="00AE53FD"/>
    <w:rsid w:val="00AE6586"/>
    <w:rsid w:val="00AF3F50"/>
    <w:rsid w:val="00AF6D10"/>
    <w:rsid w:val="00B03457"/>
    <w:rsid w:val="00B04271"/>
    <w:rsid w:val="00B04282"/>
    <w:rsid w:val="00B04D9D"/>
    <w:rsid w:val="00B064C9"/>
    <w:rsid w:val="00B12334"/>
    <w:rsid w:val="00B14CA5"/>
    <w:rsid w:val="00B21815"/>
    <w:rsid w:val="00B234E7"/>
    <w:rsid w:val="00B24FF2"/>
    <w:rsid w:val="00B27C36"/>
    <w:rsid w:val="00B30EDA"/>
    <w:rsid w:val="00B32EFF"/>
    <w:rsid w:val="00B33A9E"/>
    <w:rsid w:val="00B41B88"/>
    <w:rsid w:val="00B4379B"/>
    <w:rsid w:val="00B44A56"/>
    <w:rsid w:val="00B44E04"/>
    <w:rsid w:val="00B47638"/>
    <w:rsid w:val="00B47F83"/>
    <w:rsid w:val="00B54B34"/>
    <w:rsid w:val="00B5529F"/>
    <w:rsid w:val="00B57455"/>
    <w:rsid w:val="00B61CA4"/>
    <w:rsid w:val="00B648CF"/>
    <w:rsid w:val="00B67DAB"/>
    <w:rsid w:val="00B708F7"/>
    <w:rsid w:val="00B712E5"/>
    <w:rsid w:val="00B71EE0"/>
    <w:rsid w:val="00B82416"/>
    <w:rsid w:val="00B858F0"/>
    <w:rsid w:val="00B86EAB"/>
    <w:rsid w:val="00B92DDF"/>
    <w:rsid w:val="00B964E3"/>
    <w:rsid w:val="00B97BED"/>
    <w:rsid w:val="00BA1AE8"/>
    <w:rsid w:val="00BA24D9"/>
    <w:rsid w:val="00BA3098"/>
    <w:rsid w:val="00BB0368"/>
    <w:rsid w:val="00BB49AD"/>
    <w:rsid w:val="00BB5065"/>
    <w:rsid w:val="00BB5C60"/>
    <w:rsid w:val="00BB700A"/>
    <w:rsid w:val="00BC1D5A"/>
    <w:rsid w:val="00BC5C31"/>
    <w:rsid w:val="00BC5E18"/>
    <w:rsid w:val="00BD02D8"/>
    <w:rsid w:val="00BD244D"/>
    <w:rsid w:val="00BD5B04"/>
    <w:rsid w:val="00BD5B28"/>
    <w:rsid w:val="00BE1451"/>
    <w:rsid w:val="00BF02FA"/>
    <w:rsid w:val="00BF1DF5"/>
    <w:rsid w:val="00BF50E1"/>
    <w:rsid w:val="00C00D54"/>
    <w:rsid w:val="00C01923"/>
    <w:rsid w:val="00C12F02"/>
    <w:rsid w:val="00C13AA2"/>
    <w:rsid w:val="00C172E4"/>
    <w:rsid w:val="00C238DB"/>
    <w:rsid w:val="00C23955"/>
    <w:rsid w:val="00C24F4B"/>
    <w:rsid w:val="00C275E9"/>
    <w:rsid w:val="00C27AA2"/>
    <w:rsid w:val="00C3089D"/>
    <w:rsid w:val="00C32D59"/>
    <w:rsid w:val="00C32F9E"/>
    <w:rsid w:val="00C3345A"/>
    <w:rsid w:val="00C369E9"/>
    <w:rsid w:val="00C45664"/>
    <w:rsid w:val="00C46976"/>
    <w:rsid w:val="00C47FF6"/>
    <w:rsid w:val="00C5228B"/>
    <w:rsid w:val="00C527A1"/>
    <w:rsid w:val="00C62383"/>
    <w:rsid w:val="00C63A37"/>
    <w:rsid w:val="00C73CAA"/>
    <w:rsid w:val="00C80968"/>
    <w:rsid w:val="00C823A4"/>
    <w:rsid w:val="00C83A02"/>
    <w:rsid w:val="00C85511"/>
    <w:rsid w:val="00C87950"/>
    <w:rsid w:val="00C9099E"/>
    <w:rsid w:val="00C92AFF"/>
    <w:rsid w:val="00C95E86"/>
    <w:rsid w:val="00CA1398"/>
    <w:rsid w:val="00CA2577"/>
    <w:rsid w:val="00CA3320"/>
    <w:rsid w:val="00CA5883"/>
    <w:rsid w:val="00CB1C6B"/>
    <w:rsid w:val="00CC339E"/>
    <w:rsid w:val="00CC3DC0"/>
    <w:rsid w:val="00CC475D"/>
    <w:rsid w:val="00CC5377"/>
    <w:rsid w:val="00CC68BF"/>
    <w:rsid w:val="00CC6A32"/>
    <w:rsid w:val="00CD1B89"/>
    <w:rsid w:val="00CD6369"/>
    <w:rsid w:val="00CE0B03"/>
    <w:rsid w:val="00CE280B"/>
    <w:rsid w:val="00CE510C"/>
    <w:rsid w:val="00CE782A"/>
    <w:rsid w:val="00CF00BA"/>
    <w:rsid w:val="00CF0694"/>
    <w:rsid w:val="00D06FFC"/>
    <w:rsid w:val="00D16DE9"/>
    <w:rsid w:val="00D177BC"/>
    <w:rsid w:val="00D211D5"/>
    <w:rsid w:val="00D24669"/>
    <w:rsid w:val="00D24C1F"/>
    <w:rsid w:val="00D26595"/>
    <w:rsid w:val="00D26849"/>
    <w:rsid w:val="00D332B7"/>
    <w:rsid w:val="00D344B5"/>
    <w:rsid w:val="00D410E6"/>
    <w:rsid w:val="00D42DB7"/>
    <w:rsid w:val="00D452BD"/>
    <w:rsid w:val="00D5240C"/>
    <w:rsid w:val="00D67A08"/>
    <w:rsid w:val="00D70482"/>
    <w:rsid w:val="00D762C7"/>
    <w:rsid w:val="00D80FBC"/>
    <w:rsid w:val="00D82394"/>
    <w:rsid w:val="00D83615"/>
    <w:rsid w:val="00D848D7"/>
    <w:rsid w:val="00D87B9D"/>
    <w:rsid w:val="00D9456C"/>
    <w:rsid w:val="00D95E41"/>
    <w:rsid w:val="00D9670D"/>
    <w:rsid w:val="00D97F10"/>
    <w:rsid w:val="00DA4CF2"/>
    <w:rsid w:val="00DA4F5F"/>
    <w:rsid w:val="00DA666E"/>
    <w:rsid w:val="00DB09A6"/>
    <w:rsid w:val="00DB3315"/>
    <w:rsid w:val="00DB59C8"/>
    <w:rsid w:val="00DC50D1"/>
    <w:rsid w:val="00DC681C"/>
    <w:rsid w:val="00DD0D1C"/>
    <w:rsid w:val="00DD4017"/>
    <w:rsid w:val="00DD64A4"/>
    <w:rsid w:val="00DD6EC1"/>
    <w:rsid w:val="00DE0A69"/>
    <w:rsid w:val="00DE19AD"/>
    <w:rsid w:val="00DE5F89"/>
    <w:rsid w:val="00DE63FD"/>
    <w:rsid w:val="00DF18B5"/>
    <w:rsid w:val="00DF1B3F"/>
    <w:rsid w:val="00DF69E3"/>
    <w:rsid w:val="00DF7950"/>
    <w:rsid w:val="00E014D0"/>
    <w:rsid w:val="00E048B4"/>
    <w:rsid w:val="00E06273"/>
    <w:rsid w:val="00E12942"/>
    <w:rsid w:val="00E20D4E"/>
    <w:rsid w:val="00E21B0C"/>
    <w:rsid w:val="00E236CE"/>
    <w:rsid w:val="00E30436"/>
    <w:rsid w:val="00E3221B"/>
    <w:rsid w:val="00E32C4B"/>
    <w:rsid w:val="00E41C5F"/>
    <w:rsid w:val="00E50AEB"/>
    <w:rsid w:val="00E5276F"/>
    <w:rsid w:val="00E54E90"/>
    <w:rsid w:val="00E553BD"/>
    <w:rsid w:val="00E739FE"/>
    <w:rsid w:val="00E85523"/>
    <w:rsid w:val="00E935DD"/>
    <w:rsid w:val="00EA0F68"/>
    <w:rsid w:val="00EA58C4"/>
    <w:rsid w:val="00EA7FCA"/>
    <w:rsid w:val="00EB3E98"/>
    <w:rsid w:val="00EB55B3"/>
    <w:rsid w:val="00EB7CBC"/>
    <w:rsid w:val="00EC08B9"/>
    <w:rsid w:val="00EC1A79"/>
    <w:rsid w:val="00EC2AD8"/>
    <w:rsid w:val="00ED0A4B"/>
    <w:rsid w:val="00ED1287"/>
    <w:rsid w:val="00ED1C37"/>
    <w:rsid w:val="00ED5C88"/>
    <w:rsid w:val="00ED684C"/>
    <w:rsid w:val="00ED6BD6"/>
    <w:rsid w:val="00EE03F6"/>
    <w:rsid w:val="00EF11B8"/>
    <w:rsid w:val="00EF1D4C"/>
    <w:rsid w:val="00EF4D31"/>
    <w:rsid w:val="00F02163"/>
    <w:rsid w:val="00F0435A"/>
    <w:rsid w:val="00F048FF"/>
    <w:rsid w:val="00F13240"/>
    <w:rsid w:val="00F17CC2"/>
    <w:rsid w:val="00F17F2B"/>
    <w:rsid w:val="00F24B0B"/>
    <w:rsid w:val="00F25E95"/>
    <w:rsid w:val="00F30F74"/>
    <w:rsid w:val="00F47C3E"/>
    <w:rsid w:val="00F53290"/>
    <w:rsid w:val="00F55E49"/>
    <w:rsid w:val="00F56535"/>
    <w:rsid w:val="00F56B07"/>
    <w:rsid w:val="00F60DBE"/>
    <w:rsid w:val="00F73DF4"/>
    <w:rsid w:val="00F77963"/>
    <w:rsid w:val="00F81739"/>
    <w:rsid w:val="00F81982"/>
    <w:rsid w:val="00F90B83"/>
    <w:rsid w:val="00F91132"/>
    <w:rsid w:val="00F92EAA"/>
    <w:rsid w:val="00F9325D"/>
    <w:rsid w:val="00F979AA"/>
    <w:rsid w:val="00FA4930"/>
    <w:rsid w:val="00FA495C"/>
    <w:rsid w:val="00FA657A"/>
    <w:rsid w:val="00FA713C"/>
    <w:rsid w:val="00FA792B"/>
    <w:rsid w:val="00FB540D"/>
    <w:rsid w:val="00FB549E"/>
    <w:rsid w:val="00FB7021"/>
    <w:rsid w:val="00FB74E0"/>
    <w:rsid w:val="00FB7F4A"/>
    <w:rsid w:val="00FC584A"/>
    <w:rsid w:val="00FD06EC"/>
    <w:rsid w:val="00FD17DA"/>
    <w:rsid w:val="00FD443B"/>
    <w:rsid w:val="00FE17E4"/>
    <w:rsid w:val="00FE48D5"/>
    <w:rsid w:val="00FE50CE"/>
    <w:rsid w:val="00FE558B"/>
    <w:rsid w:val="00FE74BE"/>
    <w:rsid w:val="00FF0110"/>
    <w:rsid w:val="00FF6003"/>
    <w:rsid w:val="129E8A3A"/>
    <w:rsid w:val="1F63E4E5"/>
    <w:rsid w:val="2A58E9C9"/>
    <w:rsid w:val="2F540188"/>
    <w:rsid w:val="6049219A"/>
    <w:rsid w:val="668AB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9CC2"/>
  <w15:docId w15:val="{A3A5B451-19B7-4418-80C9-370B7C48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94"/>
    <w:rPr>
      <w:rFonts w:ascii="Arial" w:hAnsi="Arial"/>
      <w:sz w:val="24"/>
    </w:rPr>
  </w:style>
  <w:style w:type="paragraph" w:styleId="Heading1">
    <w:name w:val="heading 1"/>
    <w:basedOn w:val="Normal"/>
    <w:next w:val="Normal"/>
    <w:link w:val="Heading1Char"/>
    <w:uiPriority w:val="9"/>
    <w:qFormat/>
    <w:rsid w:val="00DE19AD"/>
    <w:pPr>
      <w:keepNext/>
      <w:numPr>
        <w:numId w:val="10"/>
      </w:numPr>
      <w:spacing w:line="240" w:lineRule="auto"/>
      <w:ind w:left="357" w:hanging="357"/>
      <w:outlineLvl w:val="0"/>
    </w:pPr>
    <w:rPr>
      <w:rFonts w:cstheme="minorHAnsi"/>
      <w:b/>
      <w:bCs/>
      <w:color w:val="005EB8"/>
      <w:sz w:val="32"/>
    </w:rPr>
  </w:style>
  <w:style w:type="paragraph" w:styleId="Heading2">
    <w:name w:val="heading 2"/>
    <w:basedOn w:val="Normal"/>
    <w:next w:val="Normal"/>
    <w:link w:val="Heading2Char"/>
    <w:uiPriority w:val="9"/>
    <w:unhideWhenUsed/>
    <w:qFormat/>
    <w:rsid w:val="00FA713C"/>
    <w:pPr>
      <w:spacing w:before="36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DE19AD"/>
    <w:pPr>
      <w:spacing w:before="360" w:after="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426DE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3977"/>
    <w:pPr>
      <w:spacing w:after="50"/>
      <w:ind w:left="720"/>
    </w:pPr>
  </w:style>
  <w:style w:type="table" w:styleId="TableGrid">
    <w:name w:val="Table Grid"/>
    <w:basedOn w:val="TableNormal"/>
    <w:uiPriority w:val="3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DE19AD"/>
    <w:rPr>
      <w:rFonts w:ascii="Arial" w:hAnsi="Arial" w:cstheme="minorHAnsi"/>
      <w:b/>
      <w:bCs/>
      <w:color w:val="005EB8"/>
      <w:sz w:val="32"/>
    </w:rPr>
  </w:style>
  <w:style w:type="character" w:customStyle="1" w:styleId="Heading2Char">
    <w:name w:val="Heading 2 Char"/>
    <w:basedOn w:val="DefaultParagraphFont"/>
    <w:link w:val="Heading2"/>
    <w:uiPriority w:val="9"/>
    <w:rsid w:val="00FA713C"/>
    <w:rPr>
      <w:rFonts w:ascii="Arial" w:hAnsi="Arial" w:cstheme="minorHAnsi"/>
      <w:b/>
      <w:bCs/>
      <w:color w:val="005EB8"/>
      <w:sz w:val="28"/>
    </w:rPr>
  </w:style>
  <w:style w:type="character" w:customStyle="1" w:styleId="Heading3Char">
    <w:name w:val="Heading 3 Char"/>
    <w:basedOn w:val="DefaultParagraphFont"/>
    <w:link w:val="Heading3"/>
    <w:uiPriority w:val="9"/>
    <w:rsid w:val="00DE19AD"/>
    <w:rPr>
      <w:rFonts w:ascii="Arial" w:hAnsi="Arial" w:cstheme="minorHAnsi"/>
      <w:b/>
      <w:sz w:val="24"/>
      <w:szCs w:val="24"/>
      <w:lang w:eastAsia="en-GB"/>
    </w:rPr>
  </w:style>
  <w:style w:type="paragraph" w:styleId="TOCHeading">
    <w:name w:val="TOC Heading"/>
    <w:basedOn w:val="Heading1"/>
    <w:next w:val="Normal"/>
    <w:uiPriority w:val="39"/>
    <w:semiHidden/>
    <w:unhideWhenUsed/>
    <w:qFormat/>
    <w:rsid w:val="009E3461"/>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character" w:customStyle="1" w:styleId="wordsection1Char">
    <w:name w:val="wordsection1 Char"/>
    <w:basedOn w:val="DefaultParagraphFont"/>
    <w:link w:val="wordsection1"/>
    <w:uiPriority w:val="99"/>
    <w:locked/>
    <w:rsid w:val="00186EA2"/>
    <w:rPr>
      <w:rFonts w:ascii="Calibri" w:hAnsi="Calibri" w:cs="Calibri"/>
    </w:rPr>
  </w:style>
  <w:style w:type="paragraph" w:customStyle="1" w:styleId="wordsection1">
    <w:name w:val="wordsection1"/>
    <w:basedOn w:val="Normal"/>
    <w:link w:val="wordsection1Char"/>
    <w:uiPriority w:val="99"/>
    <w:rsid w:val="00186EA2"/>
    <w:pPr>
      <w:spacing w:before="100" w:beforeAutospacing="1" w:after="100" w:afterAutospacing="1" w:line="240" w:lineRule="auto"/>
    </w:pPr>
    <w:rPr>
      <w:rFonts w:ascii="Calibri" w:hAnsi="Calibri" w:cs="Calibri"/>
    </w:rPr>
  </w:style>
  <w:style w:type="paragraph" w:customStyle="1" w:styleId="xmsonormal">
    <w:name w:val="x_msonormal"/>
    <w:basedOn w:val="Normal"/>
    <w:rsid w:val="00B92DDF"/>
    <w:pPr>
      <w:spacing w:after="0" w:line="240" w:lineRule="auto"/>
    </w:pPr>
    <w:rPr>
      <w:rFonts w:ascii="Calibri" w:hAnsi="Calibri" w:cs="Calibri"/>
      <w:lang w:eastAsia="en-GB"/>
    </w:rPr>
  </w:style>
  <w:style w:type="paragraph" w:customStyle="1" w:styleId="xmsolistparagraph">
    <w:name w:val="x_msolistparagraph"/>
    <w:basedOn w:val="Normal"/>
    <w:rsid w:val="00B92DDF"/>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5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4C8"/>
    <w:rPr>
      <w:color w:val="605E5C"/>
      <w:shd w:val="clear" w:color="auto" w:fill="E1DFDD"/>
    </w:rPr>
  </w:style>
  <w:style w:type="character" w:styleId="PlaceholderText">
    <w:name w:val="Placeholder Text"/>
    <w:basedOn w:val="DefaultParagraphFont"/>
    <w:uiPriority w:val="99"/>
    <w:semiHidden/>
    <w:rsid w:val="00C3089D"/>
    <w:rPr>
      <w:color w:val="auto"/>
      <w:bdr w:val="none" w:sz="0" w:space="0" w:color="auto"/>
      <w:shd w:val="clear" w:color="auto" w:fill="FFFF00"/>
    </w:rPr>
  </w:style>
  <w:style w:type="paragraph" w:customStyle="1" w:styleId="Classification">
    <w:name w:val="Classification"/>
    <w:basedOn w:val="Normal"/>
    <w:uiPriority w:val="99"/>
    <w:semiHidden/>
    <w:rsid w:val="00C3089D"/>
    <w:pPr>
      <w:spacing w:after="0" w:line="240" w:lineRule="auto"/>
    </w:pPr>
    <w:rPr>
      <w:color w:val="768692"/>
      <w:szCs w:val="24"/>
    </w:rPr>
  </w:style>
  <w:style w:type="paragraph" w:styleId="Subtitle">
    <w:name w:val="Subtitle"/>
    <w:basedOn w:val="Normal"/>
    <w:next w:val="Date"/>
    <w:link w:val="SubtitleChar"/>
    <w:uiPriority w:val="19"/>
    <w:qFormat/>
    <w:rsid w:val="004206F9"/>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4206F9"/>
    <w:rPr>
      <w:rFonts w:ascii="Arial" w:eastAsiaTheme="minorEastAsia" w:hAnsi="Arial"/>
      <w:color w:val="005EB8"/>
      <w:sz w:val="28"/>
      <w:szCs w:val="24"/>
    </w:rPr>
  </w:style>
  <w:style w:type="paragraph" w:styleId="Date">
    <w:name w:val="Date"/>
    <w:basedOn w:val="Normal"/>
    <w:next w:val="Normal"/>
    <w:link w:val="DateChar"/>
    <w:uiPriority w:val="99"/>
    <w:semiHidden/>
    <w:unhideWhenUsed/>
    <w:rsid w:val="004206F9"/>
  </w:style>
  <w:style w:type="character" w:customStyle="1" w:styleId="DateChar">
    <w:name w:val="Date Char"/>
    <w:basedOn w:val="DefaultParagraphFont"/>
    <w:link w:val="Date"/>
    <w:uiPriority w:val="99"/>
    <w:semiHidden/>
    <w:rsid w:val="004206F9"/>
    <w:rPr>
      <w:rFonts w:ascii="Arial" w:hAnsi="Arial"/>
      <w:sz w:val="24"/>
    </w:rPr>
  </w:style>
  <w:style w:type="paragraph" w:styleId="Title">
    <w:name w:val="Title"/>
    <w:basedOn w:val="Normal"/>
    <w:next w:val="Normal"/>
    <w:link w:val="TitleChar"/>
    <w:uiPriority w:val="10"/>
    <w:qFormat/>
    <w:rsid w:val="007C7494"/>
    <w:pPr>
      <w:spacing w:after="200"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7C7494"/>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7C7494"/>
    <w:rPr>
      <w:color w:val="005EB8"/>
    </w:rPr>
  </w:style>
  <w:style w:type="character" w:customStyle="1" w:styleId="Heading4Char">
    <w:name w:val="Heading 4 Char"/>
    <w:basedOn w:val="DefaultParagraphFont"/>
    <w:link w:val="Heading4"/>
    <w:uiPriority w:val="9"/>
    <w:rsid w:val="00426DE1"/>
    <w:rPr>
      <w:rFonts w:ascii="Arial" w:hAnsi="Arial" w:cstheme="minorHAnsi"/>
      <w:b/>
      <w:sz w:val="24"/>
      <w:szCs w:val="24"/>
      <w:u w:val="single"/>
      <w:lang w:eastAsia="en-GB"/>
    </w:rPr>
  </w:style>
  <w:style w:type="character" w:customStyle="1" w:styleId="contentpasted0">
    <w:name w:val="contentpasted0"/>
    <w:basedOn w:val="DefaultParagraphFont"/>
    <w:rsid w:val="00C17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38398">
      <w:bodyDiv w:val="1"/>
      <w:marLeft w:val="0"/>
      <w:marRight w:val="0"/>
      <w:marTop w:val="0"/>
      <w:marBottom w:val="0"/>
      <w:divBdr>
        <w:top w:val="none" w:sz="0" w:space="0" w:color="auto"/>
        <w:left w:val="none" w:sz="0" w:space="0" w:color="auto"/>
        <w:bottom w:val="none" w:sz="0" w:space="0" w:color="auto"/>
        <w:right w:val="none" w:sz="0" w:space="0" w:color="auto"/>
      </w:divBdr>
    </w:div>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676616318">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20247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xml"/><Relationship Id="rId21" Type="http://schemas.openxmlformats.org/officeDocument/2006/relationships/hyperlink" Target="https://www.nice.org.uk/" TargetMode="External"/><Relationship Id="rId34" Type="http://schemas.openxmlformats.org/officeDocument/2006/relationships/hyperlink" Target="https://www.gov.uk/government/publications/influenza-the-green-book-chapter-19" TargetMode="External"/><Relationship Id="rId42" Type="http://schemas.openxmlformats.org/officeDocument/2006/relationships/hyperlink" Target="https://www.medicines.org.uk/emc/search?q=hydroxychloroquine" TargetMode="External"/><Relationship Id="rId47" Type="http://schemas.openxmlformats.org/officeDocument/2006/relationships/hyperlink" Target="https://www.medicines.org.uk/emc/product/477/smpc" TargetMode="External"/><Relationship Id="rId50" Type="http://schemas.openxmlformats.org/officeDocument/2006/relationships/hyperlink" Target="https://www.medicines.org.uk/emc/product/11540/smpc" TargetMode="External"/><Relationship Id="rId55" Type="http://schemas.openxmlformats.org/officeDocument/2006/relationships/hyperlink" Target="https://renaldrugdatabase.com/monographs/hydroxychloroquine-sulphate" TargetMode="External"/><Relationship Id="rId63" Type="http://schemas.openxmlformats.org/officeDocument/2006/relationships/hyperlink" Target="https://www.gmc-uk.org/ethical-guidance/ethical-guidance-for-doctors/good-practice-in-prescribing-and-managing-medicines-and-devices/shared-car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ao.org/education/clinical-statement/revised-recommendations-on-screening-chloroquine-h" TargetMode="External"/><Relationship Id="rId29" Type="http://schemas.openxmlformats.org/officeDocument/2006/relationships/hyperlink" Target="https://www.medicines.org.uk/emc/" TargetMode="External"/><Relationship Id="rId11" Type="http://schemas.openxmlformats.org/officeDocument/2006/relationships/image" Target="media/image1.png"/><Relationship Id="rId24" Type="http://schemas.openxmlformats.org/officeDocument/2006/relationships/hyperlink" Target="https://www.gov.uk/government/organisations/medicines-and-healthcare-products-regulatory-agency" TargetMode="External"/><Relationship Id="rId32" Type="http://schemas.openxmlformats.org/officeDocument/2006/relationships/hyperlink" Target="https://www.rcophth.ac.uk/resources-listing/2609/" TargetMode="External"/><Relationship Id="rId37" Type="http://schemas.openxmlformats.org/officeDocument/2006/relationships/hyperlink" Target="https://www.rcophth.ac.uk/resources-listing/2609/" TargetMode="External"/><Relationship Id="rId40" Type="http://schemas.openxmlformats.org/officeDocument/2006/relationships/hyperlink" Target="https://www.versusarthritis.org/about-arthritis/treatments/drugs/hydroxychloroquine/" TargetMode="External"/><Relationship Id="rId45" Type="http://schemas.openxmlformats.org/officeDocument/2006/relationships/hyperlink" Target="https://www.sps.nhs.uk/medicines/hydroxychloroquine/" TargetMode="External"/><Relationship Id="rId53" Type="http://schemas.openxmlformats.org/officeDocument/2006/relationships/hyperlink" Target="https://academic.oup.com/rheumatology/article/55/9/1693/1744535" TargetMode="External"/><Relationship Id="rId58" Type="http://schemas.openxmlformats.org/officeDocument/2006/relationships/hyperlink" Target="https://cks.nice.org.uk/topics/dmards/management/hydroxychloroquine/" TargetMode="External"/><Relationship Id="rId66"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s://www.sps.nhs.uk/articles/rmoc-shared-care-guidance/" TargetMode="External"/><Relationship Id="rId19" Type="http://schemas.openxmlformats.org/officeDocument/2006/relationships/hyperlink" Target="https://bnf.nice.org.uk/?" TargetMode="External"/><Relationship Id="rId14" Type="http://schemas.openxmlformats.org/officeDocument/2006/relationships/hyperlink" Target="https://www.england.nhs.uk/publication/hydroxychloroquine-and-chloroquine-retinopathy-monitoring/" TargetMode="External"/><Relationship Id="rId22" Type="http://schemas.openxmlformats.org/officeDocument/2006/relationships/hyperlink" Target="https://www.medicines.org.uk/emc/" TargetMode="External"/><Relationship Id="rId27" Type="http://schemas.openxmlformats.org/officeDocument/2006/relationships/header" Target="header1.xml"/><Relationship Id="rId30" Type="http://schemas.openxmlformats.org/officeDocument/2006/relationships/hyperlink" Target="https://bnf.nice.org.uk/drugs/" TargetMode="External"/><Relationship Id="rId35" Type="http://schemas.openxmlformats.org/officeDocument/2006/relationships/hyperlink" Target="https://www.gov.uk/government/publications/covid-19-the-green-book-chapter-14a" TargetMode="External"/><Relationship Id="rId43" Type="http://schemas.openxmlformats.org/officeDocument/2006/relationships/hyperlink" Target="https://academic.oup.com/rheumatology/article/55/9/1693/1744535" TargetMode="External"/><Relationship Id="rId48" Type="http://schemas.openxmlformats.org/officeDocument/2006/relationships/hyperlink" Target="https://www.medicines.org.uk/emc/product/1764/smpc" TargetMode="External"/><Relationship Id="rId56" Type="http://schemas.openxmlformats.org/officeDocument/2006/relationships/hyperlink" Target="https://www.rcophth.ac.uk/standards-publications-research/clinical-guidelines/" TargetMode="External"/><Relationship Id="rId64" Type="http://schemas.openxmlformats.org/officeDocument/2006/relationships/hyperlink" Target="https://www.nice.org.uk/guidance/ng197/" TargetMode="External"/><Relationship Id="rId8" Type="http://schemas.openxmlformats.org/officeDocument/2006/relationships/webSettings" Target="webSettings.xml"/><Relationship Id="rId51" Type="http://schemas.openxmlformats.org/officeDocument/2006/relationships/hyperlink" Target="https://www.medicines.org.uk/emc/product/11516/smpc" TargetMode="External"/><Relationship Id="rId3" Type="http://schemas.openxmlformats.org/officeDocument/2006/relationships/customXml" Target="../customXml/item3.xml"/><Relationship Id="rId12" Type="http://schemas.openxmlformats.org/officeDocument/2006/relationships/hyperlink" Target="https://www.rcophth.ac.uk/wp-content/uploads/2020/12/Hydroxychloroquine-and-Chloroquine-Retinopathy-Monitoring-Guideline.pdf" TargetMode="External"/><Relationship Id="rId17" Type="http://schemas.openxmlformats.org/officeDocument/2006/relationships/hyperlink" Target="https://www.england.nhs.uk/publication/hydroxychloroquine-and-chloroquine-retinopathy-monitoring/" TargetMode="External"/><Relationship Id="rId25" Type="http://schemas.openxmlformats.org/officeDocument/2006/relationships/hyperlink" Target="https://www.nice.org.uk/" TargetMode="External"/><Relationship Id="rId33" Type="http://schemas.openxmlformats.org/officeDocument/2006/relationships/hyperlink" Target="https://www.gov.uk/government/publications/shingles-herpes-zoster-the-green-book-chapter-28a" TargetMode="External"/><Relationship Id="rId38" Type="http://schemas.openxmlformats.org/officeDocument/2006/relationships/hyperlink" Target="https://www.gov.uk/driving-eyesight-rules" TargetMode="External"/><Relationship Id="rId46" Type="http://schemas.openxmlformats.org/officeDocument/2006/relationships/hyperlink" Target="https://bnf.nice.org.uk/drug/hydroxychloroquine-sulfate.html" TargetMode="External"/><Relationship Id="rId59" Type="http://schemas.openxmlformats.org/officeDocument/2006/relationships/hyperlink" Target="http://www.medicinescomplete.com" TargetMode="External"/><Relationship Id="rId67" Type="http://schemas.openxmlformats.org/officeDocument/2006/relationships/theme" Target="theme/theme1.xml"/><Relationship Id="rId20" Type="http://schemas.openxmlformats.org/officeDocument/2006/relationships/hyperlink" Target="https://www.gov.uk/government/organisations/medicines-and-healthcare-products-regulatory-agency" TargetMode="External"/><Relationship Id="rId41" Type="http://schemas.openxmlformats.org/officeDocument/2006/relationships/hyperlink" Target="https://www.bad.org.uk/for-the-public/patient-information-leaflets/hydroxychloroquine" TargetMode="External"/><Relationship Id="rId54" Type="http://schemas.openxmlformats.org/officeDocument/2006/relationships/hyperlink" Target="https://www.brit-thoracic.org.uk/quality-improvement/guideline-archive/" TargetMode="External"/><Relationship Id="rId62" Type="http://schemas.openxmlformats.org/officeDocument/2006/relationships/hyperlink" Target="https://www.england.nhs.uk/publication/responsibility-for-prescribing-between-primary-and-secondary-tertiary-car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cophth.ac.uk/wp-content/uploads/2020/12/Hydroxychloroquine-and-Chloroquine-Retinopathy-Monitoring-Guideline.pdf" TargetMode="External"/><Relationship Id="rId23" Type="http://schemas.openxmlformats.org/officeDocument/2006/relationships/hyperlink" Target="https://bnf.nice.org.uk/?" TargetMode="External"/><Relationship Id="rId28" Type="http://schemas.openxmlformats.org/officeDocument/2006/relationships/hyperlink" Target="https://bnf.nice.org.uk/drugs/" TargetMode="External"/><Relationship Id="rId36" Type="http://schemas.openxmlformats.org/officeDocument/2006/relationships/hyperlink" Target="http://www.mhra.gov.uk/yellowcard" TargetMode="External"/><Relationship Id="rId49" Type="http://schemas.openxmlformats.org/officeDocument/2006/relationships/hyperlink" Target="https://www.medicines.org.uk/emc/product/11326/smpc" TargetMode="External"/><Relationship Id="rId57" Type="http://schemas.openxmlformats.org/officeDocument/2006/relationships/hyperlink" Target="https://www.gov.uk/government/collections/immunisation-against-infectious-disease-the-green-book" TargetMode="External"/><Relationship Id="rId10" Type="http://schemas.openxmlformats.org/officeDocument/2006/relationships/endnotes" Target="endnotes.xml"/><Relationship Id="rId31" Type="http://schemas.openxmlformats.org/officeDocument/2006/relationships/hyperlink" Target="https://www.medicines.org.uk/emc/" TargetMode="External"/><Relationship Id="rId44" Type="http://schemas.openxmlformats.org/officeDocument/2006/relationships/hyperlink" Target="https://www.medicinesinpregnancy.org/Medicine--pregnancy/Hydroxychloroquine/" TargetMode="External"/><Relationship Id="rId52" Type="http://schemas.openxmlformats.org/officeDocument/2006/relationships/hyperlink" Target="https://academic.oup.com/rheumatology/article/56/6/865/3053478" TargetMode="External"/><Relationship Id="rId60" Type="http://schemas.openxmlformats.org/officeDocument/2006/relationships/hyperlink" Target="https://access.newtguidelines.com/H/Hydroxychloroquine.html"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ao.org/education/clinical-statement/revised-recommendations-on-screening-chloroquine-h" TargetMode="External"/><Relationship Id="rId18" Type="http://schemas.openxmlformats.org/officeDocument/2006/relationships/hyperlink" Target="https://www.medicines.org.uk/emc/" TargetMode="External"/><Relationship Id="rId39" Type="http://schemas.openxmlformats.org/officeDocument/2006/relationships/hyperlink" Target="https://patient.info/medicine/hydroxychloroquine-tablets-quinori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F48D3E909B47A192EC1B24CF5DFF71"/>
        <w:category>
          <w:name w:val="General"/>
          <w:gallery w:val="placeholder"/>
        </w:category>
        <w:types>
          <w:type w:val="bbPlcHdr"/>
        </w:types>
        <w:behaviors>
          <w:behavior w:val="content"/>
        </w:behaviors>
        <w:guid w:val="{6EA7887D-BDD1-472F-AD7C-59550BA9F8E7}"/>
      </w:docPartPr>
      <w:docPartBody>
        <w:p w:rsidR="006A364A" w:rsidRDefault="00CE510C" w:rsidP="00CE510C">
          <w:pPr>
            <w:pStyle w:val="7EF48D3E909B47A192EC1B24CF5DFF71"/>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C"/>
    <w:rsid w:val="000A283C"/>
    <w:rsid w:val="00166371"/>
    <w:rsid w:val="00310016"/>
    <w:rsid w:val="00446465"/>
    <w:rsid w:val="004A0F06"/>
    <w:rsid w:val="00595B0A"/>
    <w:rsid w:val="00631122"/>
    <w:rsid w:val="00665145"/>
    <w:rsid w:val="006A364A"/>
    <w:rsid w:val="007E254C"/>
    <w:rsid w:val="0094331A"/>
    <w:rsid w:val="00C63A37"/>
    <w:rsid w:val="00CE510C"/>
    <w:rsid w:val="00D9670D"/>
    <w:rsid w:val="00ED2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10C"/>
    <w:rPr>
      <w:color w:val="auto"/>
      <w:bdr w:val="none" w:sz="0" w:space="0" w:color="auto"/>
      <w:shd w:val="clear" w:color="auto" w:fill="FFFF00"/>
    </w:rPr>
  </w:style>
  <w:style w:type="paragraph" w:customStyle="1" w:styleId="7EF48D3E909B47A192EC1B24CF5DFF71">
    <w:name w:val="7EF48D3E909B47A192EC1B24CF5DFF71"/>
    <w:rsid w:val="00CE5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8974ED38BE4D40ABD0D3042C4A68F2" ma:contentTypeVersion="164" ma:contentTypeDescription="Create a new document." ma:contentTypeScope="" ma:versionID="63122503966e41ac3bbf3e022d7fa98c">
  <xsd:schema xmlns:xsd="http://www.w3.org/2001/XMLSchema" xmlns:xs="http://www.w3.org/2001/XMLSchema" xmlns:p="http://schemas.microsoft.com/office/2006/metadata/properties" xmlns:ns2="4512f041-31c9-4873-9aa3-f06e57144f25" xmlns:ns3="a9828ea0-a2d3-4f70-8da5-04d4217a29a9" targetNamespace="http://schemas.microsoft.com/office/2006/metadata/properties" ma:root="true" ma:fieldsID="ec3f157d75346aba75e35b7d3908f340" ns2:_="" ns3:_="">
    <xsd:import namespace="4512f041-31c9-4873-9aa3-f06e57144f25"/>
    <xsd:import namespace="a9828ea0-a2d3-4f70-8da5-04d4217a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2f041-31c9-4873-9aa3-f06e57144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28ea0-a2d3-4f70-8da5-04d4217a2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8f5a2c-574a-44c2-94c7-a606183d4442}" ma:internalName="TaxCatchAll" ma:showField="CatchAllData" ma:web="a9828ea0-a2d3-4f70-8da5-04d4217a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12f041-31c9-4873-9aa3-f06e57144f25">
      <Terms xmlns="http://schemas.microsoft.com/office/infopath/2007/PartnerControls"/>
    </lcf76f155ced4ddcb4097134ff3c332f>
    <TaxCatchAll xmlns="a9828ea0-a2d3-4f70-8da5-04d4217a29a9" xsi:nil="true"/>
    <ArchiverLinkFileType xmlns="4512f041-31c9-4873-9aa3-f06e57144f25" xsi:nil="true"/>
  </documentManagement>
</p:properties>
</file>

<file path=customXml/itemProps1.xml><?xml version="1.0" encoding="utf-8"?>
<ds:datastoreItem xmlns:ds="http://schemas.openxmlformats.org/officeDocument/2006/customXml" ds:itemID="{D847D958-FE84-46BC-A2C7-8228D9EF4FE2}">
  <ds:schemaRefs>
    <ds:schemaRef ds:uri="http://schemas.microsoft.com/sharepoint/v3/contenttype/forms"/>
  </ds:schemaRefs>
</ds:datastoreItem>
</file>

<file path=customXml/itemProps2.xml><?xml version="1.0" encoding="utf-8"?>
<ds:datastoreItem xmlns:ds="http://schemas.openxmlformats.org/officeDocument/2006/customXml" ds:itemID="{44863CDA-096B-464B-914D-C49013E1F56D}"/>
</file>

<file path=customXml/itemProps3.xml><?xml version="1.0" encoding="utf-8"?>
<ds:datastoreItem xmlns:ds="http://schemas.openxmlformats.org/officeDocument/2006/customXml" ds:itemID="{D92AB613-FC8C-4A8A-A705-DB449B687CB3}">
  <ds:schemaRefs>
    <ds:schemaRef ds:uri="http://schemas.openxmlformats.org/officeDocument/2006/bibliography"/>
  </ds:schemaRefs>
</ds:datastoreItem>
</file>

<file path=customXml/itemProps4.xml><?xml version="1.0" encoding="utf-8"?>
<ds:datastoreItem xmlns:ds="http://schemas.openxmlformats.org/officeDocument/2006/customXml" ds:itemID="{B5083591-FD7D-427C-94D0-8E6ABE21205E}">
  <ds:schemaRefs>
    <ds:schemaRef ds:uri="http://schemas.microsoft.com/office/2006/metadata/properties"/>
    <ds:schemaRef ds:uri="http://schemas.microsoft.com/office/infopath/2007/PartnerControls"/>
    <ds:schemaRef ds:uri="4512f041-31c9-4873-9aa3-f06e57144f25"/>
    <ds:schemaRef ds:uri="a9828ea0-a2d3-4f70-8da5-04d4217a29a9"/>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4587</Words>
  <Characters>28619</Characters>
  <Application>Microsoft Office Word</Application>
  <DocSecurity>8</DocSecurity>
  <Lines>659</Lines>
  <Paragraphs>323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Shaistah Qureshi (NHS South West London ICB)</cp:lastModifiedBy>
  <cp:revision>24</cp:revision>
  <cp:lastPrinted>2022-07-04T23:07:00Z</cp:lastPrinted>
  <dcterms:created xsi:type="dcterms:W3CDTF">2023-06-01T15:12:00Z</dcterms:created>
  <dcterms:modified xsi:type="dcterms:W3CDTF">2026-01-28T11:04:00Z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0x010100838974ED38BE4D40ABD0D3042C4A68F2</vt:lpwstr>
  </property>
  <property fmtid="{D5CDD505-2E9C-101B-9397-08002B2CF9AE}" pid="3" name="MediaServiceImageTags">
    <vt:lpwstr/>
  </property>
</Properties>
</file>