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F6472" w14:textId="77777777" w:rsidR="004753EF" w:rsidRDefault="004753EF" w:rsidP="004753EF">
      <w:pPr>
        <w:spacing w:after="0" w:line="240" w:lineRule="auto"/>
        <w:ind w:left="-709"/>
        <w:rPr>
          <w:rFonts w:cs="Arial"/>
          <w:b/>
          <w:bCs/>
          <w:szCs w:val="24"/>
        </w:rPr>
      </w:pPr>
    </w:p>
    <w:p w14:paraId="0B7FAC82" w14:textId="73046A50" w:rsidR="004753EF" w:rsidRPr="00C579DE" w:rsidRDefault="004753EF" w:rsidP="004753EF">
      <w:pPr>
        <w:spacing w:after="0" w:line="240" w:lineRule="auto"/>
        <w:ind w:left="-709"/>
        <w:rPr>
          <w:rFonts w:eastAsiaTheme="majorEastAsia" w:cstheme="majorBidi"/>
          <w:b/>
          <w:bCs/>
          <w:spacing w:val="-10"/>
          <w:kern w:val="28"/>
          <w:sz w:val="32"/>
          <w:szCs w:val="32"/>
        </w:rPr>
      </w:pPr>
      <w:r w:rsidRPr="00C579DE">
        <w:rPr>
          <w:rFonts w:eastAsiaTheme="majorEastAsia" w:cstheme="majorBidi"/>
          <w:b/>
          <w:bCs/>
          <w:spacing w:val="-10"/>
          <w:kern w:val="28"/>
          <w:sz w:val="32"/>
          <w:szCs w:val="32"/>
        </w:rPr>
        <w:t>National shared care protocol:</w:t>
      </w:r>
    </w:p>
    <w:p w14:paraId="329B7847" w14:textId="77777777" w:rsidR="004753EF" w:rsidRPr="00C579DE" w:rsidRDefault="004753EF" w:rsidP="004753EF">
      <w:pPr>
        <w:spacing w:after="0" w:line="240" w:lineRule="auto"/>
        <w:ind w:left="-709"/>
        <w:rPr>
          <w:rFonts w:eastAsiaTheme="majorEastAsia" w:cstheme="majorBidi"/>
          <w:b/>
          <w:bCs/>
          <w:spacing w:val="-10"/>
          <w:kern w:val="28"/>
          <w:sz w:val="32"/>
          <w:szCs w:val="32"/>
        </w:rPr>
      </w:pPr>
    </w:p>
    <w:p w14:paraId="7B5BA465" w14:textId="58DC24DE" w:rsidR="00A0218C" w:rsidRPr="00C579DE" w:rsidRDefault="00A0218C" w:rsidP="004753EF">
      <w:pPr>
        <w:spacing w:after="0" w:line="240" w:lineRule="auto"/>
        <w:ind w:left="-709"/>
        <w:rPr>
          <w:rFonts w:cs="Arial"/>
          <w:b/>
          <w:bCs/>
          <w:color w:val="0070C0"/>
          <w:sz w:val="32"/>
          <w:szCs w:val="32"/>
        </w:rPr>
      </w:pPr>
      <w:r w:rsidRPr="00C579DE">
        <w:rPr>
          <w:rFonts w:eastAsiaTheme="majorEastAsia" w:cstheme="majorBidi"/>
          <w:b/>
          <w:bCs/>
          <w:color w:val="0070C0"/>
          <w:spacing w:val="-10"/>
          <w:kern w:val="28"/>
          <w:sz w:val="32"/>
          <w:szCs w:val="32"/>
        </w:rPr>
        <w:t>Methotrexate (oral and subcutaneous) for patients in adult services (excluding cancer care)</w:t>
      </w:r>
    </w:p>
    <w:p w14:paraId="0BEDCEE3" w14:textId="60D345BC" w:rsidR="004206F9" w:rsidRPr="002D255E" w:rsidRDefault="00602218" w:rsidP="008A6852">
      <w:pPr>
        <w:pStyle w:val="Subtitle"/>
        <w:spacing w:before="240" w:after="120"/>
        <w:ind w:left="-680"/>
      </w:pPr>
      <w:r w:rsidRPr="004753EF">
        <w:rPr>
          <w:b/>
          <w:bCs/>
          <w:noProof/>
          <w:sz w:val="24"/>
        </w:rPr>
        <mc:AlternateContent>
          <mc:Choice Requires="wps">
            <w:drawing>
              <wp:anchor distT="45720" distB="45720" distL="114300" distR="114300" simplePos="0" relativeHeight="251658240" behindDoc="1" locked="0" layoutInCell="1" allowOverlap="1" wp14:anchorId="09449613" wp14:editId="72C70175">
                <wp:simplePos x="0" y="0"/>
                <wp:positionH relativeFrom="margin">
                  <wp:posOffset>-690880</wp:posOffset>
                </wp:positionH>
                <wp:positionV relativeFrom="paragraph">
                  <wp:posOffset>442595</wp:posOffset>
                </wp:positionV>
                <wp:extent cx="7162800" cy="6657975"/>
                <wp:effectExtent l="19050" t="19050" r="19050" b="28575"/>
                <wp:wrapThrough wrapText="bothSides">
                  <wp:wrapPolygon edited="0">
                    <wp:start x="-57" y="-62"/>
                    <wp:lineTo x="-57" y="21631"/>
                    <wp:lineTo x="21600" y="21631"/>
                    <wp:lineTo x="21600" y="-62"/>
                    <wp:lineTo x="-57" y="-62"/>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6657975"/>
                        </a:xfrm>
                        <a:prstGeom prst="rect">
                          <a:avLst/>
                        </a:prstGeom>
                        <a:noFill/>
                        <a:ln w="38100">
                          <a:solidFill>
                            <a:srgbClr val="00B050"/>
                          </a:solidFill>
                          <a:miter lim="800000"/>
                          <a:headEnd/>
                          <a:tailEnd/>
                        </a:ln>
                      </wps:spPr>
                      <wps:txbx>
                        <w:txbxContent>
                          <w:p w14:paraId="28B8C8B0" w14:textId="2C8DABDE" w:rsidR="00226760" w:rsidRPr="00FA6FA7" w:rsidRDefault="00F3490C" w:rsidP="00145418">
                            <w:pPr>
                              <w:spacing w:line="20" w:lineRule="atLeast"/>
                              <w:rPr>
                                <w:rStyle w:val="Hyperlink"/>
                                <w:rFonts w:cs="Arial"/>
                                <w:b/>
                                <w:bCs/>
                                <w:color w:val="auto"/>
                                <w:sz w:val="22"/>
                                <w:u w:val="none"/>
                              </w:rPr>
                            </w:pPr>
                            <w:r w:rsidRPr="00AC53CF">
                              <w:rPr>
                                <w:rFonts w:cstheme="minorHAnsi"/>
                                <w:b/>
                                <w:bCs/>
                                <w:color w:val="005EB8"/>
                                <w:sz w:val="28"/>
                              </w:rPr>
                              <w:t>SWL</w:t>
                            </w:r>
                            <w:r w:rsidR="00226760" w:rsidRPr="00AC53CF">
                              <w:rPr>
                                <w:rFonts w:cstheme="minorHAnsi"/>
                                <w:b/>
                                <w:bCs/>
                                <w:color w:val="005EB8"/>
                                <w:sz w:val="28"/>
                              </w:rPr>
                              <w:t xml:space="preserve"> </w:t>
                            </w:r>
                            <w:r w:rsidR="00AC53CF">
                              <w:rPr>
                                <w:rFonts w:cstheme="minorHAnsi"/>
                                <w:b/>
                                <w:bCs/>
                                <w:color w:val="005EB8"/>
                                <w:sz w:val="28"/>
                              </w:rPr>
                              <w:t xml:space="preserve">Local </w:t>
                            </w:r>
                            <w:r w:rsidR="00AC53CF" w:rsidRPr="004753EF">
                              <w:rPr>
                                <w:rFonts w:cstheme="minorHAnsi"/>
                                <w:b/>
                                <w:bCs/>
                                <w:color w:val="0070C0"/>
                                <w:sz w:val="28"/>
                              </w:rPr>
                              <w:t>Adaptation</w:t>
                            </w:r>
                            <w:r w:rsidR="00145418">
                              <w:rPr>
                                <w:rFonts w:cs="Arial"/>
                                <w:b/>
                                <w:bCs/>
                                <w:sz w:val="22"/>
                              </w:rPr>
                              <w:br/>
                            </w:r>
                            <w:r>
                              <w:rPr>
                                <w:rFonts w:cs="Arial"/>
                                <w:b/>
                                <w:bCs/>
                                <w:sz w:val="22"/>
                              </w:rPr>
                              <w:t>November</w:t>
                            </w:r>
                            <w:r w:rsidR="00226760">
                              <w:rPr>
                                <w:rFonts w:cs="Arial"/>
                                <w:b/>
                                <w:bCs/>
                                <w:sz w:val="22"/>
                              </w:rPr>
                              <w:t xml:space="preserve"> 202</w:t>
                            </w:r>
                            <w:r>
                              <w:rPr>
                                <w:rFonts w:cs="Arial"/>
                                <w:b/>
                                <w:bCs/>
                                <w:sz w:val="22"/>
                              </w:rPr>
                              <w:t>2</w:t>
                            </w:r>
                            <w:r w:rsidR="007B6D20">
                              <w:rPr>
                                <w:rFonts w:cs="Arial"/>
                                <w:b/>
                                <w:bCs/>
                                <w:sz w:val="22"/>
                              </w:rPr>
                              <w:br/>
                            </w:r>
                            <w:r w:rsidR="00FA6FA7">
                              <w:rPr>
                                <w:rFonts w:cs="Arial"/>
                                <w:b/>
                                <w:bCs/>
                                <w:sz w:val="22"/>
                              </w:rPr>
                              <w:br/>
                            </w:r>
                            <w:r w:rsidR="00226760" w:rsidRPr="006B5715">
                              <w:rPr>
                                <w:rFonts w:cs="Arial"/>
                                <w:sz w:val="22"/>
                              </w:rPr>
                              <w:t xml:space="preserve">Please </w:t>
                            </w:r>
                            <w:r w:rsidR="00226760">
                              <w:rPr>
                                <w:rFonts w:cs="Arial"/>
                                <w:sz w:val="22"/>
                              </w:rPr>
                              <w:t xml:space="preserve">follow link to </w:t>
                            </w:r>
                            <w:r w:rsidR="00226760" w:rsidRPr="006B5715">
                              <w:rPr>
                                <w:rFonts w:cs="Arial"/>
                                <w:sz w:val="22"/>
                              </w:rPr>
                              <w:t>local amendment regarding</w:t>
                            </w:r>
                            <w:r w:rsidR="00226760" w:rsidRPr="00110AD5">
                              <w:rPr>
                                <w:rFonts w:cs="Arial"/>
                                <w:b/>
                                <w:bCs/>
                                <w:sz w:val="22"/>
                              </w:rPr>
                              <w:t xml:space="preserve"> </w:t>
                            </w:r>
                            <w:hyperlink w:anchor="_Locally_agreed_off-label" w:history="1">
                              <w:r w:rsidR="00226760" w:rsidRPr="00226760">
                                <w:rPr>
                                  <w:rStyle w:val="Hyperlink"/>
                                  <w:rFonts w:cs="Arial"/>
                                  <w:sz w:val="22"/>
                                  <w:lang w:eastAsia="en-GB"/>
                                </w:rPr>
                                <w:t>Locally agreed off-label use</w:t>
                              </w:r>
                            </w:hyperlink>
                          </w:p>
                          <w:p w14:paraId="53F7D796" w14:textId="36D5672A" w:rsidR="00226760" w:rsidRPr="00DD4221" w:rsidRDefault="00226760" w:rsidP="00226760">
                            <w:pPr>
                              <w:pStyle w:val="ListParagraph"/>
                              <w:numPr>
                                <w:ilvl w:val="0"/>
                                <w:numId w:val="35"/>
                              </w:numPr>
                              <w:spacing w:before="60"/>
                              <w:rPr>
                                <w:rFonts w:eastAsia="Arial" w:cs="Arial"/>
                                <w:sz w:val="22"/>
                              </w:rPr>
                            </w:pPr>
                            <w:r w:rsidRPr="00CB33F5">
                              <w:rPr>
                                <w:rFonts w:eastAsia="Arial" w:cs="Arial"/>
                                <w:color w:val="000000"/>
                                <w:sz w:val="22"/>
                              </w:rPr>
                              <w:t xml:space="preserve">The word ‘normally’ under </w:t>
                            </w:r>
                            <w:hyperlink w:anchor="_Specialist_responsibilities" w:history="1">
                              <w:r w:rsidRPr="00CB33F5">
                                <w:rPr>
                                  <w:rStyle w:val="Hyperlink"/>
                                  <w:rFonts w:eastAsia="Arial" w:cs="Arial"/>
                                  <w:sz w:val="22"/>
                                </w:rPr>
                                <w:t>specialist responsibilities</w:t>
                              </w:r>
                            </w:hyperlink>
                            <w:r w:rsidRPr="00CB33F5">
                              <w:rPr>
                                <w:rFonts w:eastAsia="Arial" w:cs="Arial"/>
                                <w:color w:val="000000"/>
                                <w:sz w:val="22"/>
                              </w:rPr>
                              <w:t xml:space="preserve"> section bullet point 6 and </w:t>
                            </w:r>
                            <w:hyperlink w:anchor="_Initiation_and_ongoing" w:history="1">
                              <w:r w:rsidRPr="00CB33F5">
                                <w:rPr>
                                  <w:rStyle w:val="Hyperlink"/>
                                  <w:rFonts w:eastAsia="Arial" w:cs="Arial"/>
                                  <w:sz w:val="22"/>
                                </w:rPr>
                                <w:t>section 5</w:t>
                              </w:r>
                            </w:hyperlink>
                            <w:r w:rsidRPr="00CB33F5">
                              <w:rPr>
                                <w:rFonts w:eastAsia="Arial" w:cs="Arial"/>
                                <w:color w:val="000000"/>
                                <w:sz w:val="22"/>
                              </w:rPr>
                              <w:t>, first bullet point has been deleted</w:t>
                            </w:r>
                            <w:r w:rsidR="00977F05">
                              <w:rPr>
                                <w:rFonts w:eastAsia="Arial" w:cs="Arial"/>
                                <w:color w:val="000000"/>
                                <w:sz w:val="22"/>
                              </w:rPr>
                              <w:t>: ‘</w:t>
                            </w:r>
                            <w:r w:rsidR="00977F05" w:rsidRPr="00744A1A">
                              <w:rPr>
                                <w:rFonts w:eastAsia="Arial" w:cs="Arial"/>
                                <w:color w:val="000000"/>
                                <w:sz w:val="22"/>
                              </w:rPr>
                              <w:t xml:space="preserve">Transfer to primary care is </w:t>
                            </w:r>
                            <w:r w:rsidR="00977F05" w:rsidRPr="00744A1A">
                              <w:rPr>
                                <w:rFonts w:eastAsia="Arial" w:cs="Arial"/>
                                <w:strike/>
                                <w:color w:val="000000"/>
                                <w:sz w:val="22"/>
                              </w:rPr>
                              <w:t>normally</w:t>
                            </w:r>
                            <w:r w:rsidR="00977F05" w:rsidRPr="00744A1A">
                              <w:rPr>
                                <w:rFonts w:eastAsia="Arial" w:cs="Arial"/>
                                <w:color w:val="000000"/>
                                <w:sz w:val="22"/>
                              </w:rPr>
                              <w:t xml:space="preserve"> after the patient has been treated for 3 months and with satisfactory investigation results for at least 4 weeks.</w:t>
                            </w:r>
                            <w:r w:rsidR="00977F05">
                              <w:rPr>
                                <w:rFonts w:eastAsia="Arial" w:cs="Arial"/>
                                <w:color w:val="000000"/>
                                <w:sz w:val="22"/>
                              </w:rPr>
                              <w:t>’</w:t>
                            </w:r>
                            <w:r w:rsidRPr="00CB33F5">
                              <w:rPr>
                                <w:rFonts w:eastAsia="Arial" w:cs="Arial"/>
                                <w:color w:val="000000"/>
                                <w:sz w:val="22"/>
                              </w:rPr>
                              <w:t xml:space="preserve"> </w:t>
                            </w:r>
                          </w:p>
                          <w:p w14:paraId="1357D172" w14:textId="77777777" w:rsidR="004A6143" w:rsidRPr="004A6143" w:rsidRDefault="00DD1BEA" w:rsidP="004A6143">
                            <w:pPr>
                              <w:pStyle w:val="ListParagraph"/>
                              <w:numPr>
                                <w:ilvl w:val="0"/>
                                <w:numId w:val="35"/>
                              </w:numPr>
                              <w:spacing w:before="60"/>
                              <w:rPr>
                                <w:rFonts w:eastAsia="Arial" w:cs="Arial"/>
                                <w:sz w:val="22"/>
                              </w:rPr>
                            </w:pPr>
                            <w:r>
                              <w:rPr>
                                <w:rFonts w:eastAsia="Arial" w:cs="Arial"/>
                                <w:color w:val="000000"/>
                                <w:sz w:val="22"/>
                              </w:rPr>
                              <w:t>The following amendments have been made to section 8 and section 9 of the document:</w:t>
                            </w:r>
                          </w:p>
                          <w:p w14:paraId="733751F5" w14:textId="33C730BA" w:rsidR="00ED20C6" w:rsidRPr="00ED20C6" w:rsidRDefault="00DD1BEA" w:rsidP="00A712E9">
                            <w:pPr>
                              <w:pStyle w:val="ListParagraph"/>
                              <w:numPr>
                                <w:ilvl w:val="1"/>
                                <w:numId w:val="35"/>
                              </w:numPr>
                              <w:spacing w:before="60"/>
                              <w:rPr>
                                <w:rFonts w:eastAsia="Arial" w:cs="Arial"/>
                                <w:sz w:val="22"/>
                              </w:rPr>
                            </w:pPr>
                            <w:hyperlink w:anchor="_Baseline_investigations,_initial" w:history="1">
                              <w:r w:rsidRPr="00A346D8">
                                <w:rPr>
                                  <w:rStyle w:val="Hyperlink"/>
                                  <w:rFonts w:eastAsia="Arial" w:cs="Arial"/>
                                  <w:sz w:val="22"/>
                                </w:rPr>
                                <w:t>Section 8</w:t>
                              </w:r>
                            </w:hyperlink>
                            <w:r w:rsidR="000B7E25">
                              <w:rPr>
                                <w:rFonts w:eastAsia="Arial" w:cs="Arial"/>
                                <w:color w:val="000000"/>
                                <w:sz w:val="22"/>
                              </w:rPr>
                              <w:t xml:space="preserve"> </w:t>
                            </w:r>
                            <w:r w:rsidR="004A6143" w:rsidRPr="004A6143">
                              <w:rPr>
                                <w:rFonts w:eastAsia="Arial" w:cs="Arial"/>
                                <w:color w:val="000000"/>
                                <w:sz w:val="22"/>
                              </w:rPr>
                              <w:t>We have added</w:t>
                            </w:r>
                            <w:r w:rsidR="00857C50">
                              <w:rPr>
                                <w:rFonts w:eastAsia="Arial" w:cs="Arial"/>
                                <w:color w:val="000000"/>
                                <w:sz w:val="22"/>
                              </w:rPr>
                              <w:t xml:space="preserve"> a new subheading called</w:t>
                            </w:r>
                            <w:r w:rsidR="004A6143" w:rsidRPr="004A6143">
                              <w:rPr>
                                <w:rFonts w:eastAsia="Arial" w:cs="Arial"/>
                                <w:color w:val="000000"/>
                                <w:sz w:val="22"/>
                              </w:rPr>
                              <w:t xml:space="preserve"> </w:t>
                            </w:r>
                            <w:r w:rsidR="004A6143" w:rsidRPr="00857C50">
                              <w:rPr>
                                <w:rFonts w:eastAsia="Arial" w:cs="Arial"/>
                                <w:b/>
                                <w:bCs/>
                                <w:color w:val="000000"/>
                                <w:sz w:val="22"/>
                              </w:rPr>
                              <w:t>ongoing monitoring</w:t>
                            </w:r>
                            <w:r w:rsidR="00DB1695">
                              <w:rPr>
                                <w:rFonts w:eastAsia="Arial" w:cs="Arial"/>
                                <w:b/>
                                <w:bCs/>
                                <w:color w:val="000000"/>
                                <w:sz w:val="22"/>
                              </w:rPr>
                              <w:t xml:space="preserve"> </w:t>
                            </w:r>
                            <w:r w:rsidR="00DB1695" w:rsidRPr="00DB1695">
                              <w:rPr>
                                <w:rFonts w:eastAsia="Arial" w:cs="Arial"/>
                                <w:color w:val="000000"/>
                                <w:sz w:val="22"/>
                              </w:rPr>
                              <w:t>which states that</w:t>
                            </w:r>
                            <w:r w:rsidR="00DB1695">
                              <w:rPr>
                                <w:rFonts w:eastAsia="Arial" w:cs="Arial"/>
                                <w:b/>
                                <w:bCs/>
                                <w:color w:val="000000"/>
                                <w:sz w:val="22"/>
                              </w:rPr>
                              <w:t xml:space="preserve"> </w:t>
                            </w:r>
                            <w:r w:rsidR="004A6143" w:rsidRPr="00DB1695">
                              <w:rPr>
                                <w:rFonts w:eastAsia="Times New Roman" w:cstheme="minorHAnsi"/>
                                <w:b/>
                                <w:bCs/>
                                <w:sz w:val="22"/>
                                <w:lang w:eastAsia="en-GB"/>
                              </w:rPr>
                              <w:t>Psoriasis patients: serum PIIINP: This test is to remain with the specialist</w:t>
                            </w:r>
                            <w:r w:rsidR="004A6143" w:rsidRPr="004A6143">
                              <w:rPr>
                                <w:rFonts w:eastAsia="Times New Roman" w:cstheme="minorHAnsi"/>
                                <w:sz w:val="22"/>
                                <w:lang w:eastAsia="en-GB"/>
                              </w:rPr>
                              <w:t>.</w:t>
                            </w:r>
                            <w:r w:rsidR="002A4A0C">
                              <w:rPr>
                                <w:rFonts w:eastAsia="Times New Roman" w:cstheme="minorHAnsi"/>
                                <w:sz w:val="22"/>
                                <w:lang w:eastAsia="en-GB"/>
                              </w:rPr>
                              <w:t xml:space="preserve"> Rationale:</w:t>
                            </w:r>
                            <w:r w:rsidR="004A6143" w:rsidRPr="004A6143">
                              <w:rPr>
                                <w:rFonts w:eastAsia="Times New Roman" w:cstheme="minorHAnsi"/>
                                <w:sz w:val="22"/>
                                <w:lang w:eastAsia="en-GB"/>
                              </w:rPr>
                              <w:t xml:space="preserve"> </w:t>
                            </w:r>
                            <w:r w:rsidR="00ED20C6">
                              <w:rPr>
                                <w:rFonts w:eastAsia="Times New Roman" w:cstheme="minorHAnsi"/>
                                <w:sz w:val="22"/>
                                <w:lang w:eastAsia="en-GB"/>
                              </w:rPr>
                              <w:t>Previously the National shared care document suggested GPs in primary care could do this test</w:t>
                            </w:r>
                            <w:r w:rsidR="00BE15E9">
                              <w:rPr>
                                <w:rFonts w:eastAsia="Times New Roman" w:cstheme="minorHAnsi"/>
                                <w:sz w:val="22"/>
                                <w:lang w:eastAsia="en-GB"/>
                              </w:rPr>
                              <w:t>, i</w:t>
                            </w:r>
                            <w:r w:rsidR="00AF2D7B">
                              <w:rPr>
                                <w:rFonts w:eastAsia="Times New Roman" w:cstheme="minorHAnsi"/>
                                <w:sz w:val="22"/>
                                <w:lang w:eastAsia="en-GB"/>
                              </w:rPr>
                              <w:t xml:space="preserve">t was agreed locally </w:t>
                            </w:r>
                            <w:r w:rsidR="00ED20C6">
                              <w:rPr>
                                <w:rFonts w:eastAsia="Times New Roman" w:cstheme="minorHAnsi"/>
                                <w:sz w:val="22"/>
                                <w:lang w:eastAsia="en-GB"/>
                              </w:rPr>
                              <w:t xml:space="preserve">that this test should remain with the specialist. </w:t>
                            </w:r>
                          </w:p>
                          <w:p w14:paraId="74ECD87C" w14:textId="207ACFFA" w:rsidR="00DD1BEA" w:rsidRPr="00CB33F5" w:rsidRDefault="002A4A0C" w:rsidP="00A712E9">
                            <w:pPr>
                              <w:pStyle w:val="ListParagraph"/>
                              <w:numPr>
                                <w:ilvl w:val="1"/>
                                <w:numId w:val="35"/>
                              </w:numPr>
                              <w:spacing w:before="60"/>
                              <w:rPr>
                                <w:rFonts w:eastAsia="Arial" w:cs="Arial"/>
                                <w:sz w:val="22"/>
                              </w:rPr>
                            </w:pPr>
                            <w:hyperlink w:anchor="_Ongoing_monitoring_requirements" w:history="1">
                              <w:r w:rsidRPr="00A346D8">
                                <w:rPr>
                                  <w:rStyle w:val="Hyperlink"/>
                                  <w:rFonts w:eastAsia="Arial" w:cs="Arial"/>
                                  <w:sz w:val="22"/>
                                </w:rPr>
                                <w:t>Section 9</w:t>
                              </w:r>
                            </w:hyperlink>
                            <w:r w:rsidR="000B7E25">
                              <w:rPr>
                                <w:rFonts w:eastAsia="Arial" w:cs="Arial"/>
                                <w:sz w:val="22"/>
                              </w:rPr>
                              <w:t xml:space="preserve"> </w:t>
                            </w:r>
                            <w:r>
                              <w:rPr>
                                <w:rFonts w:eastAsia="Arial" w:cs="Arial"/>
                                <w:sz w:val="22"/>
                              </w:rPr>
                              <w:t>To re-iterate the above amendment, we have added the following</w:t>
                            </w:r>
                            <w:r w:rsidR="00DE6351">
                              <w:rPr>
                                <w:rFonts w:eastAsia="Arial" w:cs="Arial"/>
                                <w:sz w:val="22"/>
                              </w:rPr>
                              <w:t xml:space="preserve"> wording</w:t>
                            </w:r>
                            <w:r w:rsidR="000B7E25">
                              <w:rPr>
                                <w:rFonts w:eastAsia="Arial" w:cs="Arial"/>
                                <w:sz w:val="22"/>
                              </w:rPr>
                              <w:t>:</w:t>
                            </w:r>
                            <w:r w:rsidR="00DE6351">
                              <w:rPr>
                                <w:rFonts w:eastAsia="Arial" w:cs="Arial"/>
                                <w:sz w:val="22"/>
                              </w:rPr>
                              <w:t xml:space="preserve"> </w:t>
                            </w:r>
                            <w:r w:rsidR="00DE6351" w:rsidRPr="00DE6351">
                              <w:rPr>
                                <w:rFonts w:eastAsia="Times New Roman" w:cstheme="minorHAnsi"/>
                                <w:sz w:val="22"/>
                                <w:szCs w:val="20"/>
                                <w:lang w:eastAsia="en-GB"/>
                              </w:rPr>
                              <w:t xml:space="preserve">Psoriasis patients: serum PIIINP – </w:t>
                            </w:r>
                            <w:r w:rsidR="00DE6351" w:rsidRPr="00DE6351">
                              <w:rPr>
                                <w:rFonts w:eastAsia="Times New Roman" w:cstheme="minorHAnsi"/>
                                <w:b/>
                                <w:bCs/>
                                <w:sz w:val="22"/>
                                <w:szCs w:val="20"/>
                                <w:lang w:eastAsia="en-GB"/>
                              </w:rPr>
                              <w:t>this test remains with the specialist.</w:t>
                            </w:r>
                            <w:r w:rsidR="000A34EE">
                              <w:rPr>
                                <w:rFonts w:eastAsia="Times New Roman" w:cstheme="minorHAnsi"/>
                                <w:b/>
                                <w:bCs/>
                                <w:sz w:val="22"/>
                                <w:szCs w:val="20"/>
                                <w:lang w:eastAsia="en-GB"/>
                              </w:rPr>
                              <w:t xml:space="preserve"> See section 8. </w:t>
                            </w:r>
                          </w:p>
                          <w:p w14:paraId="287848FB" w14:textId="44AB7D8B" w:rsidR="00226760" w:rsidRPr="00CB33F5" w:rsidRDefault="00226760" w:rsidP="00226760">
                            <w:pPr>
                              <w:pStyle w:val="ListParagraph"/>
                              <w:numPr>
                                <w:ilvl w:val="0"/>
                                <w:numId w:val="35"/>
                              </w:numPr>
                              <w:rPr>
                                <w:rFonts w:eastAsia="Arial" w:cs="Arial"/>
                                <w:color w:val="000000" w:themeColor="text1"/>
                                <w:sz w:val="22"/>
                              </w:rPr>
                            </w:pPr>
                            <w:r w:rsidRPr="00CB33F5">
                              <w:rPr>
                                <w:rFonts w:eastAsia="Times New Roman" w:cs="Arial"/>
                                <w:sz w:val="22"/>
                                <w:lang w:eastAsia="en-GB"/>
                              </w:rPr>
                              <w:t xml:space="preserve">To reiterate, as stated in </w:t>
                            </w:r>
                            <w:hyperlink w:anchor="_Baseline_investigations,_initial" w:history="1">
                              <w:r w:rsidRPr="00CB33F5">
                                <w:rPr>
                                  <w:rStyle w:val="Hyperlink"/>
                                  <w:rFonts w:eastAsia="Times New Roman" w:cs="Arial"/>
                                  <w:sz w:val="22"/>
                                  <w:lang w:eastAsia="en-GB"/>
                                </w:rPr>
                                <w:t>section 8</w:t>
                              </w:r>
                            </w:hyperlink>
                            <w:r w:rsidRPr="00CB33F5">
                              <w:rPr>
                                <w:rFonts w:eastAsia="Times New Roman" w:cs="Arial"/>
                                <w:sz w:val="22"/>
                                <w:lang w:eastAsia="en-GB"/>
                              </w:rPr>
                              <w:t>: ‘</w:t>
                            </w:r>
                            <w:r w:rsidRPr="00CB33F5">
                              <w:rPr>
                                <w:rFonts w:eastAsia="Arial" w:cs="Arial"/>
                                <w:sz w:val="22"/>
                              </w:rPr>
                              <w:t>The specialist will retain the responsibility for monitoring the patient’s ongoing response to treatment and advise if a dose change or treatment cessation is appropriate. This should usually be undertaken annually.</w:t>
                            </w:r>
                            <w:r w:rsidR="00CD1026">
                              <w:rPr>
                                <w:rFonts w:eastAsia="Arial" w:cs="Arial"/>
                                <w:sz w:val="22"/>
                              </w:rPr>
                              <w:t xml:space="preserve"> </w:t>
                            </w:r>
                            <w:r w:rsidR="00CD1026" w:rsidRPr="00CD1026">
                              <w:rPr>
                                <w:rFonts w:eastAsia="Times New Roman" w:cs="Arial"/>
                                <w:sz w:val="22"/>
                                <w:lang w:eastAsia="en-GB"/>
                              </w:rPr>
                              <w:t xml:space="preserve">When a patient is reviewed, advise primary care whether treatment should be continued, confirm the ongoing dose, and whether the ongoing monitoring outlined in </w:t>
                            </w:r>
                            <w:hyperlink w:anchor="Nine_primary_care_monitoring" w:history="1">
                              <w:r w:rsidR="00CD1026" w:rsidRPr="00CD1026">
                                <w:rPr>
                                  <w:rStyle w:val="Hyperlink"/>
                                  <w:rFonts w:eastAsia="Times New Roman" w:cs="Arial"/>
                                  <w:sz w:val="22"/>
                                  <w:lang w:eastAsia="en-GB"/>
                                </w:rPr>
                                <w:t>section 9</w:t>
                              </w:r>
                            </w:hyperlink>
                            <w:r w:rsidR="00CD1026" w:rsidRPr="00CD1026">
                              <w:rPr>
                                <w:rFonts w:eastAsia="Times New Roman" w:cs="Arial"/>
                                <w:sz w:val="22"/>
                                <w:lang w:eastAsia="en-GB"/>
                              </w:rPr>
                              <w:t xml:space="preserve"> remains appropriate.</w:t>
                            </w:r>
                            <w:r w:rsidRPr="00CD1026">
                              <w:rPr>
                                <w:rFonts w:eastAsia="Arial" w:cs="Arial"/>
                                <w:sz w:val="22"/>
                              </w:rPr>
                              <w:t>’</w:t>
                            </w:r>
                          </w:p>
                          <w:p w14:paraId="0DA69AD3" w14:textId="6F56C693" w:rsidR="00BF1375" w:rsidRPr="008B646E" w:rsidRDefault="001C409F" w:rsidP="00226760">
                            <w:pPr>
                              <w:pStyle w:val="ListParagraph"/>
                              <w:numPr>
                                <w:ilvl w:val="0"/>
                                <w:numId w:val="35"/>
                              </w:numPr>
                              <w:rPr>
                                <w:rFonts w:eastAsia="Arial" w:cs="Arial"/>
                                <w:color w:val="000000" w:themeColor="text1"/>
                                <w:sz w:val="22"/>
                              </w:rPr>
                            </w:pPr>
                            <w:hyperlink w:anchor="_Pregnancy,_paternal_exposure" w:history="1">
                              <w:r w:rsidRPr="00CB33F5">
                                <w:rPr>
                                  <w:rStyle w:val="Hyperlink"/>
                                  <w:rFonts w:eastAsia="Times New Roman" w:cstheme="minorHAnsi"/>
                                  <w:sz w:val="22"/>
                                  <w:lang w:eastAsia="en-GB"/>
                                </w:rPr>
                                <w:t>Section 12</w:t>
                              </w:r>
                            </w:hyperlink>
                            <w:r w:rsidRPr="00CB33F5">
                              <w:rPr>
                                <w:rFonts w:eastAsia="Times New Roman" w:cstheme="minorHAnsi"/>
                                <w:color w:val="000000"/>
                                <w:sz w:val="22"/>
                                <w:lang w:eastAsia="en-GB"/>
                              </w:rPr>
                              <w:t xml:space="preserve"> (</w:t>
                            </w:r>
                            <w:r w:rsidRPr="00CB33F5">
                              <w:rPr>
                                <w:sz w:val="22"/>
                                <w:lang w:eastAsia="en-GB"/>
                              </w:rPr>
                              <w:t>Pregnancy, paternal exposure and breast feeding</w:t>
                            </w:r>
                            <w:r w:rsidRPr="00CB33F5">
                              <w:rPr>
                                <w:rFonts w:eastAsia="Times New Roman" w:cstheme="minorHAnsi"/>
                                <w:color w:val="000000"/>
                                <w:sz w:val="22"/>
                                <w:lang w:eastAsia="en-GB"/>
                              </w:rPr>
                              <w:t xml:space="preserve"> ) has the added information which states that the British Society of Rheumatology provides further guidance on methotrexate and pregnancy which clinicians may wish to consider available via the following link: </w:t>
                            </w:r>
                            <w:hyperlink r:id="rId11" w:history="1">
                              <w:r w:rsidRPr="00CB33F5">
                                <w:rPr>
                                  <w:rStyle w:val="Hyperlink"/>
                                  <w:sz w:val="22"/>
                                  <w:lang w:eastAsia="en-GB"/>
                                </w:rPr>
                                <w:t>https://academic.oup.com/rheumatology/article/55/9/1693/1744535</w:t>
                              </w:r>
                            </w:hyperlink>
                          </w:p>
                          <w:p w14:paraId="7FC956C7" w14:textId="5168518E" w:rsidR="008B646E" w:rsidRPr="0071745B" w:rsidRDefault="008B646E" w:rsidP="00226760">
                            <w:pPr>
                              <w:pStyle w:val="ListParagraph"/>
                              <w:numPr>
                                <w:ilvl w:val="0"/>
                                <w:numId w:val="35"/>
                              </w:numPr>
                              <w:rPr>
                                <w:rStyle w:val="Hyperlink"/>
                                <w:rFonts w:eastAsia="Arial" w:cs="Arial"/>
                                <w:color w:val="000000" w:themeColor="text1"/>
                                <w:sz w:val="22"/>
                                <w:u w:val="none"/>
                              </w:rPr>
                            </w:pPr>
                            <w:r>
                              <w:rPr>
                                <w:color w:val="000000"/>
                                <w:sz w:val="22"/>
                                <w:lang w:eastAsia="en-GB"/>
                              </w:rPr>
                              <w:t xml:space="preserve">Local waste management services included in </w:t>
                            </w:r>
                            <w:hyperlink w:anchor="_Additional_information_Back" w:history="1">
                              <w:r w:rsidRPr="0005473B">
                                <w:rPr>
                                  <w:rStyle w:val="Hyperlink"/>
                                  <w:sz w:val="22"/>
                                  <w:lang w:eastAsia="en-GB"/>
                                </w:rPr>
                                <w:t>Section 14</w:t>
                              </w:r>
                            </w:hyperlink>
                          </w:p>
                          <w:p w14:paraId="4724A876" w14:textId="77777777" w:rsidR="0071745B" w:rsidRPr="008A6852" w:rsidRDefault="0071745B" w:rsidP="0071745B">
                            <w:pPr>
                              <w:pStyle w:val="ListParagraph"/>
                              <w:ind w:left="360"/>
                              <w:rPr>
                                <w:rStyle w:val="Hyperlink"/>
                                <w:rFonts w:eastAsia="Arial" w:cs="Arial"/>
                                <w:color w:val="000000" w:themeColor="text1"/>
                                <w:sz w:val="22"/>
                                <w:u w:val="none"/>
                              </w:rPr>
                            </w:pPr>
                          </w:p>
                          <w:p w14:paraId="210108BC" w14:textId="77777777" w:rsidR="0071745B" w:rsidRPr="00602218" w:rsidRDefault="0071745B" w:rsidP="00602218">
                            <w:pPr>
                              <w:spacing w:after="0" w:line="240" w:lineRule="auto"/>
                              <w:ind w:left="340"/>
                              <w:rPr>
                                <w:rFonts w:ascii="Aptos" w:hAnsi="Aptos"/>
                                <w:b/>
                                <w:bCs/>
                                <w:sz w:val="20"/>
                                <w:szCs w:val="20"/>
                              </w:rPr>
                            </w:pPr>
                            <w:r w:rsidRPr="00602218">
                              <w:rPr>
                                <w:b/>
                                <w:bCs/>
                                <w:sz w:val="20"/>
                                <w:szCs w:val="20"/>
                              </w:rPr>
                              <w:t>Version Control History</w:t>
                            </w:r>
                          </w:p>
                          <w:p w14:paraId="3FB8CDC4" w14:textId="77777777" w:rsidR="0071745B" w:rsidRPr="00602218" w:rsidRDefault="0071745B" w:rsidP="00602218">
                            <w:pPr>
                              <w:spacing w:after="0" w:line="240" w:lineRule="auto"/>
                              <w:ind w:left="340"/>
                              <w:rPr>
                                <w:sz w:val="20"/>
                                <w:szCs w:val="20"/>
                              </w:rPr>
                            </w:pPr>
                            <w:r w:rsidRPr="00602218">
                              <w:rPr>
                                <w:sz w:val="20"/>
                                <w:szCs w:val="20"/>
                              </w:rPr>
                              <w:t>Date: 15</w:t>
                            </w:r>
                            <w:r w:rsidRPr="00602218">
                              <w:rPr>
                                <w:sz w:val="20"/>
                                <w:szCs w:val="20"/>
                                <w:vertAlign w:val="superscript"/>
                              </w:rPr>
                              <w:t>th</w:t>
                            </w:r>
                            <w:r w:rsidRPr="00602218">
                              <w:rPr>
                                <w:sz w:val="20"/>
                                <w:szCs w:val="20"/>
                              </w:rPr>
                              <w:t xml:space="preserve"> February 2023, updated January 25</w:t>
                            </w:r>
                          </w:p>
                          <w:p w14:paraId="2FBABE42" w14:textId="77777777" w:rsidR="0071745B" w:rsidRPr="00602218" w:rsidRDefault="0071745B" w:rsidP="00602218">
                            <w:pPr>
                              <w:spacing w:after="0" w:line="240" w:lineRule="auto"/>
                              <w:ind w:left="340"/>
                              <w:rPr>
                                <w:sz w:val="20"/>
                                <w:szCs w:val="20"/>
                              </w:rPr>
                            </w:pPr>
                            <w:r w:rsidRPr="00602218">
                              <w:rPr>
                                <w:sz w:val="20"/>
                                <w:szCs w:val="20"/>
                              </w:rPr>
                              <w:t>Version: 1.1</w:t>
                            </w:r>
                          </w:p>
                          <w:p w14:paraId="2A21AC97" w14:textId="77777777" w:rsidR="0071745B" w:rsidRPr="00602218" w:rsidRDefault="0071745B" w:rsidP="00602218">
                            <w:pPr>
                              <w:spacing w:after="0" w:line="240" w:lineRule="auto"/>
                              <w:ind w:left="340"/>
                              <w:rPr>
                                <w:sz w:val="20"/>
                                <w:szCs w:val="20"/>
                              </w:rPr>
                            </w:pPr>
                            <w:r w:rsidRPr="00602218">
                              <w:rPr>
                                <w:sz w:val="20"/>
                                <w:szCs w:val="20"/>
                              </w:rPr>
                              <w:t>Type of change: Minor</w:t>
                            </w:r>
                          </w:p>
                          <w:p w14:paraId="68E6E2B0" w14:textId="77777777" w:rsidR="0071745B" w:rsidRPr="00602218" w:rsidRDefault="0071745B" w:rsidP="00602218">
                            <w:pPr>
                              <w:spacing w:after="0" w:line="240" w:lineRule="auto"/>
                              <w:ind w:left="340"/>
                              <w:rPr>
                                <w:sz w:val="20"/>
                                <w:szCs w:val="20"/>
                              </w:rPr>
                            </w:pPr>
                            <w:r w:rsidRPr="00602218">
                              <w:rPr>
                                <w:sz w:val="20"/>
                                <w:szCs w:val="20"/>
                              </w:rPr>
                              <w:t>Summary of change: Review date extended to February 26</w:t>
                            </w:r>
                          </w:p>
                          <w:p w14:paraId="1B598065" w14:textId="77777777" w:rsidR="008A6852" w:rsidRDefault="008A6852" w:rsidP="008A6852">
                            <w:pPr>
                              <w:pStyle w:val="ListParagraph"/>
                              <w:ind w:left="360"/>
                              <w:rPr>
                                <w:rFonts w:eastAsia="Arial" w:cs="Arial"/>
                                <w:color w:val="000000" w:themeColor="text1"/>
                                <w:sz w:val="22"/>
                              </w:rPr>
                            </w:pPr>
                          </w:p>
                          <w:p w14:paraId="50045383" w14:textId="77777777" w:rsidR="00602218" w:rsidRPr="00255B8C" w:rsidRDefault="00602218" w:rsidP="00602218">
                            <w:pPr>
                              <w:pStyle w:val="ListParagraph"/>
                              <w:spacing w:after="0" w:line="240" w:lineRule="auto"/>
                              <w:ind w:left="34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December 2025</w:t>
                            </w:r>
                          </w:p>
                          <w:p w14:paraId="5104B935" w14:textId="77777777" w:rsidR="00602218" w:rsidRPr="00255B8C" w:rsidRDefault="00602218" w:rsidP="00602218">
                            <w:pPr>
                              <w:pStyle w:val="ListParagraph"/>
                              <w:spacing w:after="0" w:line="240" w:lineRule="auto"/>
                              <w:ind w:left="340"/>
                              <w:rPr>
                                <w:sz w:val="20"/>
                                <w:szCs w:val="20"/>
                              </w:rPr>
                            </w:pPr>
                            <w:r w:rsidRPr="00255B8C">
                              <w:rPr>
                                <w:sz w:val="20"/>
                                <w:szCs w:val="20"/>
                              </w:rPr>
                              <w:t>Version: 1.2</w:t>
                            </w:r>
                          </w:p>
                          <w:p w14:paraId="3D420051" w14:textId="77777777" w:rsidR="00602218" w:rsidRPr="00255B8C" w:rsidRDefault="00602218" w:rsidP="00602218">
                            <w:pPr>
                              <w:pStyle w:val="ListParagraph"/>
                              <w:spacing w:after="0" w:line="240" w:lineRule="auto"/>
                              <w:ind w:left="340"/>
                              <w:rPr>
                                <w:sz w:val="20"/>
                                <w:szCs w:val="20"/>
                              </w:rPr>
                            </w:pPr>
                            <w:r w:rsidRPr="00255B8C">
                              <w:rPr>
                                <w:sz w:val="20"/>
                                <w:szCs w:val="20"/>
                              </w:rPr>
                              <w:t>Type of change: Minor</w:t>
                            </w:r>
                          </w:p>
                          <w:p w14:paraId="28130A01" w14:textId="77777777" w:rsidR="00602218" w:rsidRPr="00255B8C" w:rsidRDefault="00602218" w:rsidP="00602218">
                            <w:pPr>
                              <w:pStyle w:val="ListParagraph"/>
                              <w:spacing w:after="0" w:line="240" w:lineRule="auto"/>
                              <w:ind w:left="340"/>
                              <w:rPr>
                                <w:sz w:val="20"/>
                                <w:szCs w:val="20"/>
                              </w:rPr>
                            </w:pPr>
                            <w:r w:rsidRPr="00255B8C">
                              <w:rPr>
                                <w:sz w:val="20"/>
                                <w:szCs w:val="20"/>
                              </w:rPr>
                              <w:t>Summary of change: Review date extended to February 2028</w:t>
                            </w:r>
                          </w:p>
                          <w:p w14:paraId="7D62BD47" w14:textId="77777777" w:rsidR="00602218" w:rsidRPr="00CB33F5" w:rsidRDefault="00602218" w:rsidP="008A6852">
                            <w:pPr>
                              <w:pStyle w:val="ListParagraph"/>
                              <w:ind w:left="360"/>
                              <w:rPr>
                                <w:rFonts w:eastAsia="Arial" w:cs="Arial"/>
                                <w:color w:val="000000" w:themeColor="text1"/>
                                <w:sz w:val="22"/>
                              </w:rPr>
                            </w:pPr>
                          </w:p>
                          <w:p w14:paraId="299492F6" w14:textId="77777777" w:rsidR="00226760" w:rsidRPr="00CB33F5" w:rsidRDefault="00226760" w:rsidP="00226760">
                            <w:pPr>
                              <w:pStyle w:val="ListParagraph"/>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449613" id="_x0000_t202" coordsize="21600,21600" o:spt="202" path="m,l,21600r21600,l21600,xe">
                <v:stroke joinstyle="miter"/>
                <v:path gradientshapeok="t" o:connecttype="rect"/>
              </v:shapetype>
              <v:shape id="_x0000_s1026" type="#_x0000_t202" style="position:absolute;left:0;text-align:left;margin-left:-54.4pt;margin-top:34.85pt;width:564pt;height:524.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" filled="f" strokecolor="#00b050" strokeweight="3pt">
                <v:textbox>
                  <w:txbxContent>
                    <w:p w14:paraId="28B8C8B0" w14:textId="2C8DABDE" w:rsidR="00226760" w:rsidRPr="00FA6FA7" w:rsidRDefault="00F3490C" w:rsidP="00145418">
                      <w:pPr>
                        <w:spacing w:line="20" w:lineRule="atLeast"/>
                        <w:rPr>
                          <w:rStyle w:val="Hyperlink"/>
                          <w:rFonts w:cs="Arial"/>
                          <w:b/>
                          <w:bCs/>
                          <w:color w:val="auto"/>
                          <w:sz w:val="22"/>
                          <w:u w:val="none"/>
                        </w:rPr>
                      </w:pPr>
                      <w:r w:rsidRPr="00AC53CF">
                        <w:rPr>
                          <w:rFonts w:cstheme="minorHAnsi"/>
                          <w:b/>
                          <w:bCs/>
                          <w:color w:val="005EB8"/>
                          <w:sz w:val="28"/>
                        </w:rPr>
                        <w:t>SWL</w:t>
                      </w:r>
                      <w:r w:rsidR="00226760" w:rsidRPr="00AC53CF">
                        <w:rPr>
                          <w:rFonts w:cstheme="minorHAnsi"/>
                          <w:b/>
                          <w:bCs/>
                          <w:color w:val="005EB8"/>
                          <w:sz w:val="28"/>
                        </w:rPr>
                        <w:t xml:space="preserve"> </w:t>
                      </w:r>
                      <w:r w:rsidR="00AC53CF">
                        <w:rPr>
                          <w:rFonts w:cstheme="minorHAnsi"/>
                          <w:b/>
                          <w:bCs/>
                          <w:color w:val="005EB8"/>
                          <w:sz w:val="28"/>
                        </w:rPr>
                        <w:t xml:space="preserve">Local </w:t>
                      </w:r>
                      <w:r w:rsidR="00AC53CF" w:rsidRPr="004753EF">
                        <w:rPr>
                          <w:rFonts w:cstheme="minorHAnsi"/>
                          <w:b/>
                          <w:bCs/>
                          <w:color w:val="0070C0"/>
                          <w:sz w:val="28"/>
                        </w:rPr>
                        <w:t>Adaptation</w:t>
                      </w:r>
                      <w:r w:rsidR="00145418">
                        <w:rPr>
                          <w:rFonts w:cs="Arial"/>
                          <w:b/>
                          <w:bCs/>
                          <w:sz w:val="22"/>
                        </w:rPr>
                        <w:br/>
                      </w:r>
                      <w:r>
                        <w:rPr>
                          <w:rFonts w:cs="Arial"/>
                          <w:b/>
                          <w:bCs/>
                          <w:sz w:val="22"/>
                        </w:rPr>
                        <w:t>November</w:t>
                      </w:r>
                      <w:r w:rsidR="00226760">
                        <w:rPr>
                          <w:rFonts w:cs="Arial"/>
                          <w:b/>
                          <w:bCs/>
                          <w:sz w:val="22"/>
                        </w:rPr>
                        <w:t xml:space="preserve"> 202</w:t>
                      </w:r>
                      <w:r>
                        <w:rPr>
                          <w:rFonts w:cs="Arial"/>
                          <w:b/>
                          <w:bCs/>
                          <w:sz w:val="22"/>
                        </w:rPr>
                        <w:t>2</w:t>
                      </w:r>
                      <w:r w:rsidR="007B6D20">
                        <w:rPr>
                          <w:rFonts w:cs="Arial"/>
                          <w:b/>
                          <w:bCs/>
                          <w:sz w:val="22"/>
                        </w:rPr>
                        <w:br/>
                      </w:r>
                      <w:r w:rsidR="00FA6FA7">
                        <w:rPr>
                          <w:rFonts w:cs="Arial"/>
                          <w:b/>
                          <w:bCs/>
                          <w:sz w:val="22"/>
                        </w:rPr>
                        <w:br/>
                      </w:r>
                      <w:r w:rsidR="00226760" w:rsidRPr="006B5715">
                        <w:rPr>
                          <w:rFonts w:cs="Arial"/>
                          <w:sz w:val="22"/>
                        </w:rPr>
                        <w:t xml:space="preserve">Please </w:t>
                      </w:r>
                      <w:r w:rsidR="00226760">
                        <w:rPr>
                          <w:rFonts w:cs="Arial"/>
                          <w:sz w:val="22"/>
                        </w:rPr>
                        <w:t xml:space="preserve">follow link to </w:t>
                      </w:r>
                      <w:r w:rsidR="00226760" w:rsidRPr="006B5715">
                        <w:rPr>
                          <w:rFonts w:cs="Arial"/>
                          <w:sz w:val="22"/>
                        </w:rPr>
                        <w:t>local amendment regarding</w:t>
                      </w:r>
                      <w:r w:rsidR="00226760" w:rsidRPr="00110AD5">
                        <w:rPr>
                          <w:rFonts w:cs="Arial"/>
                          <w:b/>
                          <w:bCs/>
                          <w:sz w:val="22"/>
                        </w:rPr>
                        <w:t xml:space="preserve"> </w:t>
                      </w:r>
                      <w:hyperlink w:anchor="_Locally_agreed_off-label" w:history="1">
                        <w:r w:rsidR="00226760" w:rsidRPr="00226760">
                          <w:rPr>
                            <w:rStyle w:val="Hyperlink"/>
                            <w:rFonts w:cs="Arial"/>
                            <w:sz w:val="22"/>
                            <w:lang w:eastAsia="en-GB"/>
                          </w:rPr>
                          <w:t>Locally agreed off-label use</w:t>
                        </w:r>
                      </w:hyperlink>
                    </w:p>
                    <w:p w14:paraId="53F7D796" w14:textId="36D5672A" w:rsidR="00226760" w:rsidRPr="00DD4221" w:rsidRDefault="00226760" w:rsidP="00226760">
                      <w:pPr>
                        <w:pStyle w:val="ListParagraph"/>
                        <w:numPr>
                          <w:ilvl w:val="0"/>
                          <w:numId w:val="35"/>
                        </w:numPr>
                        <w:spacing w:before="60"/>
                        <w:rPr>
                          <w:rFonts w:eastAsia="Arial" w:cs="Arial"/>
                          <w:sz w:val="22"/>
                        </w:rPr>
                      </w:pPr>
                      <w:r w:rsidRPr="00CB33F5">
                        <w:rPr>
                          <w:rFonts w:eastAsia="Arial" w:cs="Arial"/>
                          <w:color w:val="000000"/>
                          <w:sz w:val="22"/>
                        </w:rPr>
                        <w:t xml:space="preserve">The word ‘normally’ under </w:t>
                      </w:r>
                      <w:hyperlink w:anchor="_Specialist_responsibilities" w:history="1">
                        <w:r w:rsidRPr="00CB33F5">
                          <w:rPr>
                            <w:rStyle w:val="Hyperlink"/>
                            <w:rFonts w:eastAsia="Arial" w:cs="Arial"/>
                            <w:sz w:val="22"/>
                          </w:rPr>
                          <w:t>specialist responsibilities</w:t>
                        </w:r>
                      </w:hyperlink>
                      <w:r w:rsidRPr="00CB33F5">
                        <w:rPr>
                          <w:rFonts w:eastAsia="Arial" w:cs="Arial"/>
                          <w:color w:val="000000"/>
                          <w:sz w:val="22"/>
                        </w:rPr>
                        <w:t xml:space="preserve"> section bullet point 6 and </w:t>
                      </w:r>
                      <w:hyperlink w:anchor="_Initiation_and_ongoing" w:history="1">
                        <w:r w:rsidRPr="00CB33F5">
                          <w:rPr>
                            <w:rStyle w:val="Hyperlink"/>
                            <w:rFonts w:eastAsia="Arial" w:cs="Arial"/>
                            <w:sz w:val="22"/>
                          </w:rPr>
                          <w:t>section 5</w:t>
                        </w:r>
                      </w:hyperlink>
                      <w:r w:rsidRPr="00CB33F5">
                        <w:rPr>
                          <w:rFonts w:eastAsia="Arial" w:cs="Arial"/>
                          <w:color w:val="000000"/>
                          <w:sz w:val="22"/>
                        </w:rPr>
                        <w:t>, first bullet point has been deleted</w:t>
                      </w:r>
                      <w:r w:rsidR="00977F05">
                        <w:rPr>
                          <w:rFonts w:eastAsia="Arial" w:cs="Arial"/>
                          <w:color w:val="000000"/>
                          <w:sz w:val="22"/>
                        </w:rPr>
                        <w:t>: ‘</w:t>
                      </w:r>
                      <w:r w:rsidR="00977F05" w:rsidRPr="00744A1A">
                        <w:rPr>
                          <w:rFonts w:eastAsia="Arial" w:cs="Arial"/>
                          <w:color w:val="000000"/>
                          <w:sz w:val="22"/>
                        </w:rPr>
                        <w:t xml:space="preserve">Transfer to primary care is </w:t>
                      </w:r>
                      <w:r w:rsidR="00977F05" w:rsidRPr="00744A1A">
                        <w:rPr>
                          <w:rFonts w:eastAsia="Arial" w:cs="Arial"/>
                          <w:strike/>
                          <w:color w:val="000000"/>
                          <w:sz w:val="22"/>
                        </w:rPr>
                        <w:t>normally</w:t>
                      </w:r>
                      <w:r w:rsidR="00977F05" w:rsidRPr="00744A1A">
                        <w:rPr>
                          <w:rFonts w:eastAsia="Arial" w:cs="Arial"/>
                          <w:color w:val="000000"/>
                          <w:sz w:val="22"/>
                        </w:rPr>
                        <w:t xml:space="preserve"> after the patient has been treated for 3 months and with satisfactory investigation results for at least 4 weeks.</w:t>
                      </w:r>
                      <w:r w:rsidR="00977F05">
                        <w:rPr>
                          <w:rFonts w:eastAsia="Arial" w:cs="Arial"/>
                          <w:color w:val="000000"/>
                          <w:sz w:val="22"/>
                        </w:rPr>
                        <w:t>’</w:t>
                      </w:r>
                      <w:r w:rsidRPr="00CB33F5">
                        <w:rPr>
                          <w:rFonts w:eastAsia="Arial" w:cs="Arial"/>
                          <w:color w:val="000000"/>
                          <w:sz w:val="22"/>
                        </w:rPr>
                        <w:t xml:space="preserve"> </w:t>
                      </w:r>
                    </w:p>
                    <w:p w14:paraId="1357D172" w14:textId="77777777" w:rsidR="004A6143" w:rsidRPr="004A6143" w:rsidRDefault="00DD1BEA" w:rsidP="004A6143">
                      <w:pPr>
                        <w:pStyle w:val="ListParagraph"/>
                        <w:numPr>
                          <w:ilvl w:val="0"/>
                          <w:numId w:val="35"/>
                        </w:numPr>
                        <w:spacing w:before="60"/>
                        <w:rPr>
                          <w:rFonts w:eastAsia="Arial" w:cs="Arial"/>
                          <w:sz w:val="22"/>
                        </w:rPr>
                      </w:pPr>
                      <w:r>
                        <w:rPr>
                          <w:rFonts w:eastAsia="Arial" w:cs="Arial"/>
                          <w:color w:val="000000"/>
                          <w:sz w:val="22"/>
                        </w:rPr>
                        <w:t>The following amendments have been made to section 8 and section 9 of the document:</w:t>
                      </w:r>
                    </w:p>
                    <w:p w14:paraId="733751F5" w14:textId="33C730BA" w:rsidR="00ED20C6" w:rsidRPr="00ED20C6" w:rsidRDefault="00DD1BEA" w:rsidP="00A712E9">
                      <w:pPr>
                        <w:pStyle w:val="ListParagraph"/>
                        <w:numPr>
                          <w:ilvl w:val="1"/>
                          <w:numId w:val="35"/>
                        </w:numPr>
                        <w:spacing w:before="60"/>
                        <w:rPr>
                          <w:rFonts w:eastAsia="Arial" w:cs="Arial"/>
                          <w:sz w:val="22"/>
                        </w:rPr>
                      </w:pPr>
                      <w:hyperlink w:anchor="_Baseline_investigations,_initial" w:history="1">
                        <w:r w:rsidRPr="00A346D8">
                          <w:rPr>
                            <w:rStyle w:val="Hyperlink"/>
                            <w:rFonts w:eastAsia="Arial" w:cs="Arial"/>
                            <w:sz w:val="22"/>
                          </w:rPr>
                          <w:t>Section 8</w:t>
                        </w:r>
                      </w:hyperlink>
                      <w:r w:rsidR="000B7E25">
                        <w:rPr>
                          <w:rFonts w:eastAsia="Arial" w:cs="Arial"/>
                          <w:color w:val="000000"/>
                          <w:sz w:val="22"/>
                        </w:rPr>
                        <w:t xml:space="preserve"> </w:t>
                      </w:r>
                      <w:r w:rsidR="004A6143" w:rsidRPr="004A6143">
                        <w:rPr>
                          <w:rFonts w:eastAsia="Arial" w:cs="Arial"/>
                          <w:color w:val="000000"/>
                          <w:sz w:val="22"/>
                        </w:rPr>
                        <w:t>We have added</w:t>
                      </w:r>
                      <w:r w:rsidR="00857C50">
                        <w:rPr>
                          <w:rFonts w:eastAsia="Arial" w:cs="Arial"/>
                          <w:color w:val="000000"/>
                          <w:sz w:val="22"/>
                        </w:rPr>
                        <w:t xml:space="preserve"> a new subheading called</w:t>
                      </w:r>
                      <w:r w:rsidR="004A6143" w:rsidRPr="004A6143">
                        <w:rPr>
                          <w:rFonts w:eastAsia="Arial" w:cs="Arial"/>
                          <w:color w:val="000000"/>
                          <w:sz w:val="22"/>
                        </w:rPr>
                        <w:t xml:space="preserve"> </w:t>
                      </w:r>
                      <w:r w:rsidR="004A6143" w:rsidRPr="00857C50">
                        <w:rPr>
                          <w:rFonts w:eastAsia="Arial" w:cs="Arial"/>
                          <w:b/>
                          <w:bCs/>
                          <w:color w:val="000000"/>
                          <w:sz w:val="22"/>
                        </w:rPr>
                        <w:t>ongoing monitoring</w:t>
                      </w:r>
                      <w:r w:rsidR="00DB1695">
                        <w:rPr>
                          <w:rFonts w:eastAsia="Arial" w:cs="Arial"/>
                          <w:b/>
                          <w:bCs/>
                          <w:color w:val="000000"/>
                          <w:sz w:val="22"/>
                        </w:rPr>
                        <w:t xml:space="preserve"> </w:t>
                      </w:r>
                      <w:r w:rsidR="00DB1695" w:rsidRPr="00DB1695">
                        <w:rPr>
                          <w:rFonts w:eastAsia="Arial" w:cs="Arial"/>
                          <w:color w:val="000000"/>
                          <w:sz w:val="22"/>
                        </w:rPr>
                        <w:t>which states that</w:t>
                      </w:r>
                      <w:r w:rsidR="00DB1695">
                        <w:rPr>
                          <w:rFonts w:eastAsia="Arial" w:cs="Arial"/>
                          <w:b/>
                          <w:bCs/>
                          <w:color w:val="000000"/>
                          <w:sz w:val="22"/>
                        </w:rPr>
                        <w:t xml:space="preserve"> </w:t>
                      </w:r>
                      <w:r w:rsidR="004A6143" w:rsidRPr="00DB1695">
                        <w:rPr>
                          <w:rFonts w:eastAsia="Times New Roman" w:cstheme="minorHAnsi"/>
                          <w:b/>
                          <w:bCs/>
                          <w:sz w:val="22"/>
                          <w:lang w:eastAsia="en-GB"/>
                        </w:rPr>
                        <w:t>Psoriasis patients: serum PIIINP: This test is to remain with the specialist</w:t>
                      </w:r>
                      <w:r w:rsidR="004A6143" w:rsidRPr="004A6143">
                        <w:rPr>
                          <w:rFonts w:eastAsia="Times New Roman" w:cstheme="minorHAnsi"/>
                          <w:sz w:val="22"/>
                          <w:lang w:eastAsia="en-GB"/>
                        </w:rPr>
                        <w:t>.</w:t>
                      </w:r>
                      <w:r w:rsidR="002A4A0C">
                        <w:rPr>
                          <w:rFonts w:eastAsia="Times New Roman" w:cstheme="minorHAnsi"/>
                          <w:sz w:val="22"/>
                          <w:lang w:eastAsia="en-GB"/>
                        </w:rPr>
                        <w:t xml:space="preserve"> Rationale:</w:t>
                      </w:r>
                      <w:r w:rsidR="004A6143" w:rsidRPr="004A6143">
                        <w:rPr>
                          <w:rFonts w:eastAsia="Times New Roman" w:cstheme="minorHAnsi"/>
                          <w:sz w:val="22"/>
                          <w:lang w:eastAsia="en-GB"/>
                        </w:rPr>
                        <w:t xml:space="preserve"> </w:t>
                      </w:r>
                      <w:r w:rsidR="00ED20C6">
                        <w:rPr>
                          <w:rFonts w:eastAsia="Times New Roman" w:cstheme="minorHAnsi"/>
                          <w:sz w:val="22"/>
                          <w:lang w:eastAsia="en-GB"/>
                        </w:rPr>
                        <w:t>Previously the National shared care document suggested GPs in primary care could do this test</w:t>
                      </w:r>
                      <w:r w:rsidR="00BE15E9">
                        <w:rPr>
                          <w:rFonts w:eastAsia="Times New Roman" w:cstheme="minorHAnsi"/>
                          <w:sz w:val="22"/>
                          <w:lang w:eastAsia="en-GB"/>
                        </w:rPr>
                        <w:t>, i</w:t>
                      </w:r>
                      <w:r w:rsidR="00AF2D7B">
                        <w:rPr>
                          <w:rFonts w:eastAsia="Times New Roman" w:cstheme="minorHAnsi"/>
                          <w:sz w:val="22"/>
                          <w:lang w:eastAsia="en-GB"/>
                        </w:rPr>
                        <w:t xml:space="preserve">t was agreed locally </w:t>
                      </w:r>
                      <w:r w:rsidR="00ED20C6">
                        <w:rPr>
                          <w:rFonts w:eastAsia="Times New Roman" w:cstheme="minorHAnsi"/>
                          <w:sz w:val="22"/>
                          <w:lang w:eastAsia="en-GB"/>
                        </w:rPr>
                        <w:t xml:space="preserve">that this test should remain with the specialist. </w:t>
                      </w:r>
                    </w:p>
                    <w:p w14:paraId="74ECD87C" w14:textId="207ACFFA" w:rsidR="00DD1BEA" w:rsidRPr="00CB33F5" w:rsidRDefault="002A4A0C" w:rsidP="00A712E9">
                      <w:pPr>
                        <w:pStyle w:val="ListParagraph"/>
                        <w:numPr>
                          <w:ilvl w:val="1"/>
                          <w:numId w:val="35"/>
                        </w:numPr>
                        <w:spacing w:before="60"/>
                        <w:rPr>
                          <w:rFonts w:eastAsia="Arial" w:cs="Arial"/>
                          <w:sz w:val="22"/>
                        </w:rPr>
                      </w:pPr>
                      <w:hyperlink w:anchor="_Ongoing_monitoring_requirements" w:history="1">
                        <w:r w:rsidRPr="00A346D8">
                          <w:rPr>
                            <w:rStyle w:val="Hyperlink"/>
                            <w:rFonts w:eastAsia="Arial" w:cs="Arial"/>
                            <w:sz w:val="22"/>
                          </w:rPr>
                          <w:t>Section 9</w:t>
                        </w:r>
                      </w:hyperlink>
                      <w:r w:rsidR="000B7E25">
                        <w:rPr>
                          <w:rFonts w:eastAsia="Arial" w:cs="Arial"/>
                          <w:sz w:val="22"/>
                        </w:rPr>
                        <w:t xml:space="preserve"> </w:t>
                      </w:r>
                      <w:r>
                        <w:rPr>
                          <w:rFonts w:eastAsia="Arial" w:cs="Arial"/>
                          <w:sz w:val="22"/>
                        </w:rPr>
                        <w:t>To re-iterate the above amendment, we have added the following</w:t>
                      </w:r>
                      <w:r w:rsidR="00DE6351">
                        <w:rPr>
                          <w:rFonts w:eastAsia="Arial" w:cs="Arial"/>
                          <w:sz w:val="22"/>
                        </w:rPr>
                        <w:t xml:space="preserve"> wording</w:t>
                      </w:r>
                      <w:r w:rsidR="000B7E25">
                        <w:rPr>
                          <w:rFonts w:eastAsia="Arial" w:cs="Arial"/>
                          <w:sz w:val="22"/>
                        </w:rPr>
                        <w:t>:</w:t>
                      </w:r>
                      <w:r w:rsidR="00DE6351">
                        <w:rPr>
                          <w:rFonts w:eastAsia="Arial" w:cs="Arial"/>
                          <w:sz w:val="22"/>
                        </w:rPr>
                        <w:t xml:space="preserve"> </w:t>
                      </w:r>
                      <w:r w:rsidR="00DE6351" w:rsidRPr="00DE6351">
                        <w:rPr>
                          <w:rFonts w:eastAsia="Times New Roman" w:cstheme="minorHAnsi"/>
                          <w:sz w:val="22"/>
                          <w:szCs w:val="20"/>
                          <w:lang w:eastAsia="en-GB"/>
                        </w:rPr>
                        <w:t xml:space="preserve">Psoriasis patients: serum PIIINP – </w:t>
                      </w:r>
                      <w:r w:rsidR="00DE6351" w:rsidRPr="00DE6351">
                        <w:rPr>
                          <w:rFonts w:eastAsia="Times New Roman" w:cstheme="minorHAnsi"/>
                          <w:b/>
                          <w:bCs/>
                          <w:sz w:val="22"/>
                          <w:szCs w:val="20"/>
                          <w:lang w:eastAsia="en-GB"/>
                        </w:rPr>
                        <w:t>this test remains with the specialist.</w:t>
                      </w:r>
                      <w:r w:rsidR="000A34EE">
                        <w:rPr>
                          <w:rFonts w:eastAsia="Times New Roman" w:cstheme="minorHAnsi"/>
                          <w:b/>
                          <w:bCs/>
                          <w:sz w:val="22"/>
                          <w:szCs w:val="20"/>
                          <w:lang w:eastAsia="en-GB"/>
                        </w:rPr>
                        <w:t xml:space="preserve"> See section 8. </w:t>
                      </w:r>
                    </w:p>
                    <w:p w14:paraId="287848FB" w14:textId="44AB7D8B" w:rsidR="00226760" w:rsidRPr="00CB33F5" w:rsidRDefault="00226760" w:rsidP="00226760">
                      <w:pPr>
                        <w:pStyle w:val="ListParagraph"/>
                        <w:numPr>
                          <w:ilvl w:val="0"/>
                          <w:numId w:val="35"/>
                        </w:numPr>
                        <w:rPr>
                          <w:rFonts w:eastAsia="Arial" w:cs="Arial"/>
                          <w:color w:val="000000" w:themeColor="text1"/>
                          <w:sz w:val="22"/>
                        </w:rPr>
                      </w:pPr>
                      <w:r w:rsidRPr="00CB33F5">
                        <w:rPr>
                          <w:rFonts w:eastAsia="Times New Roman" w:cs="Arial"/>
                          <w:sz w:val="22"/>
                          <w:lang w:eastAsia="en-GB"/>
                        </w:rPr>
                        <w:t xml:space="preserve">To reiterate, as stated in </w:t>
                      </w:r>
                      <w:hyperlink w:anchor="_Baseline_investigations,_initial" w:history="1">
                        <w:r w:rsidRPr="00CB33F5">
                          <w:rPr>
                            <w:rStyle w:val="Hyperlink"/>
                            <w:rFonts w:eastAsia="Times New Roman" w:cs="Arial"/>
                            <w:sz w:val="22"/>
                            <w:lang w:eastAsia="en-GB"/>
                          </w:rPr>
                          <w:t>section 8</w:t>
                        </w:r>
                      </w:hyperlink>
                      <w:r w:rsidRPr="00CB33F5">
                        <w:rPr>
                          <w:rFonts w:eastAsia="Times New Roman" w:cs="Arial"/>
                          <w:sz w:val="22"/>
                          <w:lang w:eastAsia="en-GB"/>
                        </w:rPr>
                        <w:t>: ‘</w:t>
                      </w:r>
                      <w:r w:rsidRPr="00CB33F5">
                        <w:rPr>
                          <w:rFonts w:eastAsia="Arial" w:cs="Arial"/>
                          <w:sz w:val="22"/>
                        </w:rPr>
                        <w:t>The specialist will retain the responsibility for monitoring the patient’s ongoing response to treatment and advise if a dose change or treatment cessation is appropriate. This should usually be undertaken annually.</w:t>
                      </w:r>
                      <w:r w:rsidR="00CD1026">
                        <w:rPr>
                          <w:rFonts w:eastAsia="Arial" w:cs="Arial"/>
                          <w:sz w:val="22"/>
                        </w:rPr>
                        <w:t xml:space="preserve"> </w:t>
                      </w:r>
                      <w:r w:rsidR="00CD1026" w:rsidRPr="00CD1026">
                        <w:rPr>
                          <w:rFonts w:eastAsia="Times New Roman" w:cs="Arial"/>
                          <w:sz w:val="22"/>
                          <w:lang w:eastAsia="en-GB"/>
                        </w:rPr>
                        <w:t xml:space="preserve">When a patient is reviewed, advise primary care whether treatment should be continued, confirm the ongoing dose, and whether the ongoing monitoring outlined in </w:t>
                      </w:r>
                      <w:hyperlink w:anchor="Nine_primary_care_monitoring" w:history="1">
                        <w:r w:rsidR="00CD1026" w:rsidRPr="00CD1026">
                          <w:rPr>
                            <w:rStyle w:val="Hyperlink"/>
                            <w:rFonts w:eastAsia="Times New Roman" w:cs="Arial"/>
                            <w:sz w:val="22"/>
                            <w:lang w:eastAsia="en-GB"/>
                          </w:rPr>
                          <w:t>section 9</w:t>
                        </w:r>
                      </w:hyperlink>
                      <w:r w:rsidR="00CD1026" w:rsidRPr="00CD1026">
                        <w:rPr>
                          <w:rFonts w:eastAsia="Times New Roman" w:cs="Arial"/>
                          <w:sz w:val="22"/>
                          <w:lang w:eastAsia="en-GB"/>
                        </w:rPr>
                        <w:t xml:space="preserve"> remains appropriate.</w:t>
                      </w:r>
                      <w:r w:rsidRPr="00CD1026">
                        <w:rPr>
                          <w:rFonts w:eastAsia="Arial" w:cs="Arial"/>
                          <w:sz w:val="22"/>
                        </w:rPr>
                        <w:t>’</w:t>
                      </w:r>
                    </w:p>
                    <w:p w14:paraId="0DA69AD3" w14:textId="6F56C693" w:rsidR="00BF1375" w:rsidRPr="008B646E" w:rsidRDefault="001C409F" w:rsidP="00226760">
                      <w:pPr>
                        <w:pStyle w:val="ListParagraph"/>
                        <w:numPr>
                          <w:ilvl w:val="0"/>
                          <w:numId w:val="35"/>
                        </w:numPr>
                        <w:rPr>
                          <w:rFonts w:eastAsia="Arial" w:cs="Arial"/>
                          <w:color w:val="000000" w:themeColor="text1"/>
                          <w:sz w:val="22"/>
                        </w:rPr>
                      </w:pPr>
                      <w:hyperlink w:anchor="_Pregnancy,_paternal_exposure" w:history="1">
                        <w:r w:rsidRPr="00CB33F5">
                          <w:rPr>
                            <w:rStyle w:val="Hyperlink"/>
                            <w:rFonts w:eastAsia="Times New Roman" w:cstheme="minorHAnsi"/>
                            <w:sz w:val="22"/>
                            <w:lang w:eastAsia="en-GB"/>
                          </w:rPr>
                          <w:t>Section 12</w:t>
                        </w:r>
                      </w:hyperlink>
                      <w:r w:rsidRPr="00CB33F5">
                        <w:rPr>
                          <w:rFonts w:eastAsia="Times New Roman" w:cstheme="minorHAnsi"/>
                          <w:color w:val="000000"/>
                          <w:sz w:val="22"/>
                          <w:lang w:eastAsia="en-GB"/>
                        </w:rPr>
                        <w:t xml:space="preserve"> (</w:t>
                      </w:r>
                      <w:r w:rsidRPr="00CB33F5">
                        <w:rPr>
                          <w:sz w:val="22"/>
                          <w:lang w:eastAsia="en-GB"/>
                        </w:rPr>
                        <w:t>Pregnancy, paternal exposure and breast feeding</w:t>
                      </w:r>
                      <w:r w:rsidRPr="00CB33F5">
                        <w:rPr>
                          <w:rFonts w:eastAsia="Times New Roman" w:cstheme="minorHAnsi"/>
                          <w:color w:val="000000"/>
                          <w:sz w:val="22"/>
                          <w:lang w:eastAsia="en-GB"/>
                        </w:rPr>
                        <w:t xml:space="preserve"> ) has the added information which states that the British Society of Rheumatology provides further guidance on methotrexate and pregnancy which clinicians may wish to consider available via the following link: </w:t>
                      </w:r>
                      <w:hyperlink r:id="rId12" w:history="1">
                        <w:r w:rsidRPr="00CB33F5">
                          <w:rPr>
                            <w:rStyle w:val="Hyperlink"/>
                            <w:sz w:val="22"/>
                            <w:lang w:eastAsia="en-GB"/>
                          </w:rPr>
                          <w:t>https://academic.oup.com/rheumatology/article/55/9/1693/1744535</w:t>
                        </w:r>
                      </w:hyperlink>
                    </w:p>
                    <w:p w14:paraId="7FC956C7" w14:textId="5168518E" w:rsidR="008B646E" w:rsidRPr="0071745B" w:rsidRDefault="008B646E" w:rsidP="00226760">
                      <w:pPr>
                        <w:pStyle w:val="ListParagraph"/>
                        <w:numPr>
                          <w:ilvl w:val="0"/>
                          <w:numId w:val="35"/>
                        </w:numPr>
                        <w:rPr>
                          <w:rStyle w:val="Hyperlink"/>
                          <w:rFonts w:eastAsia="Arial" w:cs="Arial"/>
                          <w:color w:val="000000" w:themeColor="text1"/>
                          <w:sz w:val="22"/>
                          <w:u w:val="none"/>
                        </w:rPr>
                      </w:pPr>
                      <w:r>
                        <w:rPr>
                          <w:color w:val="000000"/>
                          <w:sz w:val="22"/>
                          <w:lang w:eastAsia="en-GB"/>
                        </w:rPr>
                        <w:t xml:space="preserve">Local waste management services included in </w:t>
                      </w:r>
                      <w:hyperlink w:anchor="_Additional_information_Back" w:history="1">
                        <w:r w:rsidRPr="0005473B">
                          <w:rPr>
                            <w:rStyle w:val="Hyperlink"/>
                            <w:sz w:val="22"/>
                            <w:lang w:eastAsia="en-GB"/>
                          </w:rPr>
                          <w:t>Section 14</w:t>
                        </w:r>
                      </w:hyperlink>
                    </w:p>
                    <w:p w14:paraId="4724A876" w14:textId="77777777" w:rsidR="0071745B" w:rsidRPr="008A6852" w:rsidRDefault="0071745B" w:rsidP="0071745B">
                      <w:pPr>
                        <w:pStyle w:val="ListParagraph"/>
                        <w:ind w:left="360"/>
                        <w:rPr>
                          <w:rStyle w:val="Hyperlink"/>
                          <w:rFonts w:eastAsia="Arial" w:cs="Arial"/>
                          <w:color w:val="000000" w:themeColor="text1"/>
                          <w:sz w:val="22"/>
                          <w:u w:val="none"/>
                        </w:rPr>
                      </w:pPr>
                    </w:p>
                    <w:p w14:paraId="210108BC" w14:textId="77777777" w:rsidR="0071745B" w:rsidRPr="00602218" w:rsidRDefault="0071745B" w:rsidP="00602218">
                      <w:pPr>
                        <w:spacing w:after="0" w:line="240" w:lineRule="auto"/>
                        <w:ind w:left="340"/>
                        <w:rPr>
                          <w:rFonts w:ascii="Aptos" w:hAnsi="Aptos"/>
                          <w:b/>
                          <w:bCs/>
                          <w:sz w:val="20"/>
                          <w:szCs w:val="20"/>
                        </w:rPr>
                      </w:pPr>
                      <w:r w:rsidRPr="00602218">
                        <w:rPr>
                          <w:b/>
                          <w:bCs/>
                          <w:sz w:val="20"/>
                          <w:szCs w:val="20"/>
                        </w:rPr>
                        <w:t>Version Control History</w:t>
                      </w:r>
                    </w:p>
                    <w:p w14:paraId="3FB8CDC4" w14:textId="77777777" w:rsidR="0071745B" w:rsidRPr="00602218" w:rsidRDefault="0071745B" w:rsidP="00602218">
                      <w:pPr>
                        <w:spacing w:after="0" w:line="240" w:lineRule="auto"/>
                        <w:ind w:left="340"/>
                        <w:rPr>
                          <w:sz w:val="20"/>
                          <w:szCs w:val="20"/>
                        </w:rPr>
                      </w:pPr>
                      <w:r w:rsidRPr="00602218">
                        <w:rPr>
                          <w:sz w:val="20"/>
                          <w:szCs w:val="20"/>
                        </w:rPr>
                        <w:t>Date: 15</w:t>
                      </w:r>
                      <w:r w:rsidRPr="00602218">
                        <w:rPr>
                          <w:sz w:val="20"/>
                          <w:szCs w:val="20"/>
                          <w:vertAlign w:val="superscript"/>
                        </w:rPr>
                        <w:t>th</w:t>
                      </w:r>
                      <w:r w:rsidRPr="00602218">
                        <w:rPr>
                          <w:sz w:val="20"/>
                          <w:szCs w:val="20"/>
                        </w:rPr>
                        <w:t xml:space="preserve"> February 2023, updated January 25</w:t>
                      </w:r>
                    </w:p>
                    <w:p w14:paraId="2FBABE42" w14:textId="77777777" w:rsidR="0071745B" w:rsidRPr="00602218" w:rsidRDefault="0071745B" w:rsidP="00602218">
                      <w:pPr>
                        <w:spacing w:after="0" w:line="240" w:lineRule="auto"/>
                        <w:ind w:left="340"/>
                        <w:rPr>
                          <w:sz w:val="20"/>
                          <w:szCs w:val="20"/>
                        </w:rPr>
                      </w:pPr>
                      <w:r w:rsidRPr="00602218">
                        <w:rPr>
                          <w:sz w:val="20"/>
                          <w:szCs w:val="20"/>
                        </w:rPr>
                        <w:t>Version: 1.1</w:t>
                      </w:r>
                    </w:p>
                    <w:p w14:paraId="2A21AC97" w14:textId="77777777" w:rsidR="0071745B" w:rsidRPr="00602218" w:rsidRDefault="0071745B" w:rsidP="00602218">
                      <w:pPr>
                        <w:spacing w:after="0" w:line="240" w:lineRule="auto"/>
                        <w:ind w:left="340"/>
                        <w:rPr>
                          <w:sz w:val="20"/>
                          <w:szCs w:val="20"/>
                        </w:rPr>
                      </w:pPr>
                      <w:r w:rsidRPr="00602218">
                        <w:rPr>
                          <w:sz w:val="20"/>
                          <w:szCs w:val="20"/>
                        </w:rPr>
                        <w:t>Type of change: Minor</w:t>
                      </w:r>
                    </w:p>
                    <w:p w14:paraId="68E6E2B0" w14:textId="77777777" w:rsidR="0071745B" w:rsidRPr="00602218" w:rsidRDefault="0071745B" w:rsidP="00602218">
                      <w:pPr>
                        <w:spacing w:after="0" w:line="240" w:lineRule="auto"/>
                        <w:ind w:left="340"/>
                        <w:rPr>
                          <w:sz w:val="20"/>
                          <w:szCs w:val="20"/>
                        </w:rPr>
                      </w:pPr>
                      <w:r w:rsidRPr="00602218">
                        <w:rPr>
                          <w:sz w:val="20"/>
                          <w:szCs w:val="20"/>
                        </w:rPr>
                        <w:t>Summary of change: Review date extended to February 26</w:t>
                      </w:r>
                    </w:p>
                    <w:p w14:paraId="1B598065" w14:textId="77777777" w:rsidR="008A6852" w:rsidRDefault="008A6852" w:rsidP="008A6852">
                      <w:pPr>
                        <w:pStyle w:val="ListParagraph"/>
                        <w:ind w:left="360"/>
                        <w:rPr>
                          <w:rFonts w:eastAsia="Arial" w:cs="Arial"/>
                          <w:color w:val="000000" w:themeColor="text1"/>
                          <w:sz w:val="22"/>
                        </w:rPr>
                      </w:pPr>
                    </w:p>
                    <w:p w14:paraId="50045383" w14:textId="77777777" w:rsidR="00602218" w:rsidRPr="00255B8C" w:rsidRDefault="00602218" w:rsidP="00602218">
                      <w:pPr>
                        <w:pStyle w:val="ListParagraph"/>
                        <w:spacing w:after="0" w:line="240" w:lineRule="auto"/>
                        <w:ind w:left="340"/>
                        <w:rPr>
                          <w:sz w:val="20"/>
                          <w:szCs w:val="20"/>
                        </w:rPr>
                      </w:pPr>
                      <w:r w:rsidRPr="00255B8C">
                        <w:rPr>
                          <w:sz w:val="20"/>
                          <w:szCs w:val="20"/>
                        </w:rPr>
                        <w:t>Date: 15</w:t>
                      </w:r>
                      <w:r w:rsidRPr="00255B8C">
                        <w:rPr>
                          <w:sz w:val="20"/>
                          <w:szCs w:val="20"/>
                          <w:vertAlign w:val="superscript"/>
                        </w:rPr>
                        <w:t>th</w:t>
                      </w:r>
                      <w:r w:rsidRPr="00255B8C">
                        <w:rPr>
                          <w:sz w:val="20"/>
                          <w:szCs w:val="20"/>
                        </w:rPr>
                        <w:t xml:space="preserve"> February 2023, updated December 2025</w:t>
                      </w:r>
                    </w:p>
                    <w:p w14:paraId="5104B935" w14:textId="77777777" w:rsidR="00602218" w:rsidRPr="00255B8C" w:rsidRDefault="00602218" w:rsidP="00602218">
                      <w:pPr>
                        <w:pStyle w:val="ListParagraph"/>
                        <w:spacing w:after="0" w:line="240" w:lineRule="auto"/>
                        <w:ind w:left="340"/>
                        <w:rPr>
                          <w:sz w:val="20"/>
                          <w:szCs w:val="20"/>
                        </w:rPr>
                      </w:pPr>
                      <w:r w:rsidRPr="00255B8C">
                        <w:rPr>
                          <w:sz w:val="20"/>
                          <w:szCs w:val="20"/>
                        </w:rPr>
                        <w:t>Version: 1.2</w:t>
                      </w:r>
                    </w:p>
                    <w:p w14:paraId="3D420051" w14:textId="77777777" w:rsidR="00602218" w:rsidRPr="00255B8C" w:rsidRDefault="00602218" w:rsidP="00602218">
                      <w:pPr>
                        <w:pStyle w:val="ListParagraph"/>
                        <w:spacing w:after="0" w:line="240" w:lineRule="auto"/>
                        <w:ind w:left="340"/>
                        <w:rPr>
                          <w:sz w:val="20"/>
                          <w:szCs w:val="20"/>
                        </w:rPr>
                      </w:pPr>
                      <w:r w:rsidRPr="00255B8C">
                        <w:rPr>
                          <w:sz w:val="20"/>
                          <w:szCs w:val="20"/>
                        </w:rPr>
                        <w:t>Type of change: Minor</w:t>
                      </w:r>
                    </w:p>
                    <w:p w14:paraId="28130A01" w14:textId="77777777" w:rsidR="00602218" w:rsidRPr="00255B8C" w:rsidRDefault="00602218" w:rsidP="00602218">
                      <w:pPr>
                        <w:pStyle w:val="ListParagraph"/>
                        <w:spacing w:after="0" w:line="240" w:lineRule="auto"/>
                        <w:ind w:left="340"/>
                        <w:rPr>
                          <w:sz w:val="20"/>
                          <w:szCs w:val="20"/>
                        </w:rPr>
                      </w:pPr>
                      <w:r w:rsidRPr="00255B8C">
                        <w:rPr>
                          <w:sz w:val="20"/>
                          <w:szCs w:val="20"/>
                        </w:rPr>
                        <w:t>Summary of change: Review date extended to February 2028</w:t>
                      </w:r>
                    </w:p>
                    <w:p w14:paraId="7D62BD47" w14:textId="77777777" w:rsidR="00602218" w:rsidRPr="00CB33F5" w:rsidRDefault="00602218" w:rsidP="008A6852">
                      <w:pPr>
                        <w:pStyle w:val="ListParagraph"/>
                        <w:ind w:left="360"/>
                        <w:rPr>
                          <w:rFonts w:eastAsia="Arial" w:cs="Arial"/>
                          <w:color w:val="000000" w:themeColor="text1"/>
                          <w:sz w:val="22"/>
                        </w:rPr>
                      </w:pPr>
                    </w:p>
                    <w:p w14:paraId="299492F6" w14:textId="77777777" w:rsidR="00226760" w:rsidRPr="00CB33F5" w:rsidRDefault="00226760" w:rsidP="00226760">
                      <w:pPr>
                        <w:pStyle w:val="ListParagraph"/>
                        <w:rPr>
                          <w:sz w:val="22"/>
                        </w:rPr>
                      </w:pPr>
                    </w:p>
                  </w:txbxContent>
                </v:textbox>
                <w10:wrap type="through" anchorx="margin"/>
              </v:shape>
            </w:pict>
          </mc:Fallback>
        </mc:AlternateContent>
      </w:r>
      <w:r w:rsidR="004753EF">
        <w:rPr>
          <w:noProof/>
        </w:rPr>
        <w:drawing>
          <wp:anchor distT="0" distB="0" distL="114300" distR="114300" simplePos="0" relativeHeight="251658241" behindDoc="1" locked="0" layoutInCell="1" allowOverlap="1" wp14:anchorId="33E7EB4D" wp14:editId="56C50F2D">
            <wp:simplePos x="0" y="0"/>
            <wp:positionH relativeFrom="margin">
              <wp:posOffset>4822825</wp:posOffset>
            </wp:positionH>
            <wp:positionV relativeFrom="paragraph">
              <wp:posOffset>516255</wp:posOffset>
            </wp:positionV>
            <wp:extent cx="1466850" cy="544195"/>
            <wp:effectExtent l="0" t="0" r="0" b="8255"/>
            <wp:wrapTight wrapText="bothSides">
              <wp:wrapPolygon edited="0">
                <wp:start x="0" y="0"/>
                <wp:lineTo x="0" y="21172"/>
                <wp:lineTo x="21319" y="21172"/>
                <wp:lineTo x="213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6850" cy="544195"/>
                    </a:xfrm>
                    <a:prstGeom prst="rect">
                      <a:avLst/>
                    </a:prstGeom>
                  </pic:spPr>
                </pic:pic>
              </a:graphicData>
            </a:graphic>
            <wp14:sizeRelH relativeFrom="page">
              <wp14:pctWidth>0</wp14:pctWidth>
            </wp14:sizeRelH>
            <wp14:sizeRelV relativeFrom="page">
              <wp14:pctHeight>0</wp14:pctHeight>
            </wp14:sizeRelV>
          </wp:anchor>
        </w:drawing>
      </w:r>
      <w:r w:rsidR="004206F9" w:rsidRPr="002D255E">
        <w:t>Vers</w:t>
      </w:r>
      <w:r w:rsidR="008A6852">
        <w:t>ion 1.</w:t>
      </w:r>
      <w:r w:rsidR="00C579DE">
        <w:t>2</w:t>
      </w:r>
    </w:p>
    <w:p w14:paraId="55A6D38E" w14:textId="77777777" w:rsidR="00602218" w:rsidRPr="00AA2C35" w:rsidRDefault="00602218" w:rsidP="00602218">
      <w:pPr>
        <w:spacing w:after="0" w:line="240" w:lineRule="auto"/>
        <w:ind w:hanging="567"/>
      </w:pPr>
      <w:r w:rsidRPr="00AA2C35">
        <w:lastRenderedPageBreak/>
        <w:t>Approved by: Integrated medicines committee (IMOC)</w:t>
      </w:r>
    </w:p>
    <w:p w14:paraId="7C0ED649" w14:textId="77777777" w:rsidR="00602218" w:rsidRPr="00AA2C35" w:rsidRDefault="00602218" w:rsidP="00602218">
      <w:pPr>
        <w:spacing w:after="0" w:line="240" w:lineRule="auto"/>
        <w:ind w:hanging="567"/>
      </w:pPr>
      <w:r w:rsidRPr="00AA2C35">
        <w:t>Approval date: 15</w:t>
      </w:r>
      <w:r w:rsidRPr="00AA2C35">
        <w:rPr>
          <w:vertAlign w:val="superscript"/>
        </w:rPr>
        <w:t>th</w:t>
      </w:r>
      <w:r w:rsidRPr="00AA2C35">
        <w:t xml:space="preserve"> February 2023</w:t>
      </w:r>
    </w:p>
    <w:p w14:paraId="603F9758" w14:textId="77777777" w:rsidR="00602218" w:rsidRPr="00AA2C35" w:rsidRDefault="00602218" w:rsidP="00602218">
      <w:pPr>
        <w:spacing w:after="0" w:line="240" w:lineRule="auto"/>
        <w:ind w:left="-567"/>
      </w:pPr>
      <w:r w:rsidRPr="00AA2C35">
        <w:t>Review Date: January 2025, as per NHS England. Extended to February 2028, agreed by</w:t>
      </w:r>
      <w:r>
        <w:t xml:space="preserve"> </w:t>
      </w:r>
      <w:r w:rsidRPr="00AA2C35">
        <w:t>Integrated Medicines Optimisation Committee December 2025</w:t>
      </w:r>
    </w:p>
    <w:p w14:paraId="60A4A7CA" w14:textId="33C3C1B3" w:rsidR="6AD024C3" w:rsidRDefault="6AD024C3" w:rsidP="6AD024C3">
      <w:pPr>
        <w:spacing w:line="240" w:lineRule="auto"/>
      </w:pPr>
    </w:p>
    <w:p w14:paraId="0C23819C" w14:textId="47C63B6E" w:rsidR="0093397B" w:rsidRPr="002D255E" w:rsidRDefault="0093397B" w:rsidP="004206F9">
      <w:pPr>
        <w:ind w:left="-709"/>
      </w:pPr>
      <w:r w:rsidRPr="002D255E">
        <w:rPr>
          <w:noProof/>
        </w:rPr>
        <mc:AlternateContent>
          <mc:Choice Requires="wps">
            <w:drawing>
              <wp:inline distT="45720" distB="45720" distL="114300" distR="114300" wp14:anchorId="1AE2D7C2" wp14:editId="2D1EB4ED">
                <wp:extent cx="6625086" cy="1147313"/>
                <wp:effectExtent l="0" t="0" r="23495" b="152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086" cy="1147313"/>
                        </a:xfrm>
                        <a:prstGeom prst="rect">
                          <a:avLst/>
                        </a:prstGeom>
                        <a:solidFill>
                          <a:srgbClr val="FFFFFF"/>
                        </a:solidFill>
                        <a:ln w="9525">
                          <a:solidFill>
                            <a:srgbClr val="000000"/>
                          </a:solidFill>
                          <a:miter lim="800000"/>
                          <a:headEnd/>
                          <a:tailEnd/>
                        </a:ln>
                      </wps:spPr>
                      <wps:txbx>
                        <w:txbxContent>
                          <w:p w14:paraId="2F6DD2C7" w14:textId="77777777" w:rsidR="0093397B" w:rsidRPr="00C55EA7" w:rsidRDefault="0093397B" w:rsidP="0093397B">
                            <w:pPr>
                              <w:spacing w:after="200"/>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4"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5"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16"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17"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233BDD8F" w14:textId="77777777" w:rsidR="0093397B" w:rsidRDefault="0093397B" w:rsidP="0093397B"/>
                        </w:txbxContent>
                      </wps:txbx>
                      <wps:bodyPr rot="0" vert="horz" wrap="square" lIns="91440" tIns="45720" rIns="91440" bIns="45720" anchor="t" anchorCtr="0">
                        <a:noAutofit/>
                      </wps:bodyPr>
                    </wps:wsp>
                  </a:graphicData>
                </a:graphic>
              </wp:inline>
            </w:drawing>
          </mc:Choice>
          <mc:Fallback>
            <w:pict>
              <v:shape w14:anchorId="1AE2D7C2" id="Text Box 2" o:spid="_x0000_s1027" type="#_x0000_t202" style="width:521.65pt;height: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">
                <v:textbox>
                  <w:txbxContent>
                    <w:p w14:paraId="2F6DD2C7" w14:textId="77777777" w:rsidR="0093397B" w:rsidRPr="00C55EA7" w:rsidRDefault="0093397B" w:rsidP="0093397B">
                      <w:pPr>
                        <w:spacing w:after="200"/>
                        <w:rPr>
                          <w:rFonts w:eastAsia="Calibri" w:cs="Arial"/>
                          <w:i/>
                          <w:iCs/>
                          <w:szCs w:val="24"/>
                          <w:lang w:eastAsia="en-GB"/>
                        </w:rPr>
                      </w:pPr>
                      <w:r w:rsidRPr="00C55EA7">
                        <w:rPr>
                          <w:rFonts w:eastAsia="Calibri" w:cs="Arial"/>
                          <w:b/>
                          <w:bCs/>
                          <w:szCs w:val="24"/>
                          <w:shd w:val="clear" w:color="auto" w:fill="FFFFFF"/>
                        </w:rPr>
                        <w:t>The content of this shared care protocol was correct as of January 2022. As well these protocols, please ensure that </w:t>
                      </w:r>
                      <w:hyperlink r:id="rId18" w:tgtFrame="_blank" w:tooltip="https://www.medicines.org.uk/emc/" w:history="1">
                        <w:r w:rsidRPr="00C55EA7">
                          <w:rPr>
                            <w:rFonts w:eastAsia="Calibri" w:cs="Arial"/>
                            <w:b/>
                            <w:bCs/>
                            <w:color w:val="4F52B2"/>
                            <w:szCs w:val="24"/>
                            <w:u w:val="single"/>
                            <w:shd w:val="clear" w:color="auto" w:fill="FFFFFF"/>
                          </w:rPr>
                          <w:t>summaries of product characteristics</w:t>
                        </w:r>
                      </w:hyperlink>
                      <w:r w:rsidRPr="00C55EA7">
                        <w:rPr>
                          <w:rFonts w:eastAsia="Calibri" w:cs="Arial"/>
                          <w:b/>
                          <w:bCs/>
                          <w:color w:val="242424"/>
                          <w:szCs w:val="24"/>
                          <w:shd w:val="clear" w:color="auto" w:fill="FFFFFF"/>
                        </w:rPr>
                        <w:t> (SPCs), </w:t>
                      </w:r>
                      <w:hyperlink r:id="rId19" w:tgtFrame="_blank" w:tooltip="https://bnf.nice.org.uk/?" w:history="1">
                        <w:r w:rsidRPr="00C55EA7">
                          <w:rPr>
                            <w:rFonts w:eastAsia="Calibri" w:cs="Arial"/>
                            <w:b/>
                            <w:bCs/>
                            <w:color w:val="4F52B2"/>
                            <w:szCs w:val="24"/>
                            <w:u w:val="single"/>
                            <w:shd w:val="clear" w:color="auto" w:fill="FFFFFF"/>
                          </w:rPr>
                          <w:t>British national formulary</w:t>
                        </w:r>
                      </w:hyperlink>
                      <w:r w:rsidRPr="00C55EA7">
                        <w:rPr>
                          <w:rFonts w:eastAsia="Calibri" w:cs="Arial"/>
                          <w:b/>
                          <w:bCs/>
                          <w:color w:val="242424"/>
                          <w:szCs w:val="24"/>
                          <w:shd w:val="clear" w:color="auto" w:fill="FFFFFF"/>
                        </w:rPr>
                        <w:t> (BNF) or the </w:t>
                      </w:r>
                      <w:hyperlink r:id="rId20" w:tgtFrame="_blank" w:tooltip="https://www.gov.uk/government/organisations/medicines-and-healthcare-products-regulatory-agency" w:history="1">
                        <w:r w:rsidRPr="00C55EA7">
                          <w:rPr>
                            <w:rFonts w:eastAsia="Calibri" w:cs="Arial"/>
                            <w:b/>
                            <w:bCs/>
                            <w:color w:val="4F52B2"/>
                            <w:szCs w:val="24"/>
                            <w:u w:val="single"/>
                            <w:shd w:val="clear" w:color="auto" w:fill="FFFFFF"/>
                          </w:rPr>
                          <w:t>Medicines and Healthcare products Regulatory Agency</w:t>
                        </w:r>
                      </w:hyperlink>
                      <w:r w:rsidRPr="00C55EA7">
                        <w:rPr>
                          <w:rFonts w:eastAsia="Calibri" w:cs="Arial"/>
                          <w:b/>
                          <w:bCs/>
                          <w:color w:val="242424"/>
                          <w:szCs w:val="24"/>
                          <w:shd w:val="clear" w:color="auto" w:fill="FFFFFF"/>
                        </w:rPr>
                        <w:t> (MHRA) or </w:t>
                      </w:r>
                      <w:hyperlink r:id="rId21" w:tgtFrame="_blank" w:tooltip="https://www.nice.org.uk/" w:history="1">
                        <w:r w:rsidRPr="00C55EA7">
                          <w:rPr>
                            <w:rFonts w:eastAsia="Calibri" w:cs="Arial"/>
                            <w:b/>
                            <w:bCs/>
                            <w:color w:val="4F52B2"/>
                            <w:szCs w:val="24"/>
                            <w:u w:val="single"/>
                            <w:shd w:val="clear" w:color="auto" w:fill="FFFFFF"/>
                          </w:rPr>
                          <w:t>NICE</w:t>
                        </w:r>
                      </w:hyperlink>
                      <w:r w:rsidRPr="00C55EA7">
                        <w:rPr>
                          <w:rFonts w:eastAsia="Calibri" w:cs="Arial"/>
                          <w:b/>
                          <w:bCs/>
                          <w:color w:val="242424"/>
                          <w:szCs w:val="24"/>
                          <w:shd w:val="clear" w:color="auto" w:fill="FFFFFF"/>
                        </w:rPr>
                        <w:t> websites are reviewed for up-to-date information on any medicine.</w:t>
                      </w:r>
                    </w:p>
                    <w:p w14:paraId="233BDD8F" w14:textId="77777777" w:rsidR="0093397B" w:rsidRDefault="0093397B" w:rsidP="0093397B"/>
                  </w:txbxContent>
                </v:textbox>
                <w10:anchorlock/>
              </v:shape>
            </w:pict>
          </mc:Fallback>
        </mc:AlternateContent>
      </w:r>
    </w:p>
    <w:p w14:paraId="69FD2FF5" w14:textId="13B4356E" w:rsidR="007C7494" w:rsidRPr="002D255E" w:rsidRDefault="007C7494" w:rsidP="0093397B">
      <w:pPr>
        <w:sectPr w:rsidR="007C7494" w:rsidRPr="002D255E" w:rsidSect="00602218">
          <w:footerReference w:type="default" r:id="rId22"/>
          <w:headerReference w:type="first" r:id="rId23"/>
          <w:pgSz w:w="11906" w:h="16838"/>
          <w:pgMar w:top="3119" w:right="1418" w:bottom="709" w:left="1418" w:header="510" w:footer="709" w:gutter="0"/>
          <w:cols w:space="708"/>
          <w:titlePg/>
          <w:docGrid w:linePitch="360"/>
        </w:sect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38"/>
        <w:gridCol w:w="3389"/>
        <w:gridCol w:w="5228"/>
      </w:tblGrid>
      <w:tr w:rsidR="00055685" w:rsidRPr="002D255E" w14:paraId="146E6787" w14:textId="77777777" w:rsidTr="7234176C">
        <w:trPr>
          <w:jc w:val="center"/>
        </w:trPr>
        <w:tc>
          <w:tcPr>
            <w:tcW w:w="10455" w:type="dxa"/>
            <w:gridSpan w:val="3"/>
            <w:tcBorders>
              <w:bottom w:val="single" w:sz="4" w:space="0" w:color="auto"/>
            </w:tcBorders>
            <w:shd w:val="clear" w:color="auto" w:fill="F2F2F2" w:themeFill="background1" w:themeFillShade="F2"/>
          </w:tcPr>
          <w:p w14:paraId="7A244829" w14:textId="6843A232" w:rsidR="00055685" w:rsidRPr="002D255E" w:rsidRDefault="00055685" w:rsidP="007C7494">
            <w:pPr>
              <w:pStyle w:val="Heading2"/>
              <w:spacing w:before="0"/>
              <w:rPr>
                <w:lang w:eastAsia="en-GB"/>
              </w:rPr>
            </w:pPr>
            <w:bookmarkStart w:id="0" w:name="_Specialist_responsibilities"/>
            <w:bookmarkStart w:id="1" w:name="Responsibilities"/>
            <w:bookmarkEnd w:id="0"/>
            <w:r w:rsidRPr="002D255E">
              <w:rPr>
                <w:lang w:eastAsia="en-GB"/>
              </w:rPr>
              <w:t>Specialist responsibilities</w:t>
            </w:r>
          </w:p>
          <w:p w14:paraId="36FE4FDD"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Assess the patient and provide diagnosis; ensure that this diagnosis is within scope of this shared care protocol (</w:t>
            </w:r>
            <w:hyperlink w:anchor="Two_indications" w:history="1">
              <w:r w:rsidRPr="002D255E">
                <w:rPr>
                  <w:rStyle w:val="Hyperlink"/>
                  <w:rFonts w:eastAsia="Times New Roman" w:cstheme="minorHAnsi"/>
                  <w:iCs/>
                  <w:color w:val="0000FF"/>
                  <w:lang w:eastAsia="en-GB"/>
                </w:rPr>
                <w:t>section 2</w:t>
              </w:r>
            </w:hyperlink>
            <w:r w:rsidRPr="002D255E">
              <w:rPr>
                <w:rFonts w:eastAsia="Times New Roman" w:cstheme="minorHAnsi"/>
                <w:iCs/>
                <w:color w:val="000000"/>
                <w:lang w:eastAsia="en-GB"/>
              </w:rPr>
              <w:t>) and communicated to primary care.</w:t>
            </w:r>
          </w:p>
          <w:p w14:paraId="554AA547"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Use a shared decision making approach; discuss the benefits and risks of the treatment with the patient and/or their carer and provide the appropriate counselling (see </w:t>
            </w:r>
            <w:hyperlink w:anchor="Eleven_advice_to_patients" w:history="1">
              <w:r w:rsidRPr="002D255E">
                <w:rPr>
                  <w:rStyle w:val="Hyperlink"/>
                  <w:rFonts w:eastAsia="Times New Roman" w:cstheme="minorHAnsi"/>
                  <w:iCs/>
                  <w:color w:val="0000FF"/>
                  <w:lang w:eastAsia="en-GB"/>
                </w:rPr>
                <w:t>section 11</w:t>
              </w:r>
            </w:hyperlink>
            <w:r w:rsidRPr="002D255E">
              <w:rPr>
                <w:rFonts w:eastAsia="Times New Roman" w:cstheme="minorHAnsi"/>
                <w:iCs/>
                <w:color w:val="000000"/>
                <w:lang w:eastAsia="en-GB"/>
              </w:rPr>
              <w:t>) to enable the patient to reach an informed decision. Obtain and document patient consent. Provide an appropriate patient information leaflet.</w:t>
            </w:r>
          </w:p>
          <w:p w14:paraId="2BB38663"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Ensure the patient and/or carer understands and can follow the once-weekly dose regimen.</w:t>
            </w:r>
          </w:p>
          <w:p w14:paraId="21374588"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If prescribing subcutaneous methotrexate ensure the patient/carer is trained to administer safely, or liaise with primary care to arrange safe administration by a healthcare professional. Ensure that there are local arrangements for safe supply and disposal of ancillary products.</w:t>
            </w:r>
          </w:p>
          <w:p w14:paraId="60732368"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Assess for contraindications and cautions (see </w:t>
            </w:r>
            <w:hyperlink w:anchor="Four_cx_and_cautions" w:history="1">
              <w:r w:rsidRPr="002D255E">
                <w:rPr>
                  <w:rStyle w:val="Hyperlink"/>
                  <w:rFonts w:eastAsia="Times New Roman" w:cstheme="minorHAnsi"/>
                  <w:iCs/>
                  <w:color w:val="0000FF"/>
                  <w:lang w:eastAsia="en-GB"/>
                </w:rPr>
                <w:t>section 4</w:t>
              </w:r>
            </w:hyperlink>
            <w:r w:rsidRPr="002D255E">
              <w:rPr>
                <w:rFonts w:eastAsia="Times New Roman" w:cstheme="minorHAnsi"/>
                <w:iCs/>
                <w:color w:val="000000"/>
                <w:lang w:eastAsia="en-GB"/>
              </w:rPr>
              <w:t xml:space="preserve">) and interactions (see </w:t>
            </w:r>
            <w:hyperlink w:anchor="Seven_interactions" w:history="1">
              <w:r w:rsidRPr="002D255E">
                <w:rPr>
                  <w:rStyle w:val="Hyperlink"/>
                  <w:rFonts w:eastAsia="Times New Roman" w:cstheme="minorHAnsi"/>
                  <w:iCs/>
                  <w:color w:val="0000FF"/>
                  <w:lang w:eastAsia="en-GB"/>
                </w:rPr>
                <w:t>section 7</w:t>
              </w:r>
            </w:hyperlink>
            <w:r w:rsidRPr="002D255E">
              <w:rPr>
                <w:rFonts w:eastAsia="Times New Roman" w:cstheme="minorHAnsi"/>
                <w:iCs/>
                <w:color w:val="000000"/>
                <w:lang w:eastAsia="en-GB"/>
              </w:rPr>
              <w:t>).</w:t>
            </w:r>
          </w:p>
          <w:p w14:paraId="3C22450B" w14:textId="47713CF1" w:rsidR="008D5964" w:rsidRPr="002D255E" w:rsidRDefault="008D5964" w:rsidP="008D5964">
            <w:pPr>
              <w:pStyle w:val="ListParagraph"/>
              <w:numPr>
                <w:ilvl w:val="0"/>
                <w:numId w:val="22"/>
              </w:numPr>
              <w:spacing w:after="200"/>
              <w:contextualSpacing/>
              <w:rPr>
                <w:rFonts w:eastAsia="Times New Roman" w:cstheme="minorHAnsi"/>
                <w:iCs/>
                <w:color w:val="000000"/>
                <w:lang w:eastAsia="en-GB"/>
              </w:rPr>
            </w:pPr>
            <w:r w:rsidRPr="002D255E">
              <w:rPr>
                <w:rFonts w:eastAsia="Times New Roman" w:cstheme="minorHAnsi"/>
                <w:iCs/>
                <w:color w:val="000000"/>
                <w:lang w:eastAsia="en-GB"/>
              </w:rPr>
              <w:t xml:space="preserve">Initiate and optimise treatment as outlined in </w:t>
            </w:r>
            <w:hyperlink w:anchor="Five_dosing" w:history="1">
              <w:r w:rsidRPr="002D255E">
                <w:rPr>
                  <w:rStyle w:val="Hyperlink"/>
                  <w:rFonts w:eastAsia="Times New Roman" w:cstheme="minorHAnsi"/>
                  <w:iCs/>
                  <w:color w:val="0000FF"/>
                  <w:lang w:eastAsia="en-GB"/>
                </w:rPr>
                <w:t>section 5</w:t>
              </w:r>
            </w:hyperlink>
            <w:r w:rsidRPr="002D255E">
              <w:rPr>
                <w:rFonts w:eastAsia="Times New Roman" w:cstheme="minorHAnsi"/>
                <w:iCs/>
                <w:color w:val="000000"/>
                <w:lang w:eastAsia="en-GB"/>
              </w:rPr>
              <w:t>. Transfer to primary care is after the patient has been treated for 3 months and with satisfactory investigation results for at least 4 weeks.</w:t>
            </w:r>
          </w:p>
          <w:p w14:paraId="09BF7EEE"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Once treatment is optimised, complete the shared care documentation and send to patient’s GP practice detailing the diagnosis, current and ongoing dose of methotrexate and folic acid, any relevant test results, which day of the week the patient takes their methotrexate and folic acid, and when the next monitoring is required. Include contact information (</w:t>
            </w:r>
            <w:hyperlink w:anchor="Thirteen_specialist_contact" w:history="1">
              <w:r w:rsidRPr="002D255E">
                <w:rPr>
                  <w:rStyle w:val="Hyperlink"/>
                  <w:rFonts w:eastAsia="Times New Roman" w:cstheme="minorHAnsi"/>
                  <w:iCs/>
                  <w:color w:val="0000FF"/>
                  <w:lang w:eastAsia="en-GB"/>
                </w:rPr>
                <w:t>section 13</w:t>
              </w:r>
            </w:hyperlink>
            <w:r w:rsidRPr="002D255E">
              <w:rPr>
                <w:rFonts w:eastAsia="Times New Roman" w:cstheme="minorHAnsi"/>
                <w:iCs/>
                <w:color w:val="000000"/>
                <w:lang w:eastAsia="en-GB"/>
              </w:rPr>
              <w:t xml:space="preserve">). If subcutaneous methotrexate is prescribed, include the brand. </w:t>
            </w:r>
          </w:p>
          <w:p w14:paraId="12753253"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Prescribe sufficient medication to enable transfer to primary care, including where there are unforeseen delays to transfer of care.</w:t>
            </w:r>
          </w:p>
          <w:p w14:paraId="35186708"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Conduct the required monitoring in </w:t>
            </w:r>
            <w:hyperlink w:anchor="Eight_specialist_monitoring" w:history="1">
              <w:r w:rsidRPr="002D255E">
                <w:rPr>
                  <w:rStyle w:val="Hyperlink"/>
                  <w:rFonts w:eastAsia="Times New Roman" w:cstheme="minorHAnsi"/>
                  <w:iCs/>
                  <w:color w:val="0000FF"/>
                  <w:lang w:eastAsia="en-GB"/>
                </w:rPr>
                <w:t>section 8</w:t>
              </w:r>
            </w:hyperlink>
            <w:r w:rsidRPr="002D255E">
              <w:rPr>
                <w:rStyle w:val="Hyperlink"/>
                <w:rFonts w:eastAsia="Times New Roman" w:cstheme="minorHAnsi"/>
                <w:iCs/>
                <w:color w:val="0000FF"/>
                <w:u w:val="none"/>
                <w:lang w:eastAsia="en-GB"/>
              </w:rPr>
              <w:t xml:space="preserve"> </w:t>
            </w:r>
            <w:r w:rsidRPr="002D255E">
              <w:rPr>
                <w:rStyle w:val="Hyperlink"/>
                <w:rFonts w:eastAsia="Times New Roman" w:cstheme="minorHAnsi"/>
                <w:iCs/>
                <w:color w:val="000000"/>
                <w:u w:val="none"/>
                <w:lang w:eastAsia="en-GB"/>
              </w:rPr>
              <w:t xml:space="preserve">and communicate the results to primary care. After each review, advise primary care whether treatment should be continued, confirm the ongoing dose, and whether the ongoing monitoring outlined in </w:t>
            </w:r>
            <w:hyperlink w:anchor="Nine_primary_care_monitoring" w:history="1">
              <w:r w:rsidRPr="002D255E">
                <w:rPr>
                  <w:rStyle w:val="Hyperlink"/>
                  <w:rFonts w:eastAsia="Times New Roman" w:cstheme="minorHAnsi"/>
                  <w:iCs/>
                  <w:color w:val="0000FF"/>
                  <w:lang w:eastAsia="en-GB"/>
                </w:rPr>
                <w:t>section 9</w:t>
              </w:r>
            </w:hyperlink>
            <w:r w:rsidRPr="002D255E">
              <w:rPr>
                <w:rStyle w:val="Hyperlink"/>
                <w:rFonts w:eastAsia="Times New Roman" w:cstheme="minorHAnsi"/>
                <w:iCs/>
                <w:color w:val="000000"/>
                <w:u w:val="none"/>
                <w:lang w:eastAsia="en-GB"/>
              </w:rPr>
              <w:t xml:space="preserve"> remains appropriate</w:t>
            </w:r>
            <w:r w:rsidRPr="002D255E">
              <w:rPr>
                <w:rFonts w:eastAsia="Times New Roman" w:cstheme="minorHAnsi"/>
                <w:iCs/>
                <w:color w:val="000000"/>
                <w:lang w:eastAsia="en-GB"/>
              </w:rPr>
              <w:t xml:space="preserve">. </w:t>
            </w:r>
          </w:p>
          <w:p w14:paraId="04355F53" w14:textId="44E30812"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Review treatment and reassume prescribing responsibility if a patient becomes or wishes to become pregnant.</w:t>
            </w:r>
          </w:p>
          <w:p w14:paraId="05B249AF" w14:textId="0E969639"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Provide advice to primary care on the management of adverse effects if required</w:t>
            </w:r>
          </w:p>
          <w:bookmarkEnd w:id="1"/>
          <w:p w14:paraId="777ACBA6" w14:textId="5A724922" w:rsidR="00055685" w:rsidRPr="002D255E" w:rsidRDefault="00055685" w:rsidP="007C7494">
            <w:pPr>
              <w:pStyle w:val="Heading2"/>
              <w:rPr>
                <w:lang w:eastAsia="en-GB"/>
              </w:rPr>
            </w:pPr>
            <w:r w:rsidRPr="002D255E">
              <w:rPr>
                <w:lang w:eastAsia="en-GB"/>
              </w:rPr>
              <w:lastRenderedPageBreak/>
              <w:t>Primary care responsibilities</w:t>
            </w:r>
          </w:p>
          <w:p w14:paraId="47020424"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Respond to the request from the specialist for shared care in writing. It is asked that this be undertaken within 14 days of the request being made, where possible.</w:t>
            </w:r>
          </w:p>
          <w:p w14:paraId="3365C5F3"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If accepted, prescribe methotrexate and folic acid as detailed in the specialists request and as per </w:t>
            </w:r>
            <w:hyperlink w:anchor="Five_dosing" w:history="1">
              <w:r w:rsidRPr="002D255E">
                <w:rPr>
                  <w:rStyle w:val="Hyperlink"/>
                  <w:rFonts w:eastAsia="Times New Roman" w:cstheme="minorHAnsi"/>
                  <w:iCs/>
                  <w:color w:val="0000FF"/>
                  <w:lang w:eastAsia="en-GB"/>
                </w:rPr>
                <w:t>section 5</w:t>
              </w:r>
            </w:hyperlink>
            <w:r w:rsidRPr="002D255E">
              <w:rPr>
                <w:rFonts w:eastAsia="Times New Roman" w:cstheme="minorHAnsi"/>
                <w:iCs/>
                <w:color w:val="000000"/>
                <w:lang w:eastAsia="en-GB"/>
              </w:rPr>
              <w:t xml:space="preserve">, taking into any account potential drug interactions in </w:t>
            </w:r>
            <w:hyperlink w:anchor="Seven_interactions" w:history="1">
              <w:r w:rsidRPr="002D255E">
                <w:rPr>
                  <w:rStyle w:val="Hyperlink"/>
                  <w:rFonts w:eastAsia="Times New Roman" w:cstheme="minorHAnsi"/>
                  <w:iCs/>
                  <w:color w:val="0000FF"/>
                  <w:lang w:eastAsia="en-GB"/>
                </w:rPr>
                <w:t>section 7</w:t>
              </w:r>
            </w:hyperlink>
            <w:r w:rsidRPr="002D255E">
              <w:rPr>
                <w:rFonts w:eastAsia="Times New Roman" w:cstheme="minorHAnsi"/>
                <w:iCs/>
                <w:color w:val="000000"/>
                <w:lang w:eastAsia="en-GB"/>
              </w:rPr>
              <w:t>.</w:t>
            </w:r>
          </w:p>
          <w:p w14:paraId="6267D231"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Adjust the dose of methotrexate and folic acid prescribed as advised by the specialist.</w:t>
            </w:r>
          </w:p>
          <w:p w14:paraId="43F7969D"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Conduct the required monitoring as outlined in </w:t>
            </w:r>
            <w:hyperlink w:anchor="Nine_primary_care_monitoring" w:history="1">
              <w:r w:rsidRPr="002D255E">
                <w:rPr>
                  <w:rStyle w:val="Hyperlink"/>
                  <w:rFonts w:eastAsia="Times New Roman" w:cstheme="minorHAnsi"/>
                  <w:iCs/>
                  <w:color w:val="0000FF"/>
                  <w:lang w:eastAsia="en-GB"/>
                </w:rPr>
                <w:t>section 9</w:t>
              </w:r>
            </w:hyperlink>
            <w:r w:rsidRPr="002D255E">
              <w:rPr>
                <w:rFonts w:eastAsia="Times New Roman" w:cstheme="minorHAnsi"/>
                <w:iCs/>
                <w:color w:val="000000"/>
                <w:lang w:eastAsia="en-GB"/>
              </w:rPr>
              <w:t>.</w:t>
            </w:r>
            <w:r w:rsidRPr="002D255E">
              <w:rPr>
                <w:color w:val="000000"/>
              </w:rPr>
              <w:t xml:space="preserve"> </w:t>
            </w:r>
            <w:r w:rsidRPr="002D255E">
              <w:rPr>
                <w:rFonts w:eastAsia="Times New Roman" w:cstheme="minorHAnsi"/>
                <w:iCs/>
                <w:color w:val="000000"/>
                <w:lang w:eastAsia="en-GB"/>
              </w:rPr>
              <w:t>Communicate any abnormal results to the specialist.</w:t>
            </w:r>
          </w:p>
          <w:p w14:paraId="0C59E5B2"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Manage adverse effects as detailed in </w:t>
            </w:r>
            <w:hyperlink w:anchor="Ten_ADRs_and_Management" w:history="1">
              <w:r w:rsidRPr="002D255E">
                <w:rPr>
                  <w:rStyle w:val="Hyperlink"/>
                  <w:rFonts w:eastAsia="Times New Roman" w:cstheme="minorHAnsi"/>
                  <w:iCs/>
                  <w:color w:val="0000FF"/>
                  <w:lang w:eastAsia="en-GB"/>
                </w:rPr>
                <w:t>section 10</w:t>
              </w:r>
            </w:hyperlink>
            <w:r w:rsidRPr="002D255E">
              <w:rPr>
                <w:rFonts w:eastAsia="Times New Roman" w:cstheme="minorHAnsi"/>
                <w:iCs/>
                <w:color w:val="000000"/>
                <w:lang w:eastAsia="en-GB"/>
              </w:rPr>
              <w:t xml:space="preserve"> and discuss with specialist team when required.</w:t>
            </w:r>
          </w:p>
          <w:p w14:paraId="6FCD9D47"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Stop methotrexate and discuss urgently with the specialist if the patient develops signs of severe infection, liver or respiratory disease, unexplained bleeding or bruising, becomes pregnant, or if immunosuppressed patients are exposed to chickenpox or shingles. </w:t>
            </w:r>
          </w:p>
          <w:p w14:paraId="3E178ECD"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Discuss with the specialist if the patient plans to become pregnant.</w:t>
            </w:r>
          </w:p>
          <w:p w14:paraId="6D6C72B1" w14:textId="26ED6605"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Stop treatment as advised by the specialist. </w:t>
            </w:r>
          </w:p>
          <w:p w14:paraId="09D140FC" w14:textId="77777777" w:rsidR="00055685" w:rsidRPr="002D255E" w:rsidRDefault="00055685" w:rsidP="008D5964">
            <w:pPr>
              <w:pStyle w:val="Heading2"/>
              <w:rPr>
                <w:lang w:eastAsia="en-GB"/>
              </w:rPr>
            </w:pPr>
            <w:r w:rsidRPr="002D255E">
              <w:rPr>
                <w:lang w:eastAsia="en-GB"/>
              </w:rPr>
              <w:t>Patient and/or carer responsibilities</w:t>
            </w:r>
          </w:p>
          <w:p w14:paraId="412F22F0"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Take or administer </w:t>
            </w:r>
            <w:r w:rsidRPr="002D255E">
              <w:rPr>
                <w:color w:val="000000"/>
              </w:rPr>
              <w:t>methotrexate</w:t>
            </w:r>
            <w:r w:rsidRPr="002D255E">
              <w:rPr>
                <w:rFonts w:eastAsia="Times New Roman" w:cstheme="minorHAnsi"/>
                <w:iCs/>
                <w:color w:val="000000"/>
                <w:lang w:eastAsia="en-GB"/>
              </w:rPr>
              <w:t xml:space="preserve"> as prescribed and avoid abrupt withdrawal unless advised by the primary care prescriber or specialist.</w:t>
            </w:r>
          </w:p>
          <w:p w14:paraId="485C354B"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Attend regularly for monitoring and review appointments with primary care and specialist, and keep contact details up to date with both prescribers. If provided, they should bring their monitoring booklet to each appointment. Be aware that medicines may be stopped if they do not attend.</w:t>
            </w:r>
          </w:p>
          <w:p w14:paraId="14754B80"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 xml:space="preserve">Report adverse effects to their primary care prescriber. Seek immediate medical attention if they develop any symptoms as detailed in </w:t>
            </w:r>
            <w:hyperlink w:anchor="Eleven_advice_to_patients" w:history="1">
              <w:r w:rsidRPr="002D255E">
                <w:rPr>
                  <w:rStyle w:val="Hyperlink"/>
                  <w:rFonts w:eastAsia="Times New Roman" w:cstheme="minorHAnsi"/>
                  <w:iCs/>
                  <w:color w:val="0000FF"/>
                  <w:lang w:eastAsia="en-GB"/>
                </w:rPr>
                <w:t>section 11</w:t>
              </w:r>
            </w:hyperlink>
            <w:r w:rsidRPr="002D255E">
              <w:rPr>
                <w:rFonts w:eastAsia="Times New Roman" w:cstheme="minorHAnsi"/>
                <w:iCs/>
                <w:color w:val="000000"/>
                <w:lang w:eastAsia="en-GB"/>
              </w:rPr>
              <w:t>.</w:t>
            </w:r>
          </w:p>
          <w:p w14:paraId="72DE2B63"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iCs/>
                <w:color w:val="000000"/>
                <w:lang w:eastAsia="en-GB"/>
              </w:rPr>
            </w:pPr>
            <w:r w:rsidRPr="002D255E">
              <w:rPr>
                <w:rFonts w:eastAsia="Times New Roman" w:cstheme="minorHAnsi"/>
                <w:iCs/>
                <w:color w:val="000000"/>
                <w:lang w:eastAsia="en-GB"/>
              </w:rPr>
              <w:t>Report the use of any over the counter (OTC) medications to primary care and specialist and be aware they should discuss the use of methotrexate with their pharmacist before purchasing any OTC medicines.</w:t>
            </w:r>
          </w:p>
          <w:p w14:paraId="50337684" w14:textId="77777777" w:rsidR="008D5964" w:rsidRPr="002D255E" w:rsidRDefault="008D5964" w:rsidP="008D5964">
            <w:pPr>
              <w:pStyle w:val="ListParagraph"/>
              <w:numPr>
                <w:ilvl w:val="0"/>
                <w:numId w:val="22"/>
              </w:numPr>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Moderate their alcohol intake to no more than 14 units per week. </w:t>
            </w:r>
          </w:p>
          <w:p w14:paraId="613C6FF8" w14:textId="77777777" w:rsidR="008D5964" w:rsidRPr="002D255E" w:rsidRDefault="008D5964" w:rsidP="008D5964">
            <w:pPr>
              <w:pStyle w:val="ListParagraph"/>
              <w:numPr>
                <w:ilvl w:val="0"/>
                <w:numId w:val="22"/>
              </w:numPr>
              <w:spacing w:before="60" w:after="60" w:line="240" w:lineRule="auto"/>
              <w:contextualSpacing/>
              <w:rPr>
                <w:rStyle w:val="Hyperlink"/>
                <w:rFonts w:eastAsia="Times New Roman" w:cstheme="minorHAnsi"/>
                <w:color w:val="000000"/>
                <w:u w:val="none"/>
                <w:lang w:eastAsia="en-GB"/>
              </w:rPr>
            </w:pPr>
            <w:r w:rsidRPr="002D255E">
              <w:rPr>
                <w:rFonts w:eastAsia="Times New Roman" w:cstheme="minorHAnsi"/>
                <w:iCs/>
                <w:color w:val="000000"/>
                <w:lang w:eastAsia="en-GB"/>
              </w:rPr>
              <w:t>Not to drive or operate heavy machinery if methotrexate affects their ability to do so safely</w:t>
            </w:r>
            <w:r w:rsidRPr="002D255E">
              <w:rPr>
                <w:rStyle w:val="Hyperlink"/>
                <w:color w:val="000000"/>
                <w:u w:val="none"/>
              </w:rPr>
              <w:t xml:space="preserve">. </w:t>
            </w:r>
          </w:p>
          <w:p w14:paraId="61DDC8D4" w14:textId="53B4FC35" w:rsidR="008D5964" w:rsidRPr="002D255E" w:rsidRDefault="008D5964" w:rsidP="008D5964">
            <w:pPr>
              <w:pStyle w:val="ListParagraph"/>
              <w:numPr>
                <w:ilvl w:val="0"/>
                <w:numId w:val="22"/>
              </w:numPr>
              <w:spacing w:before="60" w:after="60" w:line="240" w:lineRule="auto"/>
              <w:contextualSpacing/>
              <w:rPr>
                <w:rFonts w:eastAsia="Times New Roman" w:cstheme="minorHAnsi"/>
                <w:color w:val="000000"/>
                <w:lang w:eastAsia="en-GB"/>
              </w:rPr>
            </w:pPr>
            <w:r w:rsidRPr="002D255E">
              <w:rPr>
                <w:rFonts w:eastAsia="Times New Roman" w:cstheme="minorHAnsi"/>
                <w:iCs/>
                <w:color w:val="000000"/>
                <w:lang w:eastAsia="en-GB"/>
              </w:rPr>
              <w:t xml:space="preserve">All patients should use appropriate contraception. Those of childbearing potential should take a pregnancy test if they think they could be pregnant, and inform the specialist or GP immediately if they become pregnant or wish to become pregnant. See </w:t>
            </w:r>
            <w:hyperlink w:anchor="Twelve_pregnancy_paternity" w:history="1">
              <w:r w:rsidRPr="002D255E">
                <w:rPr>
                  <w:rStyle w:val="Hyperlink"/>
                  <w:rFonts w:eastAsia="Times New Roman" w:cstheme="minorHAnsi"/>
                  <w:iCs/>
                  <w:lang w:eastAsia="en-GB"/>
                </w:rPr>
                <w:t>section 12</w:t>
              </w:r>
            </w:hyperlink>
            <w:r w:rsidRPr="002D255E">
              <w:rPr>
                <w:rFonts w:eastAsia="Times New Roman" w:cstheme="minorHAnsi"/>
                <w:iCs/>
                <w:color w:val="000000"/>
                <w:lang w:eastAsia="en-GB"/>
              </w:rPr>
              <w:t>.</w:t>
            </w:r>
          </w:p>
        </w:tc>
      </w:tr>
      <w:tr w:rsidR="00055685" w:rsidRPr="002D255E" w14:paraId="2BBEC1D0" w14:textId="77777777" w:rsidTr="7234176C">
        <w:trPr>
          <w:jc w:val="center"/>
        </w:trPr>
        <w:tc>
          <w:tcPr>
            <w:tcW w:w="10455" w:type="dxa"/>
            <w:gridSpan w:val="3"/>
            <w:tcBorders>
              <w:bottom w:val="nil"/>
            </w:tcBorders>
            <w:shd w:val="clear" w:color="auto" w:fill="F2F2F2" w:themeFill="background1" w:themeFillShade="F2"/>
          </w:tcPr>
          <w:p w14:paraId="14521365" w14:textId="6DDD4E82" w:rsidR="00055685" w:rsidRPr="002D255E" w:rsidRDefault="00055685" w:rsidP="00FA713C">
            <w:pPr>
              <w:pStyle w:val="Heading1"/>
              <w:tabs>
                <w:tab w:val="right" w:pos="10238"/>
              </w:tabs>
              <w:rPr>
                <w:rFonts w:cs="Arial"/>
              </w:rPr>
            </w:pPr>
            <w:bookmarkStart w:id="2" w:name="One_background"/>
            <w:r w:rsidRPr="002D255E">
              <w:rPr>
                <w:lang w:eastAsia="en-GB"/>
              </w:rPr>
              <w:lastRenderedPageBreak/>
              <w:t>Background</w:t>
            </w:r>
            <w:bookmarkEnd w:id="2"/>
            <w:r w:rsidRPr="002D255E">
              <w:rPr>
                <w:lang w:eastAsia="en-GB"/>
              </w:rPr>
              <w:t xml:space="preserve"> </w:t>
            </w:r>
            <w:r w:rsidRPr="002D255E">
              <w:rPr>
                <w:lang w:eastAsia="en-GB"/>
              </w:rPr>
              <w:tab/>
            </w:r>
            <w:hyperlink w:anchor="Responsibilities" w:history="1">
              <w:r w:rsidR="00FA713C" w:rsidRPr="002D255E">
                <w:rPr>
                  <w:rStyle w:val="Hyperlink"/>
                  <w:rFonts w:eastAsia="Times New Roman" w:cs="Arial"/>
                  <w:b w:val="0"/>
                  <w:bCs w:val="0"/>
                  <w:sz w:val="24"/>
                  <w:szCs w:val="24"/>
                  <w:lang w:eastAsia="en-GB"/>
                </w:rPr>
                <w:t>Back to top</w:t>
              </w:r>
            </w:hyperlink>
          </w:p>
        </w:tc>
      </w:tr>
      <w:tr w:rsidR="008D5964" w:rsidRPr="002D255E" w14:paraId="295ECE79" w14:textId="77777777" w:rsidTr="7234176C">
        <w:trPr>
          <w:jc w:val="center"/>
        </w:trPr>
        <w:tc>
          <w:tcPr>
            <w:tcW w:w="10455" w:type="dxa"/>
            <w:gridSpan w:val="3"/>
            <w:tcBorders>
              <w:top w:val="nil"/>
              <w:bottom w:val="single" w:sz="4" w:space="0" w:color="auto"/>
            </w:tcBorders>
          </w:tcPr>
          <w:p w14:paraId="4BB1502E" w14:textId="77777777" w:rsidR="008D5964" w:rsidRPr="002D255E" w:rsidRDefault="008D5964" w:rsidP="008D5964">
            <w:pPr>
              <w:spacing w:before="60" w:after="60" w:line="240" w:lineRule="auto"/>
            </w:pPr>
            <w:r w:rsidRPr="002D255E">
              <w:t xml:space="preserve">Methotrexate is a cytotoxic folic acid antagonist used to treat chronic inflammatory conditions and certain cancers. It inhibits the enzyme dihydrofolate reductase and inhibits synthesis of DNA, RNA and proteins. </w:t>
            </w:r>
          </w:p>
          <w:p w14:paraId="6C5DC46F" w14:textId="77777777" w:rsidR="008D5964" w:rsidRPr="002D255E" w:rsidRDefault="008D5964" w:rsidP="008D5964">
            <w:pPr>
              <w:spacing w:before="60" w:after="60" w:line="240" w:lineRule="auto"/>
            </w:pPr>
            <w:r w:rsidRPr="002D255E">
              <w:t>Methotrexate is licensed for the treatment of certain cancers, as well as some chronic inflammatory disorders. It is not licensed for all the conditions it is used to treat. However, its use for the indications below are well established and supported by clinical specialists.</w:t>
            </w:r>
          </w:p>
          <w:p w14:paraId="548264B8" w14:textId="6445BA5A" w:rsidR="008D5964" w:rsidRPr="002D255E" w:rsidRDefault="008D5964" w:rsidP="008D5964">
            <w:r w:rsidRPr="002D255E">
              <w:t xml:space="preserve">This shared care protocol does not cover treatment of cancer, or treatment of people less than 18 years old. </w:t>
            </w:r>
          </w:p>
        </w:tc>
      </w:tr>
      <w:tr w:rsidR="008D5964" w:rsidRPr="002D255E" w14:paraId="061A519D" w14:textId="77777777" w:rsidTr="7234176C">
        <w:trPr>
          <w:jc w:val="center"/>
        </w:trPr>
        <w:tc>
          <w:tcPr>
            <w:tcW w:w="10455" w:type="dxa"/>
            <w:gridSpan w:val="3"/>
            <w:tcBorders>
              <w:bottom w:val="nil"/>
            </w:tcBorders>
            <w:shd w:val="clear" w:color="auto" w:fill="F2F2F2" w:themeFill="background1" w:themeFillShade="F2"/>
          </w:tcPr>
          <w:p w14:paraId="31A445E6" w14:textId="7822028A" w:rsidR="008D5964" w:rsidRPr="002D255E" w:rsidRDefault="008D5964" w:rsidP="008D5964">
            <w:pPr>
              <w:pStyle w:val="Heading1"/>
              <w:tabs>
                <w:tab w:val="right" w:pos="10240"/>
              </w:tabs>
              <w:rPr>
                <w:lang w:eastAsia="en-GB"/>
              </w:rPr>
            </w:pPr>
            <w:bookmarkStart w:id="3" w:name="Two_indications"/>
            <w:r w:rsidRPr="002D255E">
              <w:rPr>
                <w:lang w:eastAsia="en-GB"/>
              </w:rPr>
              <w:lastRenderedPageBreak/>
              <w:t>Indications</w:t>
            </w:r>
            <w:bookmarkEnd w:id="3"/>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tc>
      </w:tr>
      <w:tr w:rsidR="008D5964" w:rsidRPr="002D255E" w14:paraId="29A3FC11" w14:textId="77777777" w:rsidTr="7234176C">
        <w:trPr>
          <w:jc w:val="center"/>
        </w:trPr>
        <w:tc>
          <w:tcPr>
            <w:tcW w:w="10455" w:type="dxa"/>
            <w:gridSpan w:val="3"/>
            <w:tcBorders>
              <w:top w:val="nil"/>
              <w:bottom w:val="single" w:sz="4" w:space="0" w:color="auto"/>
            </w:tcBorders>
          </w:tcPr>
          <w:p w14:paraId="51CEBF36" w14:textId="77777777" w:rsidR="008D5964" w:rsidRPr="002D255E" w:rsidRDefault="008D5964" w:rsidP="008D5964">
            <w:pPr>
              <w:spacing w:before="60" w:after="60" w:line="240" w:lineRule="auto"/>
              <w:rPr>
                <w:rFonts w:eastAsia="Times New Roman" w:cs="Arial"/>
                <w:color w:val="000000"/>
                <w:lang w:eastAsia="en-GB"/>
              </w:rPr>
            </w:pPr>
            <w:r w:rsidRPr="002D255E">
              <w:rPr>
                <w:rFonts w:eastAsia="Times New Roman" w:cs="Arial"/>
                <w:color w:val="000000"/>
                <w:lang w:eastAsia="en-GB"/>
              </w:rPr>
              <w:t>The licensed indications for methotrexate include:</w:t>
            </w:r>
          </w:p>
          <w:p w14:paraId="038A54C3" w14:textId="77777777" w:rsidR="008D5964" w:rsidRPr="002D255E" w:rsidRDefault="008D5964" w:rsidP="008D5964">
            <w:pPr>
              <w:numPr>
                <w:ilvl w:val="0"/>
                <w:numId w:val="12"/>
              </w:numPr>
              <w:spacing w:after="0" w:line="240" w:lineRule="auto"/>
              <w:contextualSpacing/>
              <w:rPr>
                <w:rFonts w:eastAsia="Times New Roman" w:cs="Arial"/>
                <w:color w:val="000000"/>
                <w:szCs w:val="16"/>
                <w:lang w:eastAsia="en-GB"/>
              </w:rPr>
            </w:pPr>
            <w:r w:rsidRPr="002D255E">
              <w:rPr>
                <w:rFonts w:eastAsia="Times New Roman" w:cs="Arial"/>
                <w:color w:val="000000"/>
                <w:szCs w:val="16"/>
                <w:lang w:eastAsia="en-GB"/>
              </w:rPr>
              <w:t>Active rheumatoid arthritis</w:t>
            </w:r>
          </w:p>
          <w:p w14:paraId="6CE25DA8" w14:textId="77777777" w:rsidR="008D5964" w:rsidRPr="002D255E" w:rsidRDefault="008D5964" w:rsidP="008D5964">
            <w:pPr>
              <w:numPr>
                <w:ilvl w:val="0"/>
                <w:numId w:val="12"/>
              </w:numPr>
              <w:spacing w:after="0" w:line="240" w:lineRule="auto"/>
              <w:contextualSpacing/>
              <w:rPr>
                <w:rFonts w:eastAsia="Times New Roman" w:cs="Arial"/>
                <w:color w:val="000000"/>
                <w:szCs w:val="16"/>
                <w:lang w:eastAsia="en-GB"/>
              </w:rPr>
            </w:pPr>
            <w:r w:rsidRPr="002D255E">
              <w:rPr>
                <w:rFonts w:eastAsia="Times New Roman" w:cs="Arial"/>
                <w:color w:val="000000"/>
                <w:szCs w:val="16"/>
                <w:lang w:eastAsia="en-GB"/>
              </w:rPr>
              <w:t>Mild to moderate Crohn’s disease in patients refractory or intolerant to thiopurines (licensed indication of subcutaneous preparations)</w:t>
            </w:r>
          </w:p>
          <w:p w14:paraId="432FE54D" w14:textId="77777777" w:rsidR="008D5964" w:rsidRPr="002D255E" w:rsidRDefault="008D5964" w:rsidP="008D5964">
            <w:pPr>
              <w:numPr>
                <w:ilvl w:val="0"/>
                <w:numId w:val="12"/>
              </w:numPr>
              <w:spacing w:after="0" w:line="240" w:lineRule="auto"/>
              <w:contextualSpacing/>
              <w:rPr>
                <w:rFonts w:eastAsia="Times New Roman" w:cs="Arial"/>
                <w:color w:val="000000"/>
                <w:szCs w:val="16"/>
                <w:lang w:eastAsia="en-GB"/>
              </w:rPr>
            </w:pPr>
            <w:r w:rsidRPr="002D255E">
              <w:rPr>
                <w:rFonts w:eastAsia="Times New Roman" w:cs="Arial"/>
                <w:color w:val="000000"/>
                <w:szCs w:val="16"/>
                <w:lang w:eastAsia="en-GB"/>
              </w:rPr>
              <w:t>Severe psoriasis</w:t>
            </w:r>
          </w:p>
          <w:p w14:paraId="1F7C8AC6" w14:textId="77777777" w:rsidR="008D5964" w:rsidRPr="002D255E" w:rsidRDefault="008D5964" w:rsidP="008D5964">
            <w:pPr>
              <w:numPr>
                <w:ilvl w:val="0"/>
                <w:numId w:val="12"/>
              </w:numPr>
              <w:spacing w:after="0" w:line="240" w:lineRule="auto"/>
              <w:contextualSpacing/>
              <w:rPr>
                <w:rFonts w:eastAsia="Times New Roman" w:cs="Arial"/>
                <w:color w:val="000000"/>
                <w:szCs w:val="16"/>
                <w:lang w:eastAsia="en-GB"/>
              </w:rPr>
            </w:pPr>
            <w:r w:rsidRPr="002D255E">
              <w:rPr>
                <w:rFonts w:eastAsia="Times New Roman" w:cs="Arial"/>
                <w:color w:val="000000"/>
                <w:szCs w:val="16"/>
                <w:lang w:eastAsia="en-GB"/>
              </w:rPr>
              <w:t xml:space="preserve">Severe psoriatic arthritis </w:t>
            </w:r>
          </w:p>
          <w:p w14:paraId="07E49291" w14:textId="77777777" w:rsidR="008D5964" w:rsidRPr="002D255E" w:rsidRDefault="008D5964" w:rsidP="008D5964">
            <w:pPr>
              <w:spacing w:after="0" w:line="240" w:lineRule="auto"/>
              <w:rPr>
                <w:rFonts w:eastAsia="Times New Roman" w:cs="Arial"/>
                <w:color w:val="000000"/>
                <w:lang w:eastAsia="en-GB"/>
              </w:rPr>
            </w:pPr>
            <w:r w:rsidRPr="002D255E">
              <w:rPr>
                <w:rFonts w:eastAsia="Times New Roman" w:cs="Arial"/>
                <w:color w:val="000000"/>
                <w:lang w:eastAsia="en-GB"/>
              </w:rPr>
              <w:t xml:space="preserve">Licensed indications vary with brand. See relevant </w:t>
            </w:r>
            <w:hyperlink r:id="rId24" w:history="1">
              <w:r w:rsidRPr="002D255E">
                <w:rPr>
                  <w:rStyle w:val="Hyperlink"/>
                  <w:rFonts w:eastAsia="Times New Roman" w:cs="Arial"/>
                  <w:lang w:eastAsia="en-GB"/>
                </w:rPr>
                <w:t>summary of product characteristics</w:t>
              </w:r>
            </w:hyperlink>
            <w:r w:rsidRPr="002D255E">
              <w:rPr>
                <w:rFonts w:eastAsia="Times New Roman" w:cs="Arial"/>
                <w:color w:val="000000"/>
                <w:lang w:eastAsia="en-GB"/>
              </w:rPr>
              <w:t xml:space="preserve"> for full details. </w:t>
            </w:r>
          </w:p>
          <w:p w14:paraId="66D786D6" w14:textId="77777777" w:rsidR="008D5964" w:rsidRPr="002D255E" w:rsidRDefault="008D5964" w:rsidP="008D5964">
            <w:pPr>
              <w:spacing w:after="0" w:line="240" w:lineRule="auto"/>
              <w:rPr>
                <w:rFonts w:eastAsia="Times New Roman" w:cs="Calibri"/>
                <w:color w:val="000000"/>
                <w:lang w:eastAsia="en-GB"/>
              </w:rPr>
            </w:pPr>
          </w:p>
          <w:p w14:paraId="755CA87D" w14:textId="77777777" w:rsidR="008D5964" w:rsidRPr="002D255E" w:rsidRDefault="008D5964" w:rsidP="008D5964">
            <w:pPr>
              <w:spacing w:before="60" w:after="60" w:line="240" w:lineRule="auto"/>
              <w:rPr>
                <w:rFonts w:eastAsia="Times New Roman" w:cstheme="minorHAnsi"/>
                <w:color w:val="000000"/>
                <w:lang w:eastAsia="en-GB"/>
              </w:rPr>
            </w:pPr>
            <w:r w:rsidRPr="002D255E">
              <w:rPr>
                <w:rFonts w:eastAsia="Times New Roman" w:cstheme="minorHAnsi"/>
                <w:color w:val="000000"/>
                <w:lang w:eastAsia="en-GB"/>
              </w:rPr>
              <w:t xml:space="preserve">This shared care protocol also includes treatment of chronic inflammatory conditions where off-label use of methotrexate is appropriate, including, </w:t>
            </w:r>
            <w:r w:rsidRPr="002D255E">
              <w:rPr>
                <w:rFonts w:cstheme="minorHAnsi"/>
                <w:color w:val="000000"/>
              </w:rPr>
              <w:t>but not limited to, the following specialities and conditions</w:t>
            </w:r>
            <w:r w:rsidRPr="002D255E">
              <w:rPr>
                <w:rFonts w:eastAsia="Times New Roman" w:cstheme="minorHAnsi"/>
                <w:color w:val="000000"/>
                <w:lang w:eastAsia="en-GB"/>
              </w:rPr>
              <w:t>:</w:t>
            </w:r>
          </w:p>
          <w:p w14:paraId="7EB8C110" w14:textId="77777777" w:rsidR="008D5964" w:rsidRPr="002D255E" w:rsidRDefault="008D5964" w:rsidP="008D5964">
            <w:pPr>
              <w:numPr>
                <w:ilvl w:val="0"/>
                <w:numId w:val="12"/>
              </w:numPr>
              <w:spacing w:before="60" w:after="60" w:line="240" w:lineRule="auto"/>
              <w:contextualSpacing/>
              <w:rPr>
                <w:rFonts w:cs="Arial"/>
                <w:color w:val="000000"/>
              </w:rPr>
            </w:pPr>
            <w:r w:rsidRPr="002D255E">
              <w:rPr>
                <w:rFonts w:cs="Arial"/>
                <w:color w:val="000000"/>
              </w:rPr>
              <w:t>Rheumatology (e.g. inflammatory arthritis, connective tissue disease,</w:t>
            </w:r>
            <w:r w:rsidRPr="002D255E">
              <w:rPr>
                <w:rFonts w:eastAsia="Times New Roman" w:cstheme="minorHAnsi"/>
                <w:color w:val="000000"/>
                <w:lang w:eastAsia="en-GB"/>
              </w:rPr>
              <w:t xml:space="preserve"> vasculitis</w:t>
            </w:r>
            <w:r w:rsidRPr="002D255E">
              <w:rPr>
                <w:rFonts w:cs="Arial"/>
                <w:color w:val="000000"/>
              </w:rPr>
              <w:t>)</w:t>
            </w:r>
          </w:p>
          <w:p w14:paraId="10D3742F" w14:textId="77777777" w:rsidR="008D5964" w:rsidRPr="002D255E" w:rsidRDefault="008D5964" w:rsidP="008D5964">
            <w:pPr>
              <w:numPr>
                <w:ilvl w:val="0"/>
                <w:numId w:val="12"/>
              </w:numPr>
              <w:spacing w:before="60" w:after="60" w:line="240" w:lineRule="auto"/>
              <w:contextualSpacing/>
              <w:rPr>
                <w:rFonts w:cs="Arial"/>
                <w:color w:val="000000"/>
              </w:rPr>
            </w:pPr>
            <w:r w:rsidRPr="002D255E">
              <w:rPr>
                <w:rFonts w:cs="Arial"/>
                <w:color w:val="000000"/>
              </w:rPr>
              <w:t>Dermatology (e.g., severe eczema, bullous conditions)</w:t>
            </w:r>
          </w:p>
          <w:p w14:paraId="1B1CDBCF" w14:textId="77777777" w:rsidR="008D5964" w:rsidRPr="002D255E" w:rsidRDefault="008D5964" w:rsidP="008D5964">
            <w:pPr>
              <w:numPr>
                <w:ilvl w:val="0"/>
                <w:numId w:val="12"/>
              </w:numPr>
              <w:spacing w:before="60" w:after="60" w:line="240" w:lineRule="auto"/>
              <w:contextualSpacing/>
              <w:rPr>
                <w:rFonts w:cs="Arial"/>
                <w:color w:val="000000"/>
              </w:rPr>
            </w:pPr>
            <w:r w:rsidRPr="002D255E">
              <w:rPr>
                <w:rFonts w:cs="Arial"/>
                <w:color w:val="000000"/>
              </w:rPr>
              <w:t>Gastroenterology (e.g. severe Crohn’s disease or other inflammatory bowel disease)</w:t>
            </w:r>
          </w:p>
          <w:p w14:paraId="3D295889" w14:textId="77777777" w:rsidR="008D5964" w:rsidRPr="002D255E" w:rsidRDefault="008D5964" w:rsidP="008D5964">
            <w:pPr>
              <w:numPr>
                <w:ilvl w:val="0"/>
                <w:numId w:val="12"/>
              </w:numPr>
              <w:spacing w:before="60" w:after="60" w:line="240" w:lineRule="auto"/>
              <w:contextualSpacing/>
              <w:rPr>
                <w:rFonts w:cs="Arial"/>
                <w:color w:val="000000"/>
              </w:rPr>
            </w:pPr>
            <w:r w:rsidRPr="002D255E">
              <w:rPr>
                <w:rFonts w:cs="Arial"/>
                <w:color w:val="000000"/>
              </w:rPr>
              <w:t>Neurology (e.g. myasthenia gravis, inflammatory neuropathies)</w:t>
            </w:r>
          </w:p>
          <w:p w14:paraId="76364C6B" w14:textId="77777777" w:rsidR="008D5964" w:rsidRPr="002D255E" w:rsidRDefault="008D5964" w:rsidP="008D5964">
            <w:pPr>
              <w:numPr>
                <w:ilvl w:val="0"/>
                <w:numId w:val="12"/>
              </w:numPr>
              <w:spacing w:before="60" w:after="60" w:line="240" w:lineRule="auto"/>
              <w:contextualSpacing/>
              <w:rPr>
                <w:rFonts w:cstheme="minorHAnsi"/>
                <w:color w:val="000000"/>
              </w:rPr>
            </w:pPr>
            <w:r w:rsidRPr="002D255E">
              <w:rPr>
                <w:rFonts w:cstheme="minorHAnsi"/>
                <w:color w:val="000000"/>
              </w:rPr>
              <w:t>Ophthalmology (e.g. uveitis, scleritis)</w:t>
            </w:r>
          </w:p>
          <w:p w14:paraId="1C1E9E1C" w14:textId="77777777" w:rsidR="008D5964" w:rsidRPr="002D255E" w:rsidRDefault="008D5964" w:rsidP="008D5964">
            <w:pPr>
              <w:numPr>
                <w:ilvl w:val="0"/>
                <w:numId w:val="12"/>
              </w:numPr>
              <w:spacing w:before="60" w:after="60" w:line="240" w:lineRule="auto"/>
              <w:contextualSpacing/>
              <w:rPr>
                <w:rFonts w:cs="Arial"/>
                <w:color w:val="000000"/>
              </w:rPr>
            </w:pPr>
            <w:r w:rsidRPr="002D255E">
              <w:rPr>
                <w:rFonts w:cs="Arial"/>
                <w:color w:val="000000"/>
              </w:rPr>
              <w:t>Respiratory disease (e.g. sarcoidosis, interstitial lung disease)</w:t>
            </w:r>
          </w:p>
          <w:p w14:paraId="5DA447C0" w14:textId="77777777" w:rsidR="008D5964" w:rsidRPr="002D255E" w:rsidRDefault="008D5964" w:rsidP="008D5964">
            <w:pPr>
              <w:spacing w:before="60" w:after="60" w:line="240" w:lineRule="auto"/>
              <w:contextualSpacing/>
              <w:rPr>
                <w:rFonts w:cs="Arial"/>
                <w:color w:val="000000"/>
              </w:rPr>
            </w:pPr>
          </w:p>
          <w:p w14:paraId="026177B5" w14:textId="77777777" w:rsidR="008D5964" w:rsidRPr="002D255E" w:rsidRDefault="008D5964" w:rsidP="008D5964">
            <w:pPr>
              <w:spacing w:before="60" w:after="60" w:line="240" w:lineRule="auto"/>
              <w:rPr>
                <w:rFonts w:cs="Arial"/>
                <w:color w:val="000000"/>
              </w:rPr>
            </w:pPr>
            <w:r w:rsidRPr="002D255E">
              <w:rPr>
                <w:rFonts w:cs="Arial"/>
                <w:color w:val="000000"/>
              </w:rPr>
              <w:t xml:space="preserve">These indications are off-label. The specialist </w:t>
            </w:r>
            <w:r w:rsidRPr="002D255E">
              <w:rPr>
                <w:rFonts w:cs="Arial"/>
                <w:color w:val="000000"/>
                <w:u w:val="single"/>
              </w:rPr>
              <w:t>must specify the indication for each patient</w:t>
            </w:r>
            <w:r w:rsidRPr="002D255E">
              <w:rPr>
                <w:rFonts w:cs="Arial"/>
                <w:color w:val="000000"/>
              </w:rPr>
              <w:t xml:space="preserve"> when initiating shared care and clearly state when use is off-label.</w:t>
            </w:r>
          </w:p>
          <w:p w14:paraId="7039FDE5" w14:textId="77777777" w:rsidR="008D5964" w:rsidRPr="002D255E" w:rsidRDefault="008D5964" w:rsidP="008D5964">
            <w:pPr>
              <w:spacing w:before="60" w:after="60" w:line="240" w:lineRule="auto"/>
              <w:rPr>
                <w:rFonts w:cs="Arial"/>
                <w:color w:val="000000"/>
              </w:rPr>
            </w:pPr>
          </w:p>
          <w:p w14:paraId="45C820ED" w14:textId="7BCE1B4C" w:rsidR="008D5964" w:rsidRPr="002D255E" w:rsidRDefault="008D5964" w:rsidP="008D5964">
            <w:pPr>
              <w:rPr>
                <w:rFonts w:eastAsia="Times New Roman"/>
                <w:lang w:eastAsia="en-GB"/>
              </w:rPr>
            </w:pPr>
            <w:r w:rsidRPr="002D255E">
              <w:rPr>
                <w:color w:val="000000"/>
              </w:rPr>
              <w:t>This shared care protocol applies to adults aged 18 and over. It does not include use of methotrexate for cancer indications.</w:t>
            </w:r>
          </w:p>
        </w:tc>
      </w:tr>
      <w:tr w:rsidR="008D5964" w:rsidRPr="002D255E" w14:paraId="0408E228" w14:textId="77777777" w:rsidTr="7234176C">
        <w:trPr>
          <w:jc w:val="center"/>
        </w:trPr>
        <w:tc>
          <w:tcPr>
            <w:tcW w:w="10455" w:type="dxa"/>
            <w:gridSpan w:val="3"/>
            <w:tcBorders>
              <w:bottom w:val="nil"/>
            </w:tcBorders>
            <w:shd w:val="clear" w:color="auto" w:fill="F2F2F2" w:themeFill="background1" w:themeFillShade="F2"/>
          </w:tcPr>
          <w:p w14:paraId="7FEEB7AA" w14:textId="32C13977" w:rsidR="008D5964" w:rsidRPr="002D255E" w:rsidRDefault="008D5964" w:rsidP="008D5964">
            <w:pPr>
              <w:pStyle w:val="Heading1"/>
              <w:rPr>
                <w:color w:val="000000"/>
                <w:sz w:val="16"/>
                <w:szCs w:val="16"/>
                <w:lang w:val="en" w:eastAsia="en-GB"/>
              </w:rPr>
            </w:pPr>
            <w:bookmarkStart w:id="4" w:name="_Locally_agreed_off-label"/>
            <w:bookmarkStart w:id="5" w:name="Three_local_indications"/>
            <w:bookmarkEnd w:id="4"/>
            <w:r w:rsidRPr="002D255E">
              <w:rPr>
                <w:lang w:eastAsia="en-GB"/>
              </w:rPr>
              <w:t>Locally agreed off-label use</w:t>
            </w:r>
            <w:bookmarkEnd w:id="5"/>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tc>
      </w:tr>
      <w:tr w:rsidR="00E0175B" w:rsidRPr="002D255E" w14:paraId="6AD485E9" w14:textId="77777777" w:rsidTr="7234176C">
        <w:trPr>
          <w:jc w:val="center"/>
        </w:trPr>
        <w:tc>
          <w:tcPr>
            <w:tcW w:w="10455" w:type="dxa"/>
            <w:gridSpan w:val="3"/>
            <w:tcBorders>
              <w:top w:val="nil"/>
              <w:bottom w:val="single" w:sz="4" w:space="0" w:color="auto"/>
            </w:tcBorders>
          </w:tcPr>
          <w:p w14:paraId="2EE9EEA1" w14:textId="5E3BD599" w:rsidR="00E0175B" w:rsidRPr="00373E49" w:rsidRDefault="00E0175B" w:rsidP="00E0175B">
            <w:pPr>
              <w:rPr>
                <w:rFonts w:eastAsia="Arial" w:cs="Arial"/>
                <w:szCs w:val="24"/>
              </w:rPr>
            </w:pPr>
            <w:r w:rsidRPr="00373E49">
              <w:rPr>
                <w:rFonts w:eastAsia="Arial" w:cs="Arial"/>
                <w:szCs w:val="24"/>
              </w:rPr>
              <w:t xml:space="preserve">The </w:t>
            </w:r>
            <w:r>
              <w:rPr>
                <w:rFonts w:eastAsia="Arial" w:cs="Arial"/>
                <w:szCs w:val="24"/>
              </w:rPr>
              <w:t xml:space="preserve">South West London Integrated Medicines Optimisation Committee </w:t>
            </w:r>
            <w:r w:rsidRPr="00373E49">
              <w:rPr>
                <w:rFonts w:eastAsia="Arial" w:cs="Arial"/>
                <w:szCs w:val="24"/>
              </w:rPr>
              <w:t>recommended the use of this document for the</w:t>
            </w:r>
            <w:r>
              <w:rPr>
                <w:rFonts w:eastAsia="Arial" w:cs="Arial"/>
                <w:szCs w:val="24"/>
              </w:rPr>
              <w:t xml:space="preserve"> indications as outlined above. </w:t>
            </w:r>
          </w:p>
          <w:p w14:paraId="5F745BF2" w14:textId="77777777" w:rsidR="00E0175B" w:rsidRPr="00373E49" w:rsidRDefault="00E0175B" w:rsidP="00E0175B">
            <w:pPr>
              <w:rPr>
                <w:rFonts w:eastAsia="Arial" w:cs="Arial"/>
                <w:szCs w:val="24"/>
              </w:rPr>
            </w:pPr>
            <w:r w:rsidRPr="00373E49">
              <w:rPr>
                <w:rFonts w:eastAsia="Arial" w:cs="Arial"/>
                <w:szCs w:val="24"/>
              </w:rPr>
              <w:t>The following information should be provided in correspondence to support prescribing in line with this shared care.</w:t>
            </w:r>
          </w:p>
          <w:p w14:paraId="0DF83B5E" w14:textId="77777777" w:rsidR="00E0175B" w:rsidRPr="00373E49" w:rsidRDefault="00E0175B" w:rsidP="00E0175B">
            <w:pPr>
              <w:numPr>
                <w:ilvl w:val="0"/>
                <w:numId w:val="36"/>
              </w:numPr>
              <w:spacing w:after="50"/>
              <w:rPr>
                <w:rFonts w:eastAsia="Arial" w:cs="Arial"/>
                <w:szCs w:val="24"/>
              </w:rPr>
            </w:pPr>
            <w:r w:rsidRPr="00373E49">
              <w:rPr>
                <w:rFonts w:eastAsia="Arial" w:cs="Arial"/>
                <w:szCs w:val="24"/>
              </w:rPr>
              <w:t xml:space="preserve">Dosing specific to the indication </w:t>
            </w:r>
          </w:p>
          <w:p w14:paraId="070A4092" w14:textId="77777777" w:rsidR="00E0175B" w:rsidRPr="00373E49" w:rsidRDefault="00E0175B" w:rsidP="00E0175B">
            <w:pPr>
              <w:numPr>
                <w:ilvl w:val="0"/>
                <w:numId w:val="36"/>
              </w:numPr>
              <w:spacing w:after="50"/>
              <w:rPr>
                <w:rFonts w:eastAsia="Arial" w:cs="Arial"/>
                <w:szCs w:val="24"/>
              </w:rPr>
            </w:pPr>
            <w:r w:rsidRPr="00373E49">
              <w:rPr>
                <w:rFonts w:eastAsia="Arial" w:cs="Arial"/>
                <w:szCs w:val="24"/>
              </w:rPr>
              <w:t>Relevant interaction information</w:t>
            </w:r>
          </w:p>
          <w:p w14:paraId="2F5BD617" w14:textId="77777777" w:rsidR="00E0175B" w:rsidRPr="000C542C" w:rsidRDefault="00E0175B" w:rsidP="00E0175B">
            <w:pPr>
              <w:numPr>
                <w:ilvl w:val="0"/>
                <w:numId w:val="36"/>
              </w:numPr>
              <w:spacing w:after="50"/>
              <w:rPr>
                <w:rFonts w:eastAsia="Arial" w:cs="Arial"/>
                <w:szCs w:val="24"/>
              </w:rPr>
            </w:pPr>
            <w:r w:rsidRPr="000C542C">
              <w:rPr>
                <w:rFonts w:eastAsia="Arial" w:cs="Arial"/>
                <w:szCs w:val="24"/>
              </w:rPr>
              <w:t>Any additional monitoring requirements over and above the shared care.</w:t>
            </w:r>
          </w:p>
          <w:p w14:paraId="7130FAE8" w14:textId="77777777" w:rsidR="00E0175B" w:rsidRPr="00373E49" w:rsidRDefault="00E0175B" w:rsidP="00E0175B">
            <w:pPr>
              <w:numPr>
                <w:ilvl w:val="0"/>
                <w:numId w:val="36"/>
              </w:numPr>
              <w:spacing w:after="50"/>
              <w:rPr>
                <w:rFonts w:eastAsia="Arial" w:cs="Arial"/>
                <w:szCs w:val="24"/>
              </w:rPr>
            </w:pPr>
            <w:r w:rsidRPr="00373E49">
              <w:rPr>
                <w:rFonts w:eastAsia="Arial" w:cs="Arial"/>
                <w:szCs w:val="24"/>
              </w:rPr>
              <w:t>Duration of treatment</w:t>
            </w:r>
          </w:p>
          <w:p w14:paraId="5D069E8D" w14:textId="77777777" w:rsidR="00E0175B" w:rsidRDefault="00E0175B" w:rsidP="00E0175B">
            <w:pPr>
              <w:numPr>
                <w:ilvl w:val="0"/>
                <w:numId w:val="36"/>
              </w:numPr>
              <w:spacing w:after="50"/>
              <w:rPr>
                <w:rFonts w:eastAsia="Arial" w:cs="Arial"/>
                <w:szCs w:val="24"/>
              </w:rPr>
            </w:pPr>
            <w:r w:rsidRPr="00373E49">
              <w:rPr>
                <w:rFonts w:eastAsia="Arial" w:cs="Arial"/>
                <w:szCs w:val="24"/>
              </w:rPr>
              <w:t>Frequency of review.</w:t>
            </w:r>
          </w:p>
          <w:p w14:paraId="2990EE7D" w14:textId="3F3B3254" w:rsidR="00E0175B" w:rsidRPr="00E0175B" w:rsidRDefault="00E0175B" w:rsidP="00E0175B">
            <w:pPr>
              <w:numPr>
                <w:ilvl w:val="0"/>
                <w:numId w:val="36"/>
              </w:numPr>
              <w:spacing w:after="50"/>
              <w:rPr>
                <w:rFonts w:eastAsia="Arial" w:cs="Arial"/>
                <w:szCs w:val="24"/>
              </w:rPr>
            </w:pPr>
            <w:r w:rsidRPr="00E0175B">
              <w:rPr>
                <w:rFonts w:eastAsia="Times New Roman"/>
              </w:rPr>
              <w:t>Specific features of adverse effects or deterioration pertinent to the specific indication for which it is used</w:t>
            </w:r>
          </w:p>
        </w:tc>
      </w:tr>
      <w:tr w:rsidR="00E0175B" w:rsidRPr="002D255E" w14:paraId="6AC5F0BC" w14:textId="77777777" w:rsidTr="7234176C">
        <w:trPr>
          <w:jc w:val="center"/>
        </w:trPr>
        <w:tc>
          <w:tcPr>
            <w:tcW w:w="10455" w:type="dxa"/>
            <w:gridSpan w:val="3"/>
            <w:tcBorders>
              <w:bottom w:val="nil"/>
            </w:tcBorders>
            <w:shd w:val="clear" w:color="auto" w:fill="F2F2F2" w:themeFill="background1" w:themeFillShade="F2"/>
          </w:tcPr>
          <w:p w14:paraId="6F226D77" w14:textId="705423E2" w:rsidR="00E0175B" w:rsidRPr="002D255E" w:rsidRDefault="00E0175B" w:rsidP="00E0175B">
            <w:pPr>
              <w:pStyle w:val="Heading1"/>
              <w:tabs>
                <w:tab w:val="right" w:pos="10240"/>
              </w:tabs>
              <w:spacing w:after="0"/>
              <w:rPr>
                <w:lang w:eastAsia="en-GB"/>
              </w:rPr>
            </w:pPr>
            <w:bookmarkStart w:id="6" w:name="Four_cx_and_cautions"/>
            <w:r w:rsidRPr="002D255E">
              <w:rPr>
                <w:lang w:eastAsia="en-GB"/>
              </w:rPr>
              <w:lastRenderedPageBreak/>
              <w:t>Contraindications and cautions</w:t>
            </w:r>
            <w:r w:rsidRPr="002D255E">
              <w:tab/>
            </w:r>
            <w:hyperlink w:anchor="Responsibilities">
              <w:r w:rsidRPr="002D255E">
                <w:rPr>
                  <w:rStyle w:val="Hyperlink"/>
                  <w:rFonts w:eastAsia="Times New Roman" w:cs="Arial"/>
                  <w:b w:val="0"/>
                  <w:bCs w:val="0"/>
                  <w:sz w:val="24"/>
                  <w:szCs w:val="24"/>
                  <w:lang w:eastAsia="en-GB"/>
                </w:rPr>
                <w:t>Back to top</w:t>
              </w:r>
            </w:hyperlink>
            <w:bookmarkEnd w:id="6"/>
          </w:p>
          <w:p w14:paraId="7CBFF278" w14:textId="38BC5FBC" w:rsidR="00E0175B" w:rsidRPr="002D255E" w:rsidRDefault="00E0175B" w:rsidP="00E0175B">
            <w:pPr>
              <w:spacing w:after="0" w:line="257" w:lineRule="auto"/>
              <w:rPr>
                <w:rFonts w:eastAsia="Arial" w:cs="Arial"/>
                <w:color w:val="000000" w:themeColor="text1"/>
                <w:sz w:val="22"/>
              </w:rPr>
            </w:pPr>
            <w:r w:rsidRPr="002D255E">
              <w:rPr>
                <w:rFonts w:eastAsia="Arial" w:cs="Arial"/>
                <w:color w:val="000000" w:themeColor="text1"/>
                <w:sz w:val="22"/>
              </w:rPr>
              <w:t>This information does not replace the Summary of Product Characteristics (</w:t>
            </w:r>
            <w:r w:rsidRPr="002D255E">
              <w:rPr>
                <w:rFonts w:eastAsia="Arial" w:cs="Arial"/>
                <w:sz w:val="22"/>
              </w:rPr>
              <w:t xml:space="preserve">SPC), and should be read in conjunction with it. Please see </w:t>
            </w:r>
            <w:hyperlink r:id="rId25">
              <w:r w:rsidRPr="002D255E">
                <w:rPr>
                  <w:rStyle w:val="Hyperlink"/>
                  <w:rFonts w:eastAsia="Arial" w:cs="Arial"/>
                  <w:sz w:val="22"/>
                </w:rPr>
                <w:t>BNF</w:t>
              </w:r>
            </w:hyperlink>
            <w:r w:rsidRPr="002D255E">
              <w:rPr>
                <w:rFonts w:eastAsia="Arial" w:cs="Arial"/>
                <w:color w:val="000000" w:themeColor="text1"/>
                <w:sz w:val="22"/>
              </w:rPr>
              <w:t xml:space="preserve"> &amp; </w:t>
            </w:r>
            <w:hyperlink r:id="rId26">
              <w:r w:rsidRPr="002D255E">
                <w:rPr>
                  <w:rStyle w:val="Hyperlink"/>
                  <w:rFonts w:eastAsia="Arial" w:cs="Arial"/>
                  <w:sz w:val="22"/>
                </w:rPr>
                <w:t>SPC</w:t>
              </w:r>
            </w:hyperlink>
            <w:r w:rsidRPr="002D255E">
              <w:rPr>
                <w:rFonts w:eastAsia="Arial" w:cs="Arial"/>
                <w:color w:val="000000" w:themeColor="text1"/>
                <w:sz w:val="22"/>
              </w:rPr>
              <w:t xml:space="preserve">  f</w:t>
            </w:r>
            <w:r w:rsidRPr="002D255E">
              <w:rPr>
                <w:rFonts w:eastAsia="Arial" w:cs="Arial"/>
                <w:sz w:val="22"/>
              </w:rPr>
              <w:t>or comprehensive information.</w:t>
            </w:r>
          </w:p>
        </w:tc>
      </w:tr>
      <w:tr w:rsidR="00E0175B" w:rsidRPr="002D255E" w14:paraId="15455F3C" w14:textId="77777777" w:rsidTr="7234176C">
        <w:trPr>
          <w:jc w:val="center"/>
        </w:trPr>
        <w:tc>
          <w:tcPr>
            <w:tcW w:w="10455" w:type="dxa"/>
            <w:gridSpan w:val="3"/>
            <w:tcBorders>
              <w:top w:val="nil"/>
              <w:bottom w:val="single" w:sz="4" w:space="0" w:color="auto"/>
            </w:tcBorders>
          </w:tcPr>
          <w:p w14:paraId="5E9F1519" w14:textId="1227AC2C" w:rsidR="00E0175B" w:rsidRPr="002D255E" w:rsidRDefault="00E0175B" w:rsidP="00E0175B">
            <w:pPr>
              <w:autoSpaceDE w:val="0"/>
              <w:autoSpaceDN w:val="0"/>
              <w:adjustRightInd w:val="0"/>
              <w:spacing w:before="60" w:after="60"/>
              <w:rPr>
                <w:rFonts w:eastAsia="Times New Roman" w:cs="Arial"/>
                <w:b/>
                <w:color w:val="000000"/>
                <w:szCs w:val="24"/>
                <w:lang w:eastAsia="en-GB"/>
              </w:rPr>
            </w:pPr>
            <w:r w:rsidRPr="002D255E">
              <w:rPr>
                <w:rFonts w:eastAsia="Times New Roman" w:cs="Arial"/>
                <w:b/>
                <w:color w:val="000000"/>
                <w:szCs w:val="24"/>
                <w:lang w:eastAsia="en-GB"/>
              </w:rPr>
              <w:t>Contraindications:</w:t>
            </w:r>
          </w:p>
          <w:p w14:paraId="0B822DCB"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Hypersensitivity to methotrexate or any excipients.</w:t>
            </w:r>
          </w:p>
          <w:p w14:paraId="1C2379B9"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Significant hepatic impairment.</w:t>
            </w:r>
          </w:p>
          <w:p w14:paraId="180171CC"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 xml:space="preserve">Ascites or pleural effusion: </w:t>
            </w:r>
            <w:r w:rsidRPr="002D255E">
              <w:rPr>
                <w:rFonts w:eastAsia="Times New Roman" w:cstheme="minorHAnsi"/>
                <w:color w:val="000000"/>
                <w:lang w:eastAsia="en-GB"/>
              </w:rPr>
              <w:t>drain prior to treatment to reduce the risk of methotrexate accumulation.</w:t>
            </w:r>
          </w:p>
          <w:p w14:paraId="0A774C72"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 xml:space="preserve">Significant renal impairment – creatinine clearance (CrCl) less than 30 mL/min. </w:t>
            </w:r>
          </w:p>
          <w:p w14:paraId="1DBC60C5"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Severe infections (acute or chronic) or immunodeficiency syndromes.</w:t>
            </w:r>
          </w:p>
          <w:p w14:paraId="5ED9379D"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Known active peptic ulceration.</w:t>
            </w:r>
          </w:p>
          <w:p w14:paraId="4E3757E7"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Pregnancy and breast-feeding.</w:t>
            </w:r>
          </w:p>
          <w:p w14:paraId="3C3418E7"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 xml:space="preserve">Vaccination with live vaccines during treatment with methotrexate at immunosuppressive doses. See </w:t>
            </w:r>
            <w:hyperlink w:anchor="Seven_interactions" w:history="1">
              <w:r w:rsidRPr="002D255E">
                <w:rPr>
                  <w:rStyle w:val="Hyperlink"/>
                  <w:rFonts w:eastAsia="Times New Roman" w:cstheme="minorHAnsi"/>
                  <w:bCs/>
                  <w:iCs/>
                  <w:lang w:eastAsia="en-GB"/>
                </w:rPr>
                <w:t>section 7</w:t>
              </w:r>
            </w:hyperlink>
            <w:r w:rsidRPr="002D255E">
              <w:rPr>
                <w:rFonts w:eastAsia="Times New Roman" w:cstheme="minorHAnsi"/>
                <w:bCs/>
                <w:iCs/>
                <w:color w:val="000000"/>
                <w:lang w:eastAsia="en-GB"/>
              </w:rPr>
              <w:t xml:space="preserve"> for further detail.</w:t>
            </w:r>
          </w:p>
          <w:p w14:paraId="1704C97C" w14:textId="220C6ABD"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 xml:space="preserve">Concomitant use of medicines with anti-folate properties, e.g. trimethoprim, co-trimoxazole (see </w:t>
            </w:r>
            <w:hyperlink w:anchor="Seven_interactions" w:history="1">
              <w:r w:rsidRPr="002D255E">
                <w:rPr>
                  <w:rStyle w:val="Hyperlink"/>
                  <w:rFonts w:eastAsia="Times New Roman" w:cstheme="minorHAnsi"/>
                  <w:bCs/>
                  <w:iCs/>
                  <w:lang w:eastAsia="en-GB"/>
                </w:rPr>
                <w:t>section 7</w:t>
              </w:r>
            </w:hyperlink>
            <w:r w:rsidRPr="002D255E">
              <w:rPr>
                <w:rFonts w:eastAsia="Times New Roman" w:cstheme="minorHAnsi"/>
                <w:bCs/>
                <w:iCs/>
                <w:color w:val="000000"/>
                <w:lang w:eastAsia="en-GB"/>
              </w:rPr>
              <w:t>).</w:t>
            </w:r>
          </w:p>
          <w:p w14:paraId="72AD7C4A" w14:textId="2F691173" w:rsidR="00E0175B" w:rsidRPr="002D255E" w:rsidRDefault="00E0175B" w:rsidP="00E0175B">
            <w:pPr>
              <w:autoSpaceDE w:val="0"/>
              <w:autoSpaceDN w:val="0"/>
              <w:adjustRightInd w:val="0"/>
              <w:spacing w:before="60" w:after="60"/>
              <w:rPr>
                <w:rFonts w:eastAsia="Times New Roman" w:cs="Arial"/>
                <w:b/>
                <w:color w:val="000000"/>
                <w:szCs w:val="24"/>
                <w:lang w:eastAsia="en-GB"/>
              </w:rPr>
            </w:pPr>
            <w:r w:rsidRPr="002D255E">
              <w:rPr>
                <w:rFonts w:eastAsia="Times New Roman" w:cs="Arial"/>
                <w:b/>
                <w:bCs/>
                <w:iCs/>
                <w:color w:val="000000"/>
                <w:szCs w:val="24"/>
                <w:lang w:eastAsia="en-GB"/>
              </w:rPr>
              <w:t>Cautions</w:t>
            </w:r>
            <w:r w:rsidRPr="002D255E">
              <w:rPr>
                <w:rFonts w:eastAsia="Times New Roman" w:cs="Arial"/>
                <w:b/>
                <w:color w:val="000000"/>
                <w:szCs w:val="24"/>
                <w:lang w:eastAsia="en-GB"/>
              </w:rPr>
              <w:t>:</w:t>
            </w:r>
          </w:p>
          <w:p w14:paraId="6C06E697"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Renal impairment: dose reduction required (</w:t>
            </w:r>
            <w:hyperlink w:anchor="Five_dosing" w:history="1">
              <w:r w:rsidRPr="002D255E">
                <w:rPr>
                  <w:rStyle w:val="Hyperlink"/>
                  <w:rFonts w:eastAsia="Times New Roman" w:cstheme="minorHAnsi"/>
                  <w:lang w:eastAsia="en-GB"/>
                </w:rPr>
                <w:t>section 5</w:t>
              </w:r>
            </w:hyperlink>
            <w:r w:rsidRPr="002D255E">
              <w:rPr>
                <w:rFonts w:eastAsia="Times New Roman" w:cstheme="minorHAnsi"/>
                <w:color w:val="000000"/>
                <w:lang w:eastAsia="en-GB"/>
              </w:rPr>
              <w:t>).</w:t>
            </w:r>
          </w:p>
          <w:p w14:paraId="5FC92816"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Alcohol dependence.</w:t>
            </w:r>
          </w:p>
          <w:p w14:paraId="4313D04C"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Hepatic impairment, particularly if due to alcohol use. </w:t>
            </w:r>
          </w:p>
          <w:p w14:paraId="6A2ADA8F"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 xml:space="preserve">Pre-existing blood dyscrasias or disorders, including bone marrow hypoplasia, leucopenia, thrombocytopenia, or significant anaemia. Confirm to primary care that any underlying dyscrasias have been considered, and whether any change to standard monitoring in </w:t>
            </w:r>
            <w:hyperlink w:anchor="Nine_primary_care_monitoring" w:history="1">
              <w:r w:rsidRPr="002D255E">
                <w:rPr>
                  <w:rStyle w:val="Hyperlink"/>
                  <w:rFonts w:eastAsia="Times New Roman" w:cstheme="minorHAnsi"/>
                  <w:bCs/>
                  <w:iCs/>
                  <w:lang w:eastAsia="en-GB"/>
                </w:rPr>
                <w:t>section 9</w:t>
              </w:r>
            </w:hyperlink>
            <w:r w:rsidRPr="002D255E">
              <w:rPr>
                <w:rFonts w:eastAsia="Times New Roman" w:cstheme="minorHAnsi"/>
                <w:bCs/>
                <w:iCs/>
                <w:color w:val="000000"/>
                <w:lang w:eastAsia="en-GB"/>
              </w:rPr>
              <w:t xml:space="preserve"> is required. </w:t>
            </w:r>
          </w:p>
          <w:p w14:paraId="090F8FD2"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Respiratory disease.</w:t>
            </w:r>
          </w:p>
          <w:p w14:paraId="350D2609"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Concomitant use with hepatotoxic or haematotoxic medicines (see </w:t>
            </w:r>
            <w:hyperlink w:anchor="Seven_interactions" w:history="1">
              <w:r w:rsidRPr="002D255E">
                <w:rPr>
                  <w:rStyle w:val="Hyperlink"/>
                  <w:rFonts w:eastAsia="Times New Roman" w:cstheme="minorHAnsi"/>
                  <w:lang w:eastAsia="en-GB"/>
                </w:rPr>
                <w:t>section 7</w:t>
              </w:r>
            </w:hyperlink>
            <w:r w:rsidRPr="002D255E">
              <w:rPr>
                <w:rFonts w:eastAsia="Times New Roman" w:cstheme="minorHAnsi"/>
                <w:color w:val="000000"/>
                <w:lang w:eastAsia="en-GB"/>
              </w:rPr>
              <w:t>).</w:t>
            </w:r>
          </w:p>
          <w:p w14:paraId="5478EA54"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History of ulcers of the oral cavity, ulcerative stomatitis, gastrointestinal ulcers or ulcerative colitis. </w:t>
            </w:r>
          </w:p>
          <w:p w14:paraId="3DC28829"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History of chronic or recurrent infection (e.g. frequent infective COPD exacerbations, or recurrent urinary tract infection).</w:t>
            </w:r>
          </w:p>
          <w:p w14:paraId="30FED0E0" w14:textId="77777777"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Frail or elderly – consider reduced dose.</w:t>
            </w:r>
          </w:p>
          <w:p w14:paraId="42E98FFB" w14:textId="362623B0" w:rsidR="00E0175B" w:rsidRPr="002D255E" w:rsidRDefault="00E0175B" w:rsidP="00E0175B">
            <w:pPr>
              <w:pStyle w:val="ListParagraph"/>
              <w:numPr>
                <w:ilvl w:val="0"/>
                <w:numId w:val="4"/>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Conditions which increase the risk of dehydration (e.g. vomiting) may increase the risk of toxicity. Consider interrupting treatment until symptoms cease.</w:t>
            </w:r>
          </w:p>
        </w:tc>
      </w:tr>
      <w:tr w:rsidR="00E0175B" w:rsidRPr="002D255E" w14:paraId="36F2D6DF" w14:textId="77777777" w:rsidTr="7234176C">
        <w:trPr>
          <w:jc w:val="center"/>
        </w:trPr>
        <w:tc>
          <w:tcPr>
            <w:tcW w:w="10455" w:type="dxa"/>
            <w:gridSpan w:val="3"/>
            <w:tcBorders>
              <w:bottom w:val="nil"/>
            </w:tcBorders>
            <w:shd w:val="clear" w:color="auto" w:fill="F2F2F2" w:themeFill="background1" w:themeFillShade="F2"/>
          </w:tcPr>
          <w:p w14:paraId="3A956B78" w14:textId="2E5A4A81" w:rsidR="00E0175B" w:rsidRPr="002D255E" w:rsidRDefault="00E0175B" w:rsidP="00E0175B">
            <w:pPr>
              <w:pStyle w:val="Heading1"/>
              <w:tabs>
                <w:tab w:val="right" w:pos="10240"/>
              </w:tabs>
              <w:rPr>
                <w:lang w:eastAsia="en-GB"/>
              </w:rPr>
            </w:pPr>
            <w:bookmarkStart w:id="7" w:name="_Initiation_and_ongoing"/>
            <w:bookmarkStart w:id="8" w:name="Five_dosing"/>
            <w:bookmarkEnd w:id="7"/>
            <w:r w:rsidRPr="002D255E">
              <w:rPr>
                <w:lang w:eastAsia="en-GB"/>
              </w:rPr>
              <w:t>Initiation and ongoing dose regimen</w:t>
            </w:r>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bookmarkEnd w:id="8"/>
          <w:p w14:paraId="378951C1" w14:textId="387E2593" w:rsidR="00E0175B" w:rsidRPr="002D255E" w:rsidRDefault="00E0175B" w:rsidP="00E0175B">
            <w:pPr>
              <w:pStyle w:val="ListParagraph"/>
              <w:numPr>
                <w:ilvl w:val="0"/>
                <w:numId w:val="4"/>
              </w:numPr>
              <w:spacing w:before="60" w:after="60" w:line="240" w:lineRule="auto"/>
              <w:contextualSpacing/>
              <w:rPr>
                <w:rFonts w:eastAsia="Times New Roman" w:cstheme="minorHAnsi"/>
                <w:szCs w:val="24"/>
                <w:lang w:eastAsia="en-GB"/>
              </w:rPr>
            </w:pPr>
            <w:r w:rsidRPr="002D255E">
              <w:rPr>
                <w:rFonts w:eastAsia="Times New Roman" w:cstheme="minorHAnsi"/>
                <w:szCs w:val="24"/>
                <w:lang w:eastAsia="en-GB"/>
              </w:rPr>
              <w:t>Transfer of monitoring and prescribing to primary care is after the patient has been treated for 3 months, the dose has been optimised, and with satisfactory investigation results for at least 4 weeks</w:t>
            </w:r>
          </w:p>
          <w:p w14:paraId="2A123C52" w14:textId="77777777" w:rsidR="00E0175B" w:rsidRPr="002D255E" w:rsidRDefault="00E0175B" w:rsidP="00E0175B">
            <w:pPr>
              <w:pStyle w:val="ListParagraph"/>
              <w:numPr>
                <w:ilvl w:val="0"/>
                <w:numId w:val="4"/>
              </w:numPr>
              <w:spacing w:before="60" w:after="60" w:line="240" w:lineRule="auto"/>
              <w:contextualSpacing/>
              <w:rPr>
                <w:rFonts w:eastAsia="Times New Roman" w:cstheme="minorHAnsi"/>
                <w:szCs w:val="24"/>
                <w:lang w:eastAsia="en-GB"/>
              </w:rPr>
            </w:pPr>
            <w:r w:rsidRPr="002D255E">
              <w:rPr>
                <w:rFonts w:eastAsia="Times New Roman" w:cstheme="minorHAnsi"/>
                <w:szCs w:val="24"/>
                <w:lang w:eastAsia="en-GB"/>
              </w:rPr>
              <w:t>The duration of treatment &amp; frequency of review will be determined by the specialist, based on clinical response and tolerability.</w:t>
            </w:r>
          </w:p>
          <w:p w14:paraId="18A0DC26" w14:textId="77777777" w:rsidR="00E0175B" w:rsidRPr="002D255E" w:rsidRDefault="00E0175B" w:rsidP="00E0175B">
            <w:pPr>
              <w:pStyle w:val="ListParagraph"/>
              <w:numPr>
                <w:ilvl w:val="0"/>
                <w:numId w:val="4"/>
              </w:numPr>
              <w:spacing w:before="60" w:after="60" w:line="240" w:lineRule="auto"/>
              <w:contextualSpacing/>
              <w:rPr>
                <w:rFonts w:eastAsia="Times New Roman" w:cstheme="minorHAnsi"/>
                <w:szCs w:val="24"/>
                <w:lang w:eastAsia="en-GB"/>
              </w:rPr>
            </w:pPr>
            <w:r w:rsidRPr="002D255E">
              <w:rPr>
                <w:rFonts w:eastAsia="Times New Roman" w:cstheme="minorHAnsi"/>
                <w:szCs w:val="24"/>
                <w:lang w:eastAsia="en-GB"/>
              </w:rPr>
              <w:t>All dose or formulation adjustments will be the responsibility of the initiating specialist unless directions have been discussed and agreed with the primary care clinician</w:t>
            </w:r>
          </w:p>
          <w:p w14:paraId="3F3031CA" w14:textId="6E2A66C8" w:rsidR="00E0175B" w:rsidRPr="002D255E" w:rsidRDefault="00E0175B" w:rsidP="00E0175B">
            <w:pPr>
              <w:pStyle w:val="ListParagraph"/>
              <w:numPr>
                <w:ilvl w:val="0"/>
                <w:numId w:val="4"/>
              </w:numPr>
              <w:spacing w:after="120"/>
              <w:rPr>
                <w:rFonts w:eastAsia="Times New Roman" w:cs="Arial"/>
                <w:iCs/>
                <w:color w:val="000000"/>
              </w:rPr>
            </w:pPr>
            <w:r w:rsidRPr="002D255E">
              <w:rPr>
                <w:rFonts w:eastAsia="Times New Roman" w:cstheme="minorHAnsi"/>
                <w:szCs w:val="24"/>
                <w:lang w:eastAsia="en-GB"/>
              </w:rPr>
              <w:t>Termination of treatment will be</w:t>
            </w:r>
            <w:r w:rsidRPr="002D255E">
              <w:rPr>
                <w:rFonts w:eastAsia="Times New Roman" w:cstheme="minorHAnsi"/>
                <w:b/>
                <w:szCs w:val="24"/>
                <w:lang w:eastAsia="en-GB"/>
              </w:rPr>
              <w:t xml:space="preserve"> </w:t>
            </w:r>
            <w:r w:rsidRPr="002D255E">
              <w:rPr>
                <w:rFonts w:eastAsia="Times New Roman" w:cstheme="minorHAnsi"/>
                <w:szCs w:val="24"/>
                <w:lang w:eastAsia="en-GB"/>
              </w:rPr>
              <w:t>the responsibility of the specialist.</w:t>
            </w:r>
          </w:p>
        </w:tc>
      </w:tr>
      <w:tr w:rsidR="00E0175B" w:rsidRPr="002D255E" w14:paraId="05FF7F42" w14:textId="77777777" w:rsidTr="7234176C">
        <w:trPr>
          <w:jc w:val="center"/>
        </w:trPr>
        <w:tc>
          <w:tcPr>
            <w:tcW w:w="10455" w:type="dxa"/>
            <w:gridSpan w:val="3"/>
            <w:tcBorders>
              <w:top w:val="nil"/>
            </w:tcBorders>
          </w:tcPr>
          <w:p w14:paraId="7B5E2CCE" w14:textId="77777777" w:rsidR="00E0175B" w:rsidRPr="002D255E" w:rsidRDefault="00E0175B" w:rsidP="00E0175B">
            <w:pPr>
              <w:spacing w:before="60" w:after="60"/>
              <w:rPr>
                <w:rFonts w:eastAsia="Times New Roman" w:cs="Arial"/>
                <w:b/>
                <w:iCs/>
                <w:color w:val="000000"/>
                <w:szCs w:val="24"/>
                <w:u w:val="single"/>
              </w:rPr>
            </w:pPr>
            <w:r w:rsidRPr="002D255E">
              <w:rPr>
                <w:rFonts w:eastAsia="Times New Roman" w:cs="Arial"/>
                <w:b/>
                <w:iCs/>
                <w:color w:val="000000"/>
                <w:szCs w:val="24"/>
                <w:u w:val="single"/>
              </w:rPr>
              <w:t>Initial stabilisation:</w:t>
            </w:r>
          </w:p>
          <w:p w14:paraId="77E01FC0" w14:textId="77777777" w:rsidR="00E0175B" w:rsidRPr="002D255E" w:rsidRDefault="00E0175B" w:rsidP="00E0175B">
            <w:pPr>
              <w:spacing w:before="60" w:after="60" w:line="240" w:lineRule="auto"/>
              <w:rPr>
                <w:rFonts w:eastAsia="Times New Roman" w:cs="Arial"/>
                <w:iCs/>
                <w:color w:val="000000"/>
              </w:rPr>
            </w:pPr>
            <w:r w:rsidRPr="002D255E">
              <w:rPr>
                <w:rFonts w:eastAsia="Times New Roman" w:cs="Arial"/>
                <w:iCs/>
                <w:color w:val="000000"/>
              </w:rPr>
              <w:lastRenderedPageBreak/>
              <w:t xml:space="preserve">There is a wide dose range depending on the indication. The selected dose of methotrexate, and the folic acid regimen, will be tailored to the individual patient and decided by the specialist. </w:t>
            </w:r>
          </w:p>
          <w:p w14:paraId="7C9E9B16" w14:textId="6DC4487F" w:rsidR="00E0175B" w:rsidRPr="002D255E" w:rsidRDefault="00E0175B" w:rsidP="00E0175B">
            <w:pPr>
              <w:spacing w:before="60" w:after="60" w:line="240" w:lineRule="auto"/>
              <w:rPr>
                <w:rFonts w:eastAsia="Times New Roman" w:cs="Arial"/>
                <w:iCs/>
                <w:color w:val="000000"/>
              </w:rPr>
            </w:pPr>
            <w:r w:rsidRPr="002D255E">
              <w:rPr>
                <w:rFonts w:eastAsia="Times New Roman" w:cs="Arial"/>
                <w:b/>
                <w:iCs/>
                <w:color w:val="000000"/>
              </w:rPr>
              <w:t>The dose titration period</w:t>
            </w:r>
            <w:r w:rsidRPr="002D255E">
              <w:rPr>
                <w:rFonts w:eastAsia="Times New Roman" w:cs="Arial"/>
                <w:iCs/>
                <w:color w:val="000000"/>
              </w:rPr>
              <w:t xml:space="preserve"> </w:t>
            </w:r>
            <w:r w:rsidRPr="002D255E">
              <w:rPr>
                <w:rFonts w:eastAsia="Times New Roman" w:cs="Arial"/>
                <w:b/>
                <w:iCs/>
              </w:rPr>
              <w:t>must be prescribed by the initiating specialist.</w:t>
            </w:r>
          </w:p>
          <w:p w14:paraId="1E1E2ED8" w14:textId="77777777" w:rsidR="00E0175B" w:rsidRPr="002D255E" w:rsidRDefault="00E0175B" w:rsidP="00E0175B">
            <w:pPr>
              <w:spacing w:before="60" w:after="60" w:line="240" w:lineRule="auto"/>
              <w:rPr>
                <w:rFonts w:eastAsia="Times New Roman" w:cs="Arial"/>
                <w:iCs/>
                <w:color w:val="000000"/>
              </w:rPr>
            </w:pPr>
          </w:p>
          <w:p w14:paraId="6BB09C3E" w14:textId="77777777" w:rsidR="00E0175B" w:rsidRPr="002D255E" w:rsidRDefault="00E0175B" w:rsidP="00E0175B">
            <w:pPr>
              <w:spacing w:before="60" w:after="60"/>
              <w:rPr>
                <w:rFonts w:eastAsia="Times New Roman" w:cs="Arial"/>
                <w:iCs/>
                <w:color w:val="000000"/>
                <w:szCs w:val="24"/>
              </w:rPr>
            </w:pPr>
            <w:r w:rsidRPr="002D255E">
              <w:rPr>
                <w:rFonts w:eastAsia="Times New Roman" w:cs="Arial"/>
                <w:b/>
                <w:iCs/>
                <w:color w:val="000000"/>
                <w:szCs w:val="24"/>
                <w:u w:val="single"/>
              </w:rPr>
              <w:t>Maintenance dose (following initial stabilisation):</w:t>
            </w:r>
          </w:p>
          <w:p w14:paraId="180937CD"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r w:rsidRPr="002D255E">
              <w:rPr>
                <w:rFonts w:ascii="Calibri" w:hAnsi="Calibri" w:cs="Calibri"/>
              </w:rPr>
              <w:t>Usual dose range</w:t>
            </w:r>
            <w:r w:rsidRPr="002D255E">
              <w:rPr>
                <w:rFonts w:ascii="Calibri" w:hAnsi="Calibri" w:cs="Calibri"/>
                <w:b/>
              </w:rPr>
              <w:t>: 7.5 mg – 25 mg weekly</w:t>
            </w:r>
            <w:r w:rsidRPr="002D255E">
              <w:rPr>
                <w:rFonts w:ascii="Calibri" w:hAnsi="Calibri" w:cs="Calibri"/>
              </w:rPr>
              <w:t>, adjusted according to response. Please note for rheumatology conditions a patient may be initiated on more than one DMARD. T</w:t>
            </w:r>
            <w:r w:rsidRPr="002D255E">
              <w:rPr>
                <w:rFonts w:eastAsia="Times New Roman" w:cstheme="minorHAnsi"/>
                <w:bCs/>
                <w:iCs/>
                <w:color w:val="000000"/>
                <w:lang w:eastAsia="en-GB"/>
              </w:rPr>
              <w:t xml:space="preserve">o reduce dosing errors </w:t>
            </w:r>
            <w:r w:rsidRPr="002D255E">
              <w:rPr>
                <w:rFonts w:eastAsia="Times New Roman" w:cstheme="minorHAnsi"/>
                <w:b/>
                <w:bCs/>
                <w:iCs/>
                <w:color w:val="000000"/>
                <w:u w:val="single"/>
                <w:lang w:eastAsia="en-GB"/>
              </w:rPr>
              <w:t>only the 2.5 mg tablets should be prescribed</w:t>
            </w:r>
            <w:r w:rsidRPr="002D255E">
              <w:rPr>
                <w:rFonts w:eastAsia="Times New Roman" w:cstheme="minorHAnsi"/>
                <w:bCs/>
                <w:iCs/>
                <w:color w:val="000000"/>
                <w:lang w:eastAsia="en-GB"/>
              </w:rPr>
              <w:t xml:space="preserve">. The dose should be taken </w:t>
            </w:r>
            <w:r w:rsidRPr="002D255E">
              <w:rPr>
                <w:rFonts w:eastAsia="Times New Roman" w:cstheme="minorHAnsi"/>
                <w:b/>
                <w:bCs/>
                <w:iCs/>
                <w:color w:val="000000"/>
                <w:u w:val="single"/>
                <w:lang w:eastAsia="en-GB"/>
              </w:rPr>
              <w:t>once weekly</w:t>
            </w:r>
            <w:r w:rsidRPr="002D255E">
              <w:rPr>
                <w:rFonts w:eastAsia="Times New Roman" w:cstheme="minorHAnsi"/>
                <w:bCs/>
                <w:iCs/>
                <w:color w:val="000000"/>
                <w:lang w:eastAsia="en-GB"/>
              </w:rPr>
              <w:t xml:space="preserve"> on the same day each week, and that day should be clearly communicated to the patient. </w:t>
            </w:r>
          </w:p>
          <w:p w14:paraId="34AE6227" w14:textId="77777777" w:rsidR="00E0175B" w:rsidRPr="002D255E" w:rsidRDefault="00E0175B" w:rsidP="00E0175B">
            <w:pPr>
              <w:spacing w:before="60" w:after="60" w:line="240" w:lineRule="auto"/>
              <w:rPr>
                <w:rFonts w:eastAsia="Times New Roman" w:cstheme="minorHAnsi"/>
                <w:bCs/>
                <w:iCs/>
                <w:color w:val="000000"/>
                <w:lang w:eastAsia="en-GB"/>
              </w:rPr>
            </w:pPr>
            <w:r w:rsidRPr="002D255E">
              <w:rPr>
                <w:rFonts w:eastAsia="Times New Roman" w:cstheme="minorHAnsi"/>
                <w:bCs/>
                <w:iCs/>
                <w:color w:val="000000"/>
                <w:lang w:eastAsia="en-GB"/>
              </w:rPr>
              <w:t>All patients should be prescribed folic acid at a dose of 5 mg at least once weekly, to be taken on a different day than their methotrexate dose. The specialist should include clear details of the folic acid regimen in their communication with the patient and primary care.</w:t>
            </w:r>
          </w:p>
          <w:p w14:paraId="20F8523A" w14:textId="77777777" w:rsidR="00E0175B" w:rsidRPr="002D255E" w:rsidRDefault="00E0175B" w:rsidP="00E0175B">
            <w:pPr>
              <w:spacing w:before="60" w:after="60" w:line="240" w:lineRule="auto"/>
              <w:rPr>
                <w:rFonts w:ascii="Calibri" w:hAnsi="Calibri" w:cs="Calibri"/>
              </w:rPr>
            </w:pPr>
          </w:p>
          <w:p w14:paraId="71774FA9" w14:textId="77777777" w:rsidR="00E0175B" w:rsidRPr="002D255E" w:rsidRDefault="00E0175B" w:rsidP="00E0175B">
            <w:pPr>
              <w:spacing w:before="60" w:after="60" w:line="240" w:lineRule="auto"/>
              <w:rPr>
                <w:rFonts w:eastAsia="Times New Roman" w:cstheme="minorHAnsi"/>
                <w:b/>
                <w:iCs/>
                <w:color w:val="000000"/>
              </w:rPr>
            </w:pPr>
            <w:r w:rsidRPr="002D255E">
              <w:rPr>
                <w:rFonts w:eastAsia="Times New Roman" w:cstheme="minorHAnsi"/>
                <w:b/>
                <w:iCs/>
                <w:color w:val="000000"/>
              </w:rPr>
              <w:t>The initial maintenance dose must be prescribed by the initiating specialist.</w:t>
            </w:r>
          </w:p>
          <w:p w14:paraId="488B0040" w14:textId="75A2AB01" w:rsidR="00E0175B" w:rsidRPr="002D255E" w:rsidRDefault="00E0175B" w:rsidP="00E0175B">
            <w:pPr>
              <w:spacing w:before="60" w:after="60" w:line="240" w:lineRule="auto"/>
              <w:rPr>
                <w:rFonts w:eastAsia="Times New Roman" w:cstheme="minorHAnsi"/>
                <w:b/>
                <w:iCs/>
                <w:color w:val="000000"/>
              </w:rPr>
            </w:pPr>
            <w:r w:rsidRPr="002D255E">
              <w:rPr>
                <w:rFonts w:ascii="Calibri" w:hAnsi="Calibri" w:cs="Calibri"/>
              </w:rPr>
              <w:t>Transfer of monitoring and prescribing to primary care is usually after 3 months. The duration of treatment will be determined by the specialist based on clinical response and tolerability.</w:t>
            </w:r>
          </w:p>
          <w:p w14:paraId="7C873228" w14:textId="77777777" w:rsidR="00E0175B" w:rsidRPr="002D255E" w:rsidRDefault="00E0175B" w:rsidP="00E0175B">
            <w:pPr>
              <w:spacing w:before="60" w:after="60" w:line="240" w:lineRule="auto"/>
              <w:rPr>
                <w:rFonts w:eastAsia="Times New Roman" w:cstheme="minorHAnsi"/>
                <w:b/>
                <w:iCs/>
                <w:color w:val="000000"/>
              </w:rPr>
            </w:pPr>
          </w:p>
          <w:p w14:paraId="179581A7" w14:textId="77777777" w:rsidR="00E0175B" w:rsidRPr="002D255E" w:rsidRDefault="00E0175B" w:rsidP="00E0175B">
            <w:pPr>
              <w:spacing w:before="60" w:after="60"/>
              <w:rPr>
                <w:rFonts w:eastAsia="Times New Roman" w:cs="Arial"/>
                <w:b/>
                <w:iCs/>
                <w:color w:val="000000"/>
                <w:szCs w:val="24"/>
                <w:u w:val="single"/>
              </w:rPr>
            </w:pPr>
            <w:r w:rsidRPr="002D255E">
              <w:rPr>
                <w:rFonts w:eastAsia="Times New Roman" w:cs="Arial"/>
                <w:b/>
                <w:iCs/>
                <w:color w:val="000000"/>
                <w:szCs w:val="24"/>
                <w:u w:val="single"/>
              </w:rPr>
              <w:t>Conditions requiring dose adjustment:</w:t>
            </w:r>
          </w:p>
          <w:p w14:paraId="0103B33B" w14:textId="621B53BA" w:rsidR="00E0175B" w:rsidRPr="002D255E" w:rsidRDefault="00E0175B" w:rsidP="00E0175B">
            <w:pPr>
              <w:pStyle w:val="ListParagraph"/>
              <w:numPr>
                <w:ilvl w:val="0"/>
                <w:numId w:val="24"/>
              </w:numPr>
              <w:rPr>
                <w:b/>
                <w:u w:val="single"/>
              </w:rPr>
            </w:pPr>
            <w:r w:rsidRPr="002D255E">
              <w:rPr>
                <w:rFonts w:eastAsia="Times New Roman" w:cstheme="minorHAnsi"/>
                <w:iCs/>
                <w:color w:val="000000"/>
              </w:rPr>
              <w:t xml:space="preserve">Renal impairment: in patients with CrCl less than 60 mL/min the dose should be reduced by 50%. If CrCl is less than 30mL/min discontinuation may be indicated. See </w:t>
            </w:r>
            <w:hyperlink w:anchor="Ten_ADRs_and_Management" w:history="1">
              <w:r w:rsidRPr="002D255E">
                <w:rPr>
                  <w:rStyle w:val="Hyperlink"/>
                  <w:rFonts w:eastAsia="Times New Roman" w:cstheme="minorHAnsi"/>
                  <w:iCs/>
                </w:rPr>
                <w:t>section 10</w:t>
              </w:r>
            </w:hyperlink>
            <w:r w:rsidRPr="002D255E">
              <w:rPr>
                <w:rFonts w:eastAsia="Times New Roman" w:cstheme="minorHAnsi"/>
                <w:iCs/>
                <w:color w:val="000000"/>
              </w:rPr>
              <w:t xml:space="preserve">. </w:t>
            </w:r>
            <w:r w:rsidRPr="002D255E">
              <w:t xml:space="preserve"> </w:t>
            </w:r>
          </w:p>
        </w:tc>
      </w:tr>
      <w:tr w:rsidR="00E0175B" w:rsidRPr="002D255E" w14:paraId="4CDE4318" w14:textId="77777777" w:rsidTr="7234176C">
        <w:trPr>
          <w:jc w:val="center"/>
        </w:trPr>
        <w:tc>
          <w:tcPr>
            <w:tcW w:w="10455" w:type="dxa"/>
            <w:gridSpan w:val="3"/>
            <w:shd w:val="clear" w:color="auto" w:fill="F2F2F2" w:themeFill="background1" w:themeFillShade="F2"/>
          </w:tcPr>
          <w:p w14:paraId="4C936032" w14:textId="4743B980" w:rsidR="00E0175B" w:rsidRPr="002D255E" w:rsidRDefault="00E0175B" w:rsidP="00E0175B">
            <w:pPr>
              <w:pStyle w:val="Heading1"/>
              <w:tabs>
                <w:tab w:val="right" w:pos="10240"/>
              </w:tabs>
              <w:rPr>
                <w:lang w:eastAsia="en-GB"/>
              </w:rPr>
            </w:pPr>
            <w:bookmarkStart w:id="9" w:name="Six_pharmaceutical"/>
            <w:r w:rsidRPr="002D255E">
              <w:rPr>
                <w:lang w:eastAsia="en-GB"/>
              </w:rPr>
              <w:lastRenderedPageBreak/>
              <w:t xml:space="preserve">Pharmaceutical aspects </w:t>
            </w:r>
            <w:bookmarkEnd w:id="9"/>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tc>
      </w:tr>
      <w:tr w:rsidR="00E0175B" w:rsidRPr="002D255E" w14:paraId="24522E4E" w14:textId="77777777" w:rsidTr="7234176C">
        <w:trPr>
          <w:trHeight w:val="99"/>
          <w:jc w:val="center"/>
        </w:trPr>
        <w:tc>
          <w:tcPr>
            <w:tcW w:w="1838" w:type="dxa"/>
            <w:vAlign w:val="center"/>
          </w:tcPr>
          <w:p w14:paraId="5EA76DFC" w14:textId="2E798548" w:rsidR="00E0175B" w:rsidRPr="002D255E" w:rsidRDefault="00E0175B" w:rsidP="00E0175B">
            <w:pPr>
              <w:rPr>
                <w:b/>
                <w:bCs/>
                <w:iCs/>
                <w:color w:val="000000"/>
                <w:lang w:eastAsia="en-GB"/>
              </w:rPr>
            </w:pPr>
            <w:r w:rsidRPr="002D255E">
              <w:rPr>
                <w:rFonts w:eastAsia="Times New Roman" w:cstheme="minorHAnsi"/>
                <w:szCs w:val="24"/>
                <w:lang w:eastAsia="en-GB"/>
              </w:rPr>
              <w:t>Route of administration:</w:t>
            </w:r>
          </w:p>
        </w:tc>
        <w:tc>
          <w:tcPr>
            <w:tcW w:w="8617" w:type="dxa"/>
            <w:gridSpan w:val="2"/>
          </w:tcPr>
          <w:p w14:paraId="48C763F3" w14:textId="39295BAD" w:rsidR="00E0175B" w:rsidRPr="002D255E" w:rsidRDefault="00E0175B" w:rsidP="00E0175B">
            <w:pPr>
              <w:autoSpaceDE w:val="0"/>
              <w:autoSpaceDN w:val="0"/>
              <w:adjustRightInd w:val="0"/>
              <w:spacing w:before="60" w:after="60" w:line="240" w:lineRule="auto"/>
              <w:rPr>
                <w:rFonts w:eastAsia="Times New Roman" w:cs="Arial"/>
                <w:b/>
                <w:bCs/>
                <w:iCs/>
                <w:color w:val="000000"/>
                <w:lang w:eastAsia="en-GB"/>
              </w:rPr>
            </w:pPr>
            <w:r w:rsidRPr="002D255E">
              <w:rPr>
                <w:rFonts w:eastAsia="Times New Roman" w:cstheme="minorHAnsi"/>
                <w:bCs/>
                <w:iCs/>
                <w:color w:val="000000"/>
                <w:lang w:eastAsia="en-GB"/>
              </w:rPr>
              <w:t>Oral tablets, or subcutaneous injections</w:t>
            </w:r>
          </w:p>
        </w:tc>
      </w:tr>
      <w:tr w:rsidR="00E0175B" w:rsidRPr="002D255E" w14:paraId="4CD28C8C" w14:textId="77777777" w:rsidTr="7234176C">
        <w:trPr>
          <w:trHeight w:val="97"/>
          <w:jc w:val="center"/>
        </w:trPr>
        <w:tc>
          <w:tcPr>
            <w:tcW w:w="1838" w:type="dxa"/>
            <w:vAlign w:val="center"/>
          </w:tcPr>
          <w:p w14:paraId="18421745" w14:textId="3D1C11A6" w:rsidR="00E0175B" w:rsidRPr="002D255E" w:rsidRDefault="00E0175B" w:rsidP="00E0175B">
            <w:pPr>
              <w:rPr>
                <w:b/>
                <w:bCs/>
                <w:iCs/>
                <w:color w:val="000000"/>
                <w:lang w:eastAsia="en-GB"/>
              </w:rPr>
            </w:pPr>
            <w:r w:rsidRPr="002D255E">
              <w:rPr>
                <w:rFonts w:eastAsia="Times New Roman" w:cstheme="minorHAnsi"/>
                <w:szCs w:val="24"/>
                <w:lang w:eastAsia="en-GB"/>
              </w:rPr>
              <w:t>Formulation:</w:t>
            </w:r>
          </w:p>
        </w:tc>
        <w:tc>
          <w:tcPr>
            <w:tcW w:w="8617" w:type="dxa"/>
            <w:gridSpan w:val="2"/>
          </w:tcPr>
          <w:p w14:paraId="54A2F0ED" w14:textId="77777777" w:rsidR="00E0175B" w:rsidRPr="002D255E" w:rsidRDefault="00E0175B" w:rsidP="00E0175B">
            <w:pPr>
              <w:autoSpaceDE w:val="0"/>
              <w:autoSpaceDN w:val="0"/>
              <w:adjustRightInd w:val="0"/>
              <w:spacing w:before="60" w:after="60" w:line="240" w:lineRule="auto"/>
              <w:rPr>
                <w:rFonts w:eastAsia="Times New Roman" w:cstheme="minorHAnsi"/>
                <w:b/>
                <w:bCs/>
                <w:iCs/>
                <w:color w:val="000000"/>
                <w:u w:val="single"/>
                <w:lang w:eastAsia="en-GB"/>
              </w:rPr>
            </w:pPr>
            <w:r w:rsidRPr="002D255E">
              <w:rPr>
                <w:rFonts w:eastAsia="Times New Roman" w:cstheme="minorHAnsi"/>
                <w:b/>
                <w:bCs/>
                <w:iCs/>
                <w:color w:val="000000"/>
                <w:u w:val="single"/>
                <w:lang w:eastAsia="en-GB"/>
              </w:rPr>
              <w:t>Methotrexate tablets</w:t>
            </w:r>
          </w:p>
          <w:p w14:paraId="0A019416"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r w:rsidRPr="002D255E">
              <w:rPr>
                <w:rFonts w:eastAsia="Times New Roman" w:cstheme="minorHAnsi"/>
                <w:bCs/>
                <w:iCs/>
                <w:color w:val="000000"/>
                <w:lang w:eastAsia="en-GB"/>
              </w:rPr>
              <w:t xml:space="preserve">Other strengths are available but, to reduce dosing errors, </w:t>
            </w:r>
            <w:r w:rsidRPr="002D255E">
              <w:rPr>
                <w:rFonts w:eastAsia="Times New Roman" w:cstheme="minorHAnsi"/>
                <w:b/>
                <w:bCs/>
                <w:iCs/>
                <w:color w:val="000000"/>
                <w:u w:val="single"/>
                <w:lang w:eastAsia="en-GB"/>
              </w:rPr>
              <w:t>only the 2.5 mg tablets should be prescribed</w:t>
            </w:r>
            <w:r w:rsidRPr="002D255E">
              <w:rPr>
                <w:rFonts w:eastAsia="Times New Roman" w:cstheme="minorHAnsi"/>
                <w:bCs/>
                <w:iCs/>
                <w:color w:val="000000"/>
                <w:lang w:eastAsia="en-GB"/>
              </w:rPr>
              <w:t xml:space="preserve">. The dose should be taken </w:t>
            </w:r>
            <w:r w:rsidRPr="002D255E">
              <w:rPr>
                <w:rFonts w:eastAsia="Times New Roman" w:cstheme="minorHAnsi"/>
                <w:b/>
                <w:bCs/>
                <w:iCs/>
                <w:color w:val="000000"/>
                <w:u w:val="single"/>
                <w:lang w:eastAsia="en-GB"/>
              </w:rPr>
              <w:t>once weekly</w:t>
            </w:r>
            <w:r w:rsidRPr="002D255E">
              <w:rPr>
                <w:rFonts w:eastAsia="Times New Roman" w:cstheme="minorHAnsi"/>
                <w:bCs/>
                <w:iCs/>
                <w:color w:val="000000"/>
                <w:lang w:eastAsia="en-GB"/>
              </w:rPr>
              <w:t xml:space="preserve"> on the same day each week, and that day should be clearly communicated to the patient. </w:t>
            </w:r>
          </w:p>
          <w:p w14:paraId="799AB740"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r w:rsidRPr="002D255E">
              <w:rPr>
                <w:rFonts w:eastAsia="Times New Roman" w:cstheme="minorHAnsi"/>
                <w:bCs/>
                <w:iCs/>
                <w:color w:val="000000"/>
                <w:lang w:eastAsia="en-GB"/>
              </w:rPr>
              <w:t xml:space="preserve">Methotrexate 2.5 mg tablets </w:t>
            </w:r>
          </w:p>
          <w:p w14:paraId="3F751959"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p>
          <w:p w14:paraId="0A5A31FE" w14:textId="77777777" w:rsidR="00E0175B" w:rsidRPr="002D255E" w:rsidRDefault="00E0175B" w:rsidP="00E0175B">
            <w:pPr>
              <w:autoSpaceDE w:val="0"/>
              <w:autoSpaceDN w:val="0"/>
              <w:adjustRightInd w:val="0"/>
              <w:spacing w:before="60" w:after="60" w:line="240" w:lineRule="auto"/>
              <w:rPr>
                <w:rFonts w:eastAsia="Times New Roman" w:cstheme="minorHAnsi"/>
                <w:b/>
                <w:bCs/>
                <w:iCs/>
                <w:color w:val="000000"/>
                <w:u w:val="single"/>
                <w:lang w:eastAsia="en-GB"/>
              </w:rPr>
            </w:pPr>
            <w:r w:rsidRPr="002D255E">
              <w:rPr>
                <w:rFonts w:eastAsia="Times New Roman" w:cstheme="minorHAnsi"/>
                <w:b/>
                <w:bCs/>
                <w:iCs/>
                <w:color w:val="000000"/>
                <w:u w:val="single"/>
                <w:lang w:eastAsia="en-GB"/>
              </w:rPr>
              <w:t>Methotrexate subcutaneous injection</w:t>
            </w:r>
          </w:p>
          <w:p w14:paraId="413C9BC4"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r w:rsidRPr="002D255E">
              <w:rPr>
                <w:rFonts w:eastAsia="Times New Roman" w:cstheme="minorHAnsi"/>
                <w:bCs/>
                <w:iCs/>
                <w:color w:val="000000"/>
                <w:lang w:eastAsia="en-GB"/>
              </w:rPr>
              <w:t xml:space="preserve">Solution for injection available in 2.5 mg increments ranging from 7.5 mg – 30 mg and varying with brand: </w:t>
            </w:r>
          </w:p>
          <w:p w14:paraId="4D307469" w14:textId="77777777" w:rsidR="00E0175B" w:rsidRPr="002D255E" w:rsidRDefault="00E0175B" w:rsidP="00E0175B">
            <w:pPr>
              <w:pStyle w:val="ListParagraph"/>
              <w:numPr>
                <w:ilvl w:val="0"/>
                <w:numId w:val="25"/>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50 mg/mL in pre-filled injector or syringe (Methofill®): 7.5 mg to 30 mg</w:t>
            </w:r>
          </w:p>
          <w:p w14:paraId="56EEC18D" w14:textId="77777777" w:rsidR="00E0175B" w:rsidRPr="002D255E" w:rsidRDefault="00E0175B" w:rsidP="00E0175B">
            <w:pPr>
              <w:pStyle w:val="ListParagraph"/>
              <w:numPr>
                <w:ilvl w:val="0"/>
                <w:numId w:val="25"/>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 xml:space="preserve">50 mg/mL in pre-filled pen (Metoject®): 7.5 mg to 30 mg </w:t>
            </w:r>
          </w:p>
          <w:p w14:paraId="20841D29" w14:textId="77777777" w:rsidR="00E0175B" w:rsidRPr="002D255E" w:rsidRDefault="00E0175B" w:rsidP="00E0175B">
            <w:pPr>
              <w:pStyle w:val="ListParagraph"/>
              <w:numPr>
                <w:ilvl w:val="0"/>
                <w:numId w:val="25"/>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 xml:space="preserve">25 mg/mL in pre-filled pen (Nordimet®): 7.5 mg to 25 mg </w:t>
            </w:r>
          </w:p>
          <w:p w14:paraId="075F66B2" w14:textId="77777777" w:rsidR="00E0175B" w:rsidRPr="002D255E" w:rsidRDefault="00E0175B" w:rsidP="00E0175B">
            <w:pPr>
              <w:pStyle w:val="ListParagraph"/>
              <w:numPr>
                <w:ilvl w:val="0"/>
                <w:numId w:val="25"/>
              </w:numPr>
              <w:autoSpaceDE w:val="0"/>
              <w:autoSpaceDN w:val="0"/>
              <w:adjustRightInd w:val="0"/>
              <w:spacing w:before="60" w:after="60" w:line="240" w:lineRule="auto"/>
              <w:contextualSpacing/>
              <w:rPr>
                <w:rFonts w:eastAsia="Times New Roman" w:cstheme="minorHAnsi"/>
                <w:bCs/>
                <w:iCs/>
                <w:color w:val="000000"/>
                <w:lang w:eastAsia="en-GB"/>
              </w:rPr>
            </w:pPr>
            <w:r w:rsidRPr="002D255E">
              <w:rPr>
                <w:rFonts w:eastAsia="Times New Roman" w:cstheme="minorHAnsi"/>
                <w:bCs/>
                <w:iCs/>
                <w:color w:val="000000"/>
                <w:lang w:eastAsia="en-GB"/>
              </w:rPr>
              <w:t xml:space="preserve">25 mg/mL in pre-filled syringe (Zlatal®): 7.5 mg to 25 mg </w:t>
            </w:r>
          </w:p>
          <w:p w14:paraId="71F36200"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r w:rsidRPr="002D255E">
              <w:rPr>
                <w:rFonts w:eastAsia="Times New Roman" w:cstheme="minorHAnsi"/>
                <w:szCs w:val="24"/>
                <w:lang w:eastAsia="en-GB"/>
              </w:rPr>
              <w:t xml:space="preserve">If subcutaneous methotrexate is prescribed, secondary care must specify the brand and the patient should be maintained on that brand due to device familiarity. Brand should be specified on clinical systems. </w:t>
            </w:r>
          </w:p>
          <w:p w14:paraId="210381B4" w14:textId="77777777" w:rsidR="00E0175B" w:rsidRPr="002D255E" w:rsidRDefault="00E0175B" w:rsidP="00E0175B">
            <w:pPr>
              <w:autoSpaceDE w:val="0"/>
              <w:autoSpaceDN w:val="0"/>
              <w:adjustRightInd w:val="0"/>
              <w:spacing w:before="60" w:after="60" w:line="240" w:lineRule="auto"/>
              <w:rPr>
                <w:rFonts w:eastAsia="Times New Roman" w:cstheme="minorHAnsi"/>
                <w:szCs w:val="24"/>
                <w:lang w:eastAsia="en-GB"/>
              </w:rPr>
            </w:pPr>
            <w:r w:rsidRPr="002D255E">
              <w:rPr>
                <w:rFonts w:eastAsia="Times New Roman" w:cstheme="minorHAnsi"/>
                <w:bCs/>
                <w:iCs/>
                <w:color w:val="000000"/>
                <w:lang w:eastAsia="en-GB"/>
              </w:rPr>
              <w:lastRenderedPageBreak/>
              <w:t xml:space="preserve">See </w:t>
            </w:r>
            <w:hyperlink r:id="rId27" w:history="1">
              <w:r w:rsidRPr="002D255E">
                <w:rPr>
                  <w:rStyle w:val="Hyperlink"/>
                  <w:rFonts w:eastAsia="Times New Roman" w:cstheme="minorHAnsi"/>
                  <w:bCs/>
                  <w:iCs/>
                  <w:lang w:eastAsia="en-GB"/>
                </w:rPr>
                <w:t>SPCs</w:t>
              </w:r>
            </w:hyperlink>
            <w:r w:rsidRPr="002D255E">
              <w:rPr>
                <w:rFonts w:eastAsia="Times New Roman" w:cstheme="minorHAnsi"/>
                <w:bCs/>
                <w:iCs/>
                <w:color w:val="000000"/>
                <w:lang w:eastAsia="en-GB"/>
              </w:rPr>
              <w:t xml:space="preserve"> for full details of available products. Local, pre-existing arrangements for the </w:t>
            </w:r>
            <w:r w:rsidRPr="002D255E">
              <w:rPr>
                <w:rFonts w:eastAsia="Times New Roman" w:cstheme="minorHAnsi"/>
                <w:szCs w:val="24"/>
                <w:lang w:eastAsia="en-GB"/>
              </w:rPr>
              <w:t xml:space="preserve">supply of methotrexate injection and ancillary products, and for the disposal of cytotoxic waste, should be observed. </w:t>
            </w:r>
          </w:p>
          <w:p w14:paraId="1E9398DB"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r w:rsidRPr="002D255E">
              <w:rPr>
                <w:rFonts w:eastAsia="Times New Roman" w:cstheme="minorHAnsi"/>
                <w:bCs/>
                <w:iCs/>
                <w:color w:val="000000"/>
                <w:lang w:eastAsia="en-GB"/>
              </w:rPr>
              <w:t xml:space="preserve">When deciding which formulation to prescribe, the specialist should consider the patient’s circumstances and overall polypharmacy burden, especially for patients with a high pill burden. See </w:t>
            </w:r>
            <w:hyperlink r:id="rId28" w:history="1">
              <w:r w:rsidRPr="002D255E">
                <w:rPr>
                  <w:rStyle w:val="Hyperlink"/>
                  <w:rFonts w:eastAsia="Times New Roman" w:cstheme="minorHAnsi"/>
                  <w:bCs/>
                  <w:iCs/>
                  <w:lang w:eastAsia="en-GB"/>
                </w:rPr>
                <w:t>MHRA advice on preventing inadvertent daily dosing</w:t>
              </w:r>
            </w:hyperlink>
            <w:r w:rsidRPr="002D255E">
              <w:rPr>
                <w:rFonts w:eastAsia="Times New Roman" w:cstheme="minorHAnsi"/>
                <w:bCs/>
                <w:iCs/>
                <w:color w:val="000000"/>
                <w:lang w:eastAsia="en-GB"/>
              </w:rPr>
              <w:t>.</w:t>
            </w:r>
          </w:p>
          <w:p w14:paraId="1312A1B6" w14:textId="1F5BC175" w:rsidR="00E0175B" w:rsidRPr="002D255E" w:rsidRDefault="00E0175B" w:rsidP="00E0175B">
            <w:pPr>
              <w:shd w:val="clear" w:color="auto" w:fill="FFFFFF"/>
              <w:rPr>
                <w:rFonts w:eastAsia="Times New Roman" w:cs="Arial"/>
                <w:iCs/>
                <w:noProof/>
                <w:color w:val="000000"/>
                <w:lang w:val="en-US" w:eastAsia="en-GB"/>
              </w:rPr>
            </w:pPr>
            <w:r w:rsidRPr="002D255E">
              <w:rPr>
                <w:rFonts w:eastAsia="Times New Roman" w:cstheme="minorHAnsi"/>
                <w:bCs/>
                <w:iCs/>
                <w:color w:val="000000"/>
                <w:lang w:eastAsia="en-GB"/>
              </w:rPr>
              <w:t xml:space="preserve">Converting from an oral to a subcutaneous dosage form may be appropriate where patients experience intolerable gastrointestinal adverse effects and should only be undertaken by a specialist.  </w:t>
            </w:r>
          </w:p>
        </w:tc>
      </w:tr>
      <w:tr w:rsidR="00E0175B" w:rsidRPr="002D255E" w14:paraId="32A1142F" w14:textId="77777777" w:rsidTr="7234176C">
        <w:trPr>
          <w:trHeight w:val="97"/>
          <w:jc w:val="center"/>
        </w:trPr>
        <w:tc>
          <w:tcPr>
            <w:tcW w:w="1838" w:type="dxa"/>
            <w:vAlign w:val="center"/>
          </w:tcPr>
          <w:p w14:paraId="33657BA5" w14:textId="6D98BB80" w:rsidR="00E0175B" w:rsidRPr="002D255E" w:rsidRDefault="00E0175B" w:rsidP="00E0175B">
            <w:pPr>
              <w:rPr>
                <w:b/>
                <w:bCs/>
                <w:iCs/>
                <w:color w:val="000000"/>
                <w:lang w:eastAsia="en-GB"/>
              </w:rPr>
            </w:pPr>
            <w:r w:rsidRPr="002D255E">
              <w:rPr>
                <w:rFonts w:eastAsia="Times New Roman" w:cstheme="minorHAnsi"/>
                <w:szCs w:val="24"/>
                <w:lang w:eastAsia="en-GB"/>
              </w:rPr>
              <w:lastRenderedPageBreak/>
              <w:t>Administration details:</w:t>
            </w:r>
          </w:p>
        </w:tc>
        <w:tc>
          <w:tcPr>
            <w:tcW w:w="8617" w:type="dxa"/>
            <w:gridSpan w:val="2"/>
          </w:tcPr>
          <w:p w14:paraId="5314D8AE" w14:textId="77777777" w:rsidR="00E0175B" w:rsidRPr="002D255E" w:rsidRDefault="00E0175B" w:rsidP="00E0175B">
            <w:pPr>
              <w:autoSpaceDE w:val="0"/>
              <w:autoSpaceDN w:val="0"/>
              <w:adjustRightInd w:val="0"/>
              <w:spacing w:before="60" w:after="60" w:line="240" w:lineRule="auto"/>
              <w:rPr>
                <w:rFonts w:eastAsia="Times New Roman" w:cs="Arial"/>
                <w:lang w:eastAsia="en-GB"/>
              </w:rPr>
            </w:pPr>
            <w:r w:rsidRPr="002D255E">
              <w:rPr>
                <w:rFonts w:eastAsia="Times New Roman" w:cs="Arial"/>
                <w:lang w:eastAsia="en-GB"/>
              </w:rPr>
              <w:t>Tablets should not be split or crushed for administration. Review formulation if patient is unable to swallow tablets. Carers should wear single-use gloves to handle methotrexate tablets. Anyone handling the tablets should wash their hands immediately afterwards.</w:t>
            </w:r>
          </w:p>
          <w:p w14:paraId="61C95AAC" w14:textId="77777777" w:rsidR="00E0175B" w:rsidRPr="002D255E" w:rsidRDefault="00E0175B" w:rsidP="00E0175B">
            <w:pPr>
              <w:autoSpaceDE w:val="0"/>
              <w:autoSpaceDN w:val="0"/>
              <w:adjustRightInd w:val="0"/>
              <w:spacing w:before="60" w:after="60" w:line="240" w:lineRule="auto"/>
              <w:rPr>
                <w:rFonts w:eastAsia="Times New Roman" w:cs="Arial"/>
                <w:lang w:eastAsia="en-GB"/>
              </w:rPr>
            </w:pPr>
            <w:r w:rsidRPr="002D255E">
              <w:rPr>
                <w:rFonts w:eastAsia="Times New Roman" w:cs="Arial"/>
                <w:lang w:eastAsia="en-GB"/>
              </w:rPr>
              <w:t>Pregnant people, including patients and carers, should avoid handling methotrexate.</w:t>
            </w:r>
          </w:p>
          <w:p w14:paraId="04A85759" w14:textId="77777777" w:rsidR="00E0175B" w:rsidRPr="002D255E" w:rsidRDefault="00E0175B" w:rsidP="00E0175B">
            <w:pPr>
              <w:autoSpaceDE w:val="0"/>
              <w:autoSpaceDN w:val="0"/>
              <w:adjustRightInd w:val="0"/>
              <w:spacing w:before="60" w:after="60" w:line="240" w:lineRule="auto"/>
              <w:rPr>
                <w:rFonts w:eastAsia="Times New Roman" w:cs="Arial"/>
                <w:bCs/>
                <w:iCs/>
                <w:color w:val="000000"/>
                <w:lang w:eastAsia="en-GB"/>
              </w:rPr>
            </w:pPr>
            <w:r w:rsidRPr="002D255E">
              <w:rPr>
                <w:rFonts w:eastAsia="Times New Roman" w:cs="Arial"/>
                <w:bCs/>
                <w:iCs/>
                <w:color w:val="000000"/>
                <w:lang w:eastAsia="en-GB"/>
              </w:rPr>
              <w:t xml:space="preserve">Avoid skin or mucosa contact with methotrexate solution for injection. Spillage kits should be available for patients on subcutaneous methotrexate. </w:t>
            </w:r>
          </w:p>
          <w:p w14:paraId="4466B100" w14:textId="492BA329" w:rsidR="00E0175B" w:rsidRPr="002D255E" w:rsidRDefault="00E0175B" w:rsidP="00E0175B">
            <w:pPr>
              <w:rPr>
                <w:b/>
                <w:bCs/>
                <w:iCs/>
                <w:color w:val="000000"/>
                <w:lang w:eastAsia="en-GB"/>
              </w:rPr>
            </w:pPr>
            <w:r w:rsidRPr="002D255E">
              <w:rPr>
                <w:rFonts w:eastAsia="Times New Roman" w:cs="Arial"/>
                <w:bCs/>
                <w:iCs/>
                <w:color w:val="000000"/>
                <w:lang w:eastAsia="en-GB"/>
              </w:rPr>
              <w:t xml:space="preserve">If a dose of methotrexate is missed it should be taken as soon as remembered, within one or two days. Doses which are three or more days late should be skipped entirely. </w:t>
            </w:r>
            <w:r w:rsidRPr="002D255E">
              <w:rPr>
                <w:rFonts w:eastAsia="Times New Roman" w:cs="Arial"/>
                <w:lang w:eastAsia="en-GB"/>
              </w:rPr>
              <w:t xml:space="preserve">Take the next dose as scheduled, on the usual day. </w:t>
            </w:r>
            <w:r w:rsidRPr="002D255E">
              <w:rPr>
                <w:rFonts w:eastAsia="Times New Roman" w:cs="Arial"/>
                <w:u w:val="single"/>
                <w:lang w:eastAsia="en-GB"/>
              </w:rPr>
              <w:t>A double dose should not be taken to make up for a missed dose</w:t>
            </w:r>
            <w:r w:rsidRPr="002D255E">
              <w:rPr>
                <w:rFonts w:eastAsia="Times New Roman" w:cs="Arial"/>
                <w:lang w:eastAsia="en-GB"/>
              </w:rPr>
              <w:t>.</w:t>
            </w:r>
          </w:p>
        </w:tc>
      </w:tr>
      <w:tr w:rsidR="00E0175B" w:rsidRPr="002D255E" w14:paraId="7AF4C7E7" w14:textId="77777777" w:rsidTr="7234176C">
        <w:trPr>
          <w:trHeight w:val="97"/>
          <w:jc w:val="center"/>
        </w:trPr>
        <w:tc>
          <w:tcPr>
            <w:tcW w:w="1838" w:type="dxa"/>
            <w:tcBorders>
              <w:bottom w:val="single" w:sz="4" w:space="0" w:color="auto"/>
            </w:tcBorders>
            <w:vAlign w:val="center"/>
          </w:tcPr>
          <w:p w14:paraId="1C2DED5A" w14:textId="00071546" w:rsidR="00E0175B" w:rsidRPr="002D255E" w:rsidRDefault="00E0175B" w:rsidP="00E0175B">
            <w:pPr>
              <w:rPr>
                <w:b/>
                <w:bCs/>
                <w:iCs/>
                <w:color w:val="000000"/>
                <w:lang w:eastAsia="en-GB"/>
              </w:rPr>
            </w:pPr>
            <w:r w:rsidRPr="002D255E">
              <w:rPr>
                <w:rFonts w:eastAsia="Times New Roman" w:cstheme="minorHAnsi"/>
                <w:szCs w:val="24"/>
                <w:lang w:eastAsia="en-GB"/>
              </w:rPr>
              <w:t>Other important information:</w:t>
            </w:r>
          </w:p>
        </w:tc>
        <w:tc>
          <w:tcPr>
            <w:tcW w:w="8617" w:type="dxa"/>
            <w:gridSpan w:val="2"/>
            <w:tcBorders>
              <w:bottom w:val="single" w:sz="4" w:space="0" w:color="auto"/>
            </w:tcBorders>
          </w:tcPr>
          <w:p w14:paraId="4F21E203"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r w:rsidRPr="002D255E">
              <w:rPr>
                <w:rFonts w:eastAsia="Times New Roman" w:cstheme="minorHAnsi"/>
                <w:bCs/>
                <w:iCs/>
                <w:color w:val="000000"/>
                <w:lang w:eastAsia="en-GB"/>
              </w:rPr>
              <w:t xml:space="preserve">Methotrexate is taken </w:t>
            </w:r>
            <w:r w:rsidRPr="002D255E">
              <w:rPr>
                <w:rFonts w:eastAsia="Times New Roman" w:cstheme="minorHAnsi"/>
                <w:bCs/>
                <w:iCs/>
                <w:color w:val="000000"/>
                <w:u w:val="single"/>
                <w:lang w:eastAsia="en-GB"/>
              </w:rPr>
              <w:t>once weekly</w:t>
            </w:r>
            <w:r w:rsidRPr="002D255E">
              <w:rPr>
                <w:rFonts w:eastAsia="Times New Roman" w:cstheme="minorHAnsi"/>
                <w:bCs/>
                <w:iCs/>
                <w:color w:val="000000"/>
                <w:lang w:eastAsia="en-GB"/>
              </w:rPr>
              <w:t xml:space="preserve">, and there is a significant risk of toxicity if it is taken more frequently. Prescribers should follow the </w:t>
            </w:r>
            <w:hyperlink r:id="rId29" w:history="1">
              <w:r w:rsidRPr="002D255E">
                <w:rPr>
                  <w:rStyle w:val="Hyperlink"/>
                  <w:rFonts w:eastAsia="Times New Roman" w:cstheme="minorHAnsi"/>
                  <w:bCs/>
                  <w:iCs/>
                  <w:lang w:eastAsia="en-GB"/>
                </w:rPr>
                <w:t>MHRA advice on preventing inadvertent daily dosing</w:t>
              </w:r>
            </w:hyperlink>
            <w:r w:rsidRPr="002D255E">
              <w:rPr>
                <w:rStyle w:val="Hyperlink"/>
                <w:rFonts w:eastAsia="Times New Roman" w:cstheme="minorHAnsi"/>
                <w:bCs/>
                <w:iCs/>
                <w:color w:val="000000"/>
                <w:u w:val="none"/>
                <w:lang w:eastAsia="en-GB"/>
              </w:rPr>
              <w:t xml:space="preserve">, including </w:t>
            </w:r>
            <w:r w:rsidRPr="002D255E">
              <w:rPr>
                <w:rFonts w:eastAsia="Times New Roman" w:cstheme="minorHAnsi"/>
                <w:bCs/>
                <w:iCs/>
                <w:color w:val="000000"/>
                <w:lang w:eastAsia="en-GB"/>
              </w:rPr>
              <w:t>ensuring that the patient and/or carer understands the dosing schedule and is able to follow it.</w:t>
            </w:r>
          </w:p>
          <w:p w14:paraId="61E8674D"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r w:rsidRPr="002D255E">
              <w:rPr>
                <w:rFonts w:eastAsia="Times New Roman" w:cstheme="minorHAnsi"/>
                <w:bCs/>
                <w:iCs/>
                <w:color w:val="000000"/>
                <w:lang w:eastAsia="en-GB"/>
              </w:rPr>
              <w:t xml:space="preserve">All patients should be prescribed folic acid at a dose of at least 5 mg once weekly, to be taken on a different day than their methotrexate dose. The specialist should include clear details of the folic acid regimen in their initial communication with primary care. </w:t>
            </w:r>
          </w:p>
          <w:p w14:paraId="689017FA" w14:textId="2BCFE97D" w:rsidR="00E0175B" w:rsidRPr="002D255E" w:rsidRDefault="00E0175B" w:rsidP="00E0175B">
            <w:pPr>
              <w:rPr>
                <w:b/>
                <w:bCs/>
                <w:iCs/>
                <w:color w:val="000000"/>
                <w:lang w:eastAsia="en-GB"/>
              </w:rPr>
            </w:pPr>
            <w:r w:rsidRPr="002D255E">
              <w:rPr>
                <w:rFonts w:eastAsia="Times New Roman" w:cstheme="minorHAnsi"/>
                <w:bCs/>
                <w:iCs/>
                <w:color w:val="000000"/>
                <w:lang w:eastAsia="en-GB"/>
              </w:rPr>
              <w:t>In areas where methotrexate monitoring booklets are in use, the patient should receive a monitoring booklet from the specialist upon initiation of treatment. They should bring this booklet to all specialist and GP appointments where it will be updated by the health professional conducting the appointment. The patient should also produce the booklet to any health professional involved in other aspects of their care e.g. pharmacists and dentists.</w:t>
            </w:r>
          </w:p>
        </w:tc>
      </w:tr>
      <w:tr w:rsidR="00E0175B" w:rsidRPr="002D255E" w14:paraId="43330AD8" w14:textId="77777777" w:rsidTr="7234176C">
        <w:trPr>
          <w:jc w:val="center"/>
        </w:trPr>
        <w:tc>
          <w:tcPr>
            <w:tcW w:w="10455" w:type="dxa"/>
            <w:gridSpan w:val="3"/>
            <w:tcBorders>
              <w:bottom w:val="nil"/>
            </w:tcBorders>
            <w:shd w:val="clear" w:color="auto" w:fill="F2F2F2" w:themeFill="background1" w:themeFillShade="F2"/>
          </w:tcPr>
          <w:p w14:paraId="2293CECB" w14:textId="43830C9A" w:rsidR="00E0175B" w:rsidRPr="002D255E" w:rsidRDefault="00E0175B" w:rsidP="00E0175B">
            <w:pPr>
              <w:pStyle w:val="Heading1"/>
              <w:tabs>
                <w:tab w:val="right" w:pos="10240"/>
              </w:tabs>
              <w:rPr>
                <w:lang w:eastAsia="en-GB"/>
              </w:rPr>
            </w:pPr>
            <w:bookmarkStart w:id="10" w:name="Seven_interactions"/>
            <w:r w:rsidRPr="002D255E">
              <w:rPr>
                <w:lang w:eastAsia="en-GB"/>
              </w:rPr>
              <w:t>Significant medicine interactions</w:t>
            </w:r>
            <w:r w:rsidRPr="002D255E">
              <w:tab/>
            </w:r>
            <w:hyperlink w:anchor="Responsibilities">
              <w:r w:rsidRPr="002D255E">
                <w:rPr>
                  <w:rStyle w:val="Hyperlink"/>
                  <w:rFonts w:eastAsia="Times New Roman" w:cs="Arial"/>
                  <w:b w:val="0"/>
                  <w:bCs w:val="0"/>
                  <w:sz w:val="24"/>
                  <w:szCs w:val="24"/>
                  <w:lang w:eastAsia="en-GB"/>
                </w:rPr>
                <w:t>Back to top</w:t>
              </w:r>
            </w:hyperlink>
            <w:bookmarkEnd w:id="10"/>
          </w:p>
          <w:p w14:paraId="561D758A" w14:textId="66458350" w:rsidR="00E0175B" w:rsidRPr="002D255E" w:rsidRDefault="00E0175B" w:rsidP="00E0175B">
            <w:pPr>
              <w:spacing w:line="257" w:lineRule="auto"/>
            </w:pPr>
            <w:r w:rsidRPr="002D255E">
              <w:rPr>
                <w:rFonts w:eastAsia="Arial" w:cs="Arial"/>
                <w:color w:val="000000" w:themeColor="text1"/>
                <w:szCs w:val="24"/>
                <w:lang w:val="en-US"/>
              </w:rPr>
              <w:t xml:space="preserve">The following list is not exhaustive. Please see </w:t>
            </w:r>
            <w:hyperlink r:id="rId30">
              <w:r w:rsidRPr="002D255E">
                <w:rPr>
                  <w:rStyle w:val="Hyperlink"/>
                  <w:rFonts w:eastAsia="Arial" w:cs="Arial"/>
                  <w:szCs w:val="24"/>
                  <w:lang w:val="en-US"/>
                </w:rPr>
                <w:t>BNF</w:t>
              </w:r>
            </w:hyperlink>
            <w:r w:rsidRPr="002D255E">
              <w:rPr>
                <w:rFonts w:eastAsia="Arial" w:cs="Arial"/>
                <w:color w:val="000000" w:themeColor="text1"/>
                <w:szCs w:val="24"/>
                <w:lang w:val="en-US"/>
              </w:rPr>
              <w:t xml:space="preserve"> or </w:t>
            </w:r>
            <w:hyperlink r:id="rId31">
              <w:r w:rsidRPr="002D255E">
                <w:rPr>
                  <w:rStyle w:val="Hyperlink"/>
                  <w:rFonts w:eastAsia="Arial" w:cs="Arial"/>
                  <w:szCs w:val="24"/>
                  <w:lang w:val="en-US"/>
                </w:rPr>
                <w:t>SPC</w:t>
              </w:r>
            </w:hyperlink>
            <w:r w:rsidRPr="002D255E">
              <w:rPr>
                <w:rFonts w:eastAsia="Arial" w:cs="Arial"/>
                <w:color w:val="000000" w:themeColor="text1"/>
                <w:szCs w:val="24"/>
                <w:lang w:val="en-US"/>
              </w:rPr>
              <w:t xml:space="preserve"> for comprehensive information and recommended management.</w:t>
            </w:r>
          </w:p>
        </w:tc>
      </w:tr>
      <w:tr w:rsidR="00E0175B" w:rsidRPr="002D255E" w14:paraId="44BD7062" w14:textId="77777777" w:rsidTr="7234176C">
        <w:trPr>
          <w:jc w:val="center"/>
        </w:trPr>
        <w:tc>
          <w:tcPr>
            <w:tcW w:w="10455" w:type="dxa"/>
            <w:gridSpan w:val="3"/>
            <w:tcBorders>
              <w:top w:val="nil"/>
              <w:bottom w:val="single" w:sz="4" w:space="0" w:color="auto"/>
            </w:tcBorders>
          </w:tcPr>
          <w:p w14:paraId="6C3D41DA" w14:textId="77777777" w:rsidR="00E0175B" w:rsidRPr="002D255E" w:rsidRDefault="00E0175B" w:rsidP="00E0175B">
            <w:pPr>
              <w:autoSpaceDE w:val="0"/>
              <w:autoSpaceDN w:val="0"/>
              <w:adjustRightInd w:val="0"/>
              <w:spacing w:before="60" w:after="60" w:line="240" w:lineRule="auto"/>
              <w:rPr>
                <w:rFonts w:eastAsia="Times New Roman" w:cstheme="minorHAnsi"/>
                <w:bCs/>
                <w:iCs/>
                <w:color w:val="000000"/>
                <w:lang w:eastAsia="en-GB"/>
              </w:rPr>
            </w:pPr>
            <w:r w:rsidRPr="002D255E">
              <w:rPr>
                <w:rFonts w:eastAsia="Times New Roman" w:cstheme="minorHAnsi"/>
                <w:b/>
                <w:bCs/>
                <w:iCs/>
                <w:color w:val="000000"/>
                <w:lang w:eastAsia="en-GB"/>
              </w:rPr>
              <w:t xml:space="preserve">Methotrexate is associated with a large number of interactions, some of which are significant enough to contraindicate concurrent use, require dose adjustment and/or </w:t>
            </w:r>
            <w:r w:rsidRPr="002D255E">
              <w:rPr>
                <w:rFonts w:eastAsia="Times New Roman" w:cstheme="minorHAnsi"/>
                <w:b/>
                <w:bCs/>
                <w:iCs/>
                <w:color w:val="000000"/>
                <w:lang w:eastAsia="en-GB"/>
              </w:rPr>
              <w:lastRenderedPageBreak/>
              <w:t xml:space="preserve">additional monitoring (see </w:t>
            </w:r>
            <w:hyperlink w:anchor="Four_cx_and_cautions" w:history="1">
              <w:r w:rsidRPr="002D255E">
                <w:rPr>
                  <w:rStyle w:val="Hyperlink"/>
                  <w:rFonts w:eastAsia="Times New Roman" w:cstheme="minorHAnsi"/>
                  <w:b/>
                  <w:bCs/>
                  <w:iCs/>
                  <w:lang w:eastAsia="en-GB"/>
                </w:rPr>
                <w:t>section 4</w:t>
              </w:r>
            </w:hyperlink>
            <w:r w:rsidRPr="002D255E">
              <w:rPr>
                <w:rFonts w:eastAsia="Times New Roman" w:cstheme="minorHAnsi"/>
                <w:b/>
                <w:bCs/>
                <w:iCs/>
                <w:color w:val="000000"/>
                <w:lang w:eastAsia="en-GB"/>
              </w:rPr>
              <w:t xml:space="preserve">). Additional interactions which become relevant at higher doses (e.g. those used in oncology) are not included. </w:t>
            </w:r>
          </w:p>
          <w:p w14:paraId="05143CB6"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lang w:eastAsia="en-GB"/>
              </w:rPr>
              <w:t xml:space="preserve">Co-administration of medicinal products which cause folate deficiency (e.g. </w:t>
            </w:r>
            <w:r w:rsidRPr="002D255E">
              <w:rPr>
                <w:b/>
                <w:lang w:eastAsia="en-GB"/>
              </w:rPr>
              <w:t>trimethoprim</w:t>
            </w:r>
            <w:r w:rsidRPr="002D255E">
              <w:rPr>
                <w:lang w:eastAsia="en-GB"/>
              </w:rPr>
              <w:t xml:space="preserve"> and </w:t>
            </w:r>
            <w:r w:rsidRPr="002D255E">
              <w:rPr>
                <w:b/>
                <w:lang w:eastAsia="en-GB"/>
              </w:rPr>
              <w:t>co-trimoxazole</w:t>
            </w:r>
            <w:r w:rsidRPr="002D255E">
              <w:rPr>
                <w:lang w:eastAsia="en-GB"/>
              </w:rPr>
              <w:t xml:space="preserve">) can lead to increased methotrexate toxicity and is contraindicated (see </w:t>
            </w:r>
            <w:hyperlink w:anchor="Four_cx_and_cautions" w:history="1">
              <w:r w:rsidRPr="002D255E">
                <w:rPr>
                  <w:rStyle w:val="Hyperlink"/>
                  <w:rFonts w:eastAsia="Times New Roman" w:cstheme="minorHAnsi"/>
                  <w:bCs/>
                  <w:iCs/>
                  <w:lang w:eastAsia="en-GB"/>
                </w:rPr>
                <w:t>section 4</w:t>
              </w:r>
            </w:hyperlink>
            <w:r w:rsidRPr="002D255E">
              <w:rPr>
                <w:lang w:eastAsia="en-GB"/>
              </w:rPr>
              <w:t>). Particular caution should therefore also be exercised in the presence of existing folic acid deficiency.</w:t>
            </w:r>
            <w:r w:rsidRPr="002D255E">
              <w:rPr>
                <w:color w:val="FF0000"/>
                <w:lang w:eastAsia="en-GB"/>
              </w:rPr>
              <w:t xml:space="preserve"> </w:t>
            </w:r>
          </w:p>
          <w:p w14:paraId="7469D6F9"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rPr>
              <w:t>Leflunomide</w:t>
            </w:r>
            <w:r w:rsidRPr="002D255E">
              <w:t xml:space="preserve">: increased risk of bone marrow and liver toxicity; increased monitoring and vigilance required. </w:t>
            </w:r>
          </w:p>
          <w:p w14:paraId="1B690BE4"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lang w:eastAsia="en-GB"/>
              </w:rPr>
              <w:t>Ciclosporin</w:t>
            </w:r>
            <w:r w:rsidRPr="002D255E">
              <w:rPr>
                <w:lang w:eastAsia="en-GB"/>
              </w:rPr>
              <w:t>: increased risk of nephrotoxicity and methotrexate toxicity.</w:t>
            </w:r>
          </w:p>
          <w:p w14:paraId="27F9E001" w14:textId="77777777" w:rsidR="00E0175B" w:rsidRPr="002D255E" w:rsidRDefault="00E0175B" w:rsidP="00E0175B">
            <w:pPr>
              <w:pStyle w:val="ListParagraph"/>
              <w:numPr>
                <w:ilvl w:val="0"/>
                <w:numId w:val="7"/>
              </w:numPr>
              <w:spacing w:before="60" w:after="60" w:line="240" w:lineRule="auto"/>
              <w:contextualSpacing/>
              <w:rPr>
                <w:b/>
                <w:lang w:eastAsia="en-GB"/>
              </w:rPr>
            </w:pPr>
            <w:r w:rsidRPr="002D255E">
              <w:rPr>
                <w:b/>
                <w:lang w:eastAsia="en-GB"/>
              </w:rPr>
              <w:t>Azathioprine and mercaptopurine:</w:t>
            </w:r>
            <w:r w:rsidRPr="002D255E">
              <w:rPr>
                <w:lang w:eastAsia="en-GB"/>
              </w:rPr>
              <w:t xml:space="preserve"> not advised due to increased risk of toxicity.</w:t>
            </w:r>
          </w:p>
          <w:p w14:paraId="3813465A"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rPr>
              <w:t>Sulfasalazine</w:t>
            </w:r>
            <w:r w:rsidRPr="002D255E">
              <w:t>:</w:t>
            </w:r>
            <w:r w:rsidRPr="002D255E">
              <w:rPr>
                <w:lang w:eastAsia="en-GB"/>
              </w:rPr>
              <w:t xml:space="preserve"> may increase risk of bone marrow and liver toxicity. However, this combination is used in clinical practice without incident. Be aware of trends in monitoring parameters. </w:t>
            </w:r>
          </w:p>
          <w:p w14:paraId="567EC92E"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rPr>
              <w:t xml:space="preserve">Drugs with hepatotoxic, haematotoxic or nephrotoxic effects: </w:t>
            </w:r>
            <w:r w:rsidRPr="002D255E">
              <w:t xml:space="preserve">Increased frequency of monitoring may be recommended. </w:t>
            </w:r>
          </w:p>
          <w:p w14:paraId="58F8C56C"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lang w:eastAsia="en-GB"/>
              </w:rPr>
              <w:t>Live vaccines</w:t>
            </w:r>
            <w:r w:rsidRPr="002D255E">
              <w:rPr>
                <w:lang w:eastAsia="en-GB"/>
              </w:rPr>
              <w:t xml:space="preserve"> (e.g. oral polio, oral typhoid, MMR, BCG, Zostavax®) are advised in line with the national schedule for all patients, unless the patient is taking a dose of methotrexate or other immunosuppressive drug that exceeds those specified in the </w:t>
            </w:r>
            <w:hyperlink r:id="rId32" w:history="1">
              <w:r w:rsidRPr="002D255E">
                <w:rPr>
                  <w:rStyle w:val="Hyperlink"/>
                  <w:rFonts w:eastAsia="Times New Roman" w:cstheme="minorHAnsi"/>
                  <w:bCs/>
                  <w:iCs/>
                  <w:lang w:eastAsia="en-GB"/>
                </w:rPr>
                <w:t>Green Book</w:t>
              </w:r>
            </w:hyperlink>
            <w:r w:rsidRPr="002D255E">
              <w:rPr>
                <w:lang w:eastAsia="en-GB"/>
              </w:rPr>
              <w:t xml:space="preserve">. Doses below this level are not considered sufficiently immunosuppressive and these patients </w:t>
            </w:r>
            <w:r w:rsidRPr="002D255E">
              <w:rPr>
                <w:u w:val="single"/>
                <w:lang w:eastAsia="en-GB"/>
              </w:rPr>
              <w:t>can</w:t>
            </w:r>
            <w:r w:rsidRPr="002D255E">
              <w:rPr>
                <w:lang w:eastAsia="en-GB"/>
              </w:rPr>
              <w:t xml:space="preserve"> receive live vaccines. Clinician discretion is advised. Please refer to the </w:t>
            </w:r>
            <w:hyperlink r:id="rId33" w:history="1">
              <w:r w:rsidRPr="002D255E">
                <w:rPr>
                  <w:rStyle w:val="Hyperlink"/>
                  <w:rFonts w:eastAsia="Times New Roman" w:cstheme="minorHAnsi"/>
                  <w:bCs/>
                  <w:iCs/>
                  <w:lang w:eastAsia="en-GB"/>
                </w:rPr>
                <w:t>Green Book Chapter 6</w:t>
              </w:r>
            </w:hyperlink>
            <w:r w:rsidRPr="002D255E">
              <w:rPr>
                <w:lang w:eastAsia="en-GB"/>
              </w:rPr>
              <w:t xml:space="preserve"> for current advice.</w:t>
            </w:r>
          </w:p>
          <w:p w14:paraId="5ABAA6A9"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lang w:eastAsia="en-GB"/>
              </w:rPr>
              <w:t xml:space="preserve">Avoid concomitant use of </w:t>
            </w:r>
            <w:r w:rsidRPr="002D255E">
              <w:rPr>
                <w:b/>
                <w:lang w:eastAsia="en-GB"/>
              </w:rPr>
              <w:t xml:space="preserve">cytotoxics, clozapine, and olanzapine: </w:t>
            </w:r>
            <w:r w:rsidRPr="002D255E">
              <w:rPr>
                <w:lang w:eastAsia="en-GB"/>
              </w:rPr>
              <w:t>increased risk of agranulocytosis.</w:t>
            </w:r>
          </w:p>
          <w:p w14:paraId="459886D9"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lang w:eastAsia="en-GB"/>
              </w:rPr>
              <w:t>Retinoids</w:t>
            </w:r>
            <w:r w:rsidRPr="002D255E">
              <w:rPr>
                <w:lang w:eastAsia="en-GB"/>
              </w:rPr>
              <w:t>: increased risk of hepatotoxicity, and may increase plasma levels of methotrexate.</w:t>
            </w:r>
          </w:p>
          <w:p w14:paraId="077A0A6D"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lang w:eastAsia="en-GB"/>
              </w:rPr>
              <w:t>Levetiracetam:</w:t>
            </w:r>
            <w:r w:rsidRPr="002D255E">
              <w:rPr>
                <w:lang w:eastAsia="en-GB"/>
              </w:rPr>
              <w:t xml:space="preserve"> may increase plasma levels of methotrexate.</w:t>
            </w:r>
          </w:p>
          <w:p w14:paraId="6FEEB809"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lang w:eastAsia="en-GB"/>
              </w:rPr>
              <w:t>Nitrous oxide and pyrimethamine</w:t>
            </w:r>
            <w:r w:rsidRPr="002D255E">
              <w:rPr>
                <w:lang w:eastAsia="en-GB"/>
              </w:rPr>
              <w:t xml:space="preserve">: increased antifolate effect of methotrexate. </w:t>
            </w:r>
          </w:p>
          <w:p w14:paraId="34171334"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lang w:eastAsia="en-GB"/>
              </w:rPr>
              <w:t xml:space="preserve">Lomitapide: </w:t>
            </w:r>
            <w:r w:rsidRPr="002D255E">
              <w:rPr>
                <w:lang w:eastAsia="en-GB"/>
              </w:rPr>
              <w:t>increased risk of hepatotoxicity.</w:t>
            </w:r>
          </w:p>
          <w:p w14:paraId="744874F3"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lang w:eastAsia="en-GB"/>
              </w:rPr>
              <w:t xml:space="preserve">Probenecid: </w:t>
            </w:r>
            <w:r w:rsidRPr="002D255E">
              <w:rPr>
                <w:lang w:eastAsia="en-GB"/>
              </w:rPr>
              <w:t>excretion of methotrexate reduced.</w:t>
            </w:r>
          </w:p>
          <w:p w14:paraId="1ABB7DEC" w14:textId="77777777" w:rsidR="00E0175B" w:rsidRPr="002D255E" w:rsidRDefault="00E0175B" w:rsidP="00E0175B">
            <w:pPr>
              <w:pStyle w:val="ListParagraph"/>
              <w:numPr>
                <w:ilvl w:val="0"/>
                <w:numId w:val="7"/>
              </w:numPr>
              <w:spacing w:before="60" w:after="60" w:line="240" w:lineRule="auto"/>
              <w:contextualSpacing/>
            </w:pPr>
            <w:r w:rsidRPr="002D255E">
              <w:rPr>
                <w:b/>
              </w:rPr>
              <w:t xml:space="preserve">Phenytoin: </w:t>
            </w:r>
            <w:r w:rsidRPr="002D255E">
              <w:t>possible increased methotrexate toxicity, and decreased phenytoin effect.</w:t>
            </w:r>
          </w:p>
          <w:p w14:paraId="25DA9317" w14:textId="77777777" w:rsidR="00E0175B" w:rsidRPr="002D255E" w:rsidRDefault="00E0175B" w:rsidP="00E0175B">
            <w:pPr>
              <w:pStyle w:val="ListParagraph"/>
              <w:numPr>
                <w:ilvl w:val="0"/>
                <w:numId w:val="7"/>
              </w:numPr>
              <w:spacing w:before="60" w:after="60" w:line="240" w:lineRule="auto"/>
              <w:contextualSpacing/>
            </w:pPr>
            <w:r w:rsidRPr="002D255E">
              <w:rPr>
                <w:b/>
              </w:rPr>
              <w:t>NSAIDs</w:t>
            </w:r>
            <w:r w:rsidRPr="002D255E">
              <w:t xml:space="preserve">, </w:t>
            </w:r>
            <w:r w:rsidRPr="002D255E">
              <w:rPr>
                <w:b/>
              </w:rPr>
              <w:t>COX-2 inhibitors, aspirin:</w:t>
            </w:r>
            <w:r w:rsidRPr="002D255E">
              <w:t xml:space="preserve"> may reduce excretion of methotrexate, increasing risk of toxicity. These drugs are frequently used with methotrexate without incident, and aspirin at antiplatelet doses is unlikely to interact to a significant degree. Be aware of trends in monitoring parameters. </w:t>
            </w:r>
          </w:p>
          <w:p w14:paraId="4D49905A" w14:textId="77777777" w:rsidR="00E0175B" w:rsidRPr="002D255E" w:rsidRDefault="00E0175B" w:rsidP="00E0175B">
            <w:pPr>
              <w:pStyle w:val="ListParagraph"/>
              <w:numPr>
                <w:ilvl w:val="0"/>
                <w:numId w:val="7"/>
              </w:numPr>
              <w:spacing w:before="60" w:after="60" w:line="240" w:lineRule="auto"/>
              <w:contextualSpacing/>
            </w:pPr>
            <w:r w:rsidRPr="002D255E">
              <w:rPr>
                <w:b/>
              </w:rPr>
              <w:t xml:space="preserve">Antibiotics </w:t>
            </w:r>
            <w:r w:rsidRPr="002D255E">
              <w:t xml:space="preserve">may alter methotrexate levels. Methotrexate should be interrupted during periods of acute infection (see </w:t>
            </w:r>
            <w:hyperlink w:anchor="Ten_ADRs_and_Management" w:history="1">
              <w:r w:rsidRPr="002D255E">
                <w:rPr>
                  <w:rStyle w:val="Hyperlink"/>
                  <w:rFonts w:cstheme="minorHAnsi"/>
                </w:rPr>
                <w:t>section 10</w:t>
              </w:r>
            </w:hyperlink>
            <w:r w:rsidRPr="002D255E">
              <w:t>).</w:t>
            </w:r>
          </w:p>
          <w:p w14:paraId="1A33B2FA" w14:textId="77777777" w:rsidR="00E0175B" w:rsidRPr="002D255E" w:rsidRDefault="00E0175B" w:rsidP="00E0175B">
            <w:pPr>
              <w:pStyle w:val="ListParagraph"/>
              <w:numPr>
                <w:ilvl w:val="0"/>
                <w:numId w:val="7"/>
              </w:numPr>
              <w:spacing w:before="60" w:after="60" w:line="240" w:lineRule="auto"/>
              <w:contextualSpacing/>
              <w:rPr>
                <w:lang w:eastAsia="en-GB"/>
              </w:rPr>
            </w:pPr>
            <w:r w:rsidRPr="002D255E">
              <w:rPr>
                <w:b/>
              </w:rPr>
              <w:t>Theophylline and other methylxanthines:</w:t>
            </w:r>
            <w:r w:rsidRPr="002D255E">
              <w:t xml:space="preserve"> may reduce methotrexate efficacy. Methotrexate may reduce theophylline clearance. </w:t>
            </w:r>
          </w:p>
          <w:p w14:paraId="4C65D1F9" w14:textId="77777777" w:rsidR="00E0175B" w:rsidRPr="002D255E" w:rsidRDefault="00E0175B" w:rsidP="00E0175B">
            <w:pPr>
              <w:pStyle w:val="ListParagraph"/>
              <w:numPr>
                <w:ilvl w:val="0"/>
                <w:numId w:val="7"/>
              </w:numPr>
              <w:spacing w:before="60" w:after="60" w:line="240" w:lineRule="auto"/>
              <w:contextualSpacing/>
              <w:rPr>
                <w:b/>
                <w:lang w:eastAsia="en-GB"/>
              </w:rPr>
            </w:pPr>
            <w:r w:rsidRPr="002D255E">
              <w:rPr>
                <w:b/>
                <w:lang w:eastAsia="en-GB"/>
              </w:rPr>
              <w:t xml:space="preserve">Anticonvulsants: </w:t>
            </w:r>
            <w:r w:rsidRPr="002D255E">
              <w:t>may reduce methotrexate levels.</w:t>
            </w:r>
          </w:p>
          <w:p w14:paraId="79351D4A" w14:textId="77777777" w:rsidR="00E0175B" w:rsidRPr="002D255E" w:rsidRDefault="00E0175B" w:rsidP="00E0175B">
            <w:pPr>
              <w:pStyle w:val="ListParagraph"/>
              <w:numPr>
                <w:ilvl w:val="0"/>
                <w:numId w:val="7"/>
              </w:numPr>
              <w:spacing w:before="60" w:after="60" w:line="240" w:lineRule="auto"/>
              <w:contextualSpacing/>
              <w:rPr>
                <w:b/>
                <w:lang w:eastAsia="en-GB"/>
              </w:rPr>
            </w:pPr>
            <w:r w:rsidRPr="002D255E">
              <w:rPr>
                <w:b/>
                <w:lang w:eastAsia="en-GB"/>
              </w:rPr>
              <w:t>Colestyramine</w:t>
            </w:r>
            <w:r w:rsidRPr="002D255E">
              <w:rPr>
                <w:lang w:eastAsia="en-GB"/>
              </w:rPr>
              <w:t xml:space="preserve">: may increase elimination of methotrexate.  </w:t>
            </w:r>
          </w:p>
          <w:p w14:paraId="24289A8A" w14:textId="05B185F0" w:rsidR="00E0175B" w:rsidRPr="002D255E" w:rsidRDefault="00E0175B" w:rsidP="00E0175B">
            <w:pPr>
              <w:pStyle w:val="ListParagraph"/>
              <w:numPr>
                <w:ilvl w:val="0"/>
                <w:numId w:val="7"/>
              </w:numPr>
              <w:autoSpaceDE w:val="0"/>
              <w:autoSpaceDN w:val="0"/>
              <w:adjustRightInd w:val="0"/>
              <w:rPr>
                <w:rFonts w:eastAsia="Times New Roman" w:cs="Arial"/>
                <w:bCs/>
                <w:iCs/>
                <w:color w:val="000000"/>
                <w:szCs w:val="24"/>
                <w:lang w:eastAsia="en-GB"/>
              </w:rPr>
            </w:pPr>
            <w:r w:rsidRPr="002D255E">
              <w:rPr>
                <w:b/>
              </w:rPr>
              <w:t>Alcohol:</w:t>
            </w:r>
            <w:r w:rsidRPr="002D255E">
              <w:t xml:space="preserve"> consumption of alcohol increases the risk of hepatotoxicity. Patients should moderate their alcohol intake to no more than 14 units per week.</w:t>
            </w:r>
          </w:p>
        </w:tc>
      </w:tr>
      <w:tr w:rsidR="00E0175B" w:rsidRPr="002D255E" w14:paraId="24EF260A" w14:textId="77777777" w:rsidTr="7234176C">
        <w:trPr>
          <w:jc w:val="center"/>
        </w:trPr>
        <w:tc>
          <w:tcPr>
            <w:tcW w:w="10455" w:type="dxa"/>
            <w:gridSpan w:val="3"/>
            <w:tcBorders>
              <w:bottom w:val="nil"/>
            </w:tcBorders>
            <w:shd w:val="clear" w:color="auto" w:fill="F2F2F2" w:themeFill="background1" w:themeFillShade="F2"/>
          </w:tcPr>
          <w:p w14:paraId="6FA6EB67" w14:textId="3453B847" w:rsidR="00E0175B" w:rsidRPr="002D255E" w:rsidRDefault="00E0175B" w:rsidP="00E0175B">
            <w:pPr>
              <w:pStyle w:val="Heading1"/>
              <w:tabs>
                <w:tab w:val="right" w:pos="10240"/>
              </w:tabs>
              <w:rPr>
                <w:rStyle w:val="Hyperlink"/>
                <w:rFonts w:eastAsia="Times New Roman" w:cs="Arial"/>
                <w:szCs w:val="24"/>
                <w:lang w:eastAsia="en-GB"/>
              </w:rPr>
            </w:pPr>
            <w:bookmarkStart w:id="11" w:name="_Baseline_investigations,_initial"/>
            <w:bookmarkStart w:id="12" w:name="Eight_specialist_monitoring"/>
            <w:bookmarkEnd w:id="11"/>
            <w:r w:rsidRPr="002D255E">
              <w:rPr>
                <w:lang w:eastAsia="en-GB"/>
              </w:rPr>
              <w:lastRenderedPageBreak/>
              <w:t>Baseline investigations, initial monitoring and ongoing monitoring to be undertaken by specialist</w:t>
            </w:r>
            <w:bookmarkEnd w:id="12"/>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p w14:paraId="57CB14F0" w14:textId="1BCC1068" w:rsidR="00E0175B" w:rsidRPr="002D255E" w:rsidRDefault="00E0175B" w:rsidP="00E0175B">
            <w:pPr>
              <w:rPr>
                <w:b/>
                <w:szCs w:val="24"/>
                <w:lang w:eastAsia="en-GB"/>
              </w:rPr>
            </w:pPr>
            <w:r w:rsidRPr="002D255E">
              <w:rPr>
                <w:lang w:eastAsia="en-GB"/>
              </w:rPr>
              <w:t>Monitoring at baseline and during initiation is the responsibility of the specialist; only once the patient is optimised on the chosen medication with no anticipated further changes expected in immediate future will prescribing and monitoring be transferred to primary care.</w:t>
            </w:r>
          </w:p>
        </w:tc>
      </w:tr>
      <w:tr w:rsidR="00E0175B" w:rsidRPr="002D255E" w14:paraId="03C811CF" w14:textId="77777777" w:rsidTr="7234176C">
        <w:trPr>
          <w:jc w:val="center"/>
        </w:trPr>
        <w:tc>
          <w:tcPr>
            <w:tcW w:w="10455" w:type="dxa"/>
            <w:gridSpan w:val="3"/>
            <w:tcBorders>
              <w:top w:val="nil"/>
            </w:tcBorders>
          </w:tcPr>
          <w:p w14:paraId="6368E9E3" w14:textId="77777777" w:rsidR="00E0175B" w:rsidRPr="002D255E" w:rsidRDefault="00E0175B" w:rsidP="00E0175B">
            <w:pPr>
              <w:autoSpaceDE w:val="0"/>
              <w:autoSpaceDN w:val="0"/>
              <w:adjustRightInd w:val="0"/>
              <w:spacing w:after="0" w:line="240" w:lineRule="auto"/>
              <w:rPr>
                <w:rFonts w:cs="Arial"/>
                <w:b/>
              </w:rPr>
            </w:pPr>
            <w:r w:rsidRPr="002D255E">
              <w:rPr>
                <w:rFonts w:cs="Arial"/>
                <w:b/>
              </w:rPr>
              <w:t xml:space="preserve">Baseline investigations: </w:t>
            </w:r>
          </w:p>
          <w:p w14:paraId="4AE183D4" w14:textId="77777777" w:rsidR="00E0175B" w:rsidRPr="002D255E" w:rsidRDefault="00E0175B" w:rsidP="00E0175B">
            <w:pPr>
              <w:numPr>
                <w:ilvl w:val="0"/>
                <w:numId w:val="27"/>
              </w:numPr>
              <w:autoSpaceDE w:val="0"/>
              <w:autoSpaceDN w:val="0"/>
              <w:adjustRightInd w:val="0"/>
              <w:spacing w:after="0" w:line="240" w:lineRule="auto"/>
              <w:contextualSpacing/>
              <w:rPr>
                <w:rFonts w:cs="Arial"/>
              </w:rPr>
            </w:pPr>
            <w:r w:rsidRPr="002D255E">
              <w:rPr>
                <w:rFonts w:cs="Arial"/>
              </w:rPr>
              <w:t xml:space="preserve">Height and weight </w:t>
            </w:r>
          </w:p>
          <w:p w14:paraId="488B381A" w14:textId="77777777" w:rsidR="00E0175B" w:rsidRPr="002D255E" w:rsidRDefault="00E0175B" w:rsidP="00E0175B">
            <w:pPr>
              <w:numPr>
                <w:ilvl w:val="0"/>
                <w:numId w:val="27"/>
              </w:numPr>
              <w:autoSpaceDE w:val="0"/>
              <w:autoSpaceDN w:val="0"/>
              <w:adjustRightInd w:val="0"/>
              <w:spacing w:after="0" w:line="240" w:lineRule="auto"/>
              <w:contextualSpacing/>
              <w:rPr>
                <w:rFonts w:cs="Arial"/>
              </w:rPr>
            </w:pPr>
            <w:r w:rsidRPr="002D255E">
              <w:rPr>
                <w:rFonts w:cs="Arial"/>
              </w:rPr>
              <w:t>Blood pressure</w:t>
            </w:r>
          </w:p>
          <w:p w14:paraId="1FF4205A" w14:textId="77777777" w:rsidR="00E0175B" w:rsidRPr="002D255E" w:rsidRDefault="00E0175B" w:rsidP="00E0175B">
            <w:pPr>
              <w:numPr>
                <w:ilvl w:val="0"/>
                <w:numId w:val="27"/>
              </w:numPr>
              <w:autoSpaceDE w:val="0"/>
              <w:autoSpaceDN w:val="0"/>
              <w:adjustRightInd w:val="0"/>
              <w:spacing w:after="0" w:line="240" w:lineRule="auto"/>
              <w:contextualSpacing/>
              <w:rPr>
                <w:rFonts w:cs="Arial"/>
              </w:rPr>
            </w:pPr>
            <w:r w:rsidRPr="002D255E">
              <w:rPr>
                <w:rFonts w:cs="Arial"/>
              </w:rPr>
              <w:t>Full blood count (FBC)</w:t>
            </w:r>
          </w:p>
          <w:p w14:paraId="7389ED8A" w14:textId="77777777" w:rsidR="00E0175B" w:rsidRPr="002D255E" w:rsidRDefault="00E0175B" w:rsidP="00E0175B">
            <w:pPr>
              <w:numPr>
                <w:ilvl w:val="0"/>
                <w:numId w:val="27"/>
              </w:numPr>
              <w:autoSpaceDE w:val="0"/>
              <w:autoSpaceDN w:val="0"/>
              <w:adjustRightInd w:val="0"/>
              <w:spacing w:after="0" w:line="240" w:lineRule="auto"/>
              <w:contextualSpacing/>
              <w:rPr>
                <w:rFonts w:cs="Arial"/>
              </w:rPr>
            </w:pPr>
            <w:r w:rsidRPr="002D255E">
              <w:rPr>
                <w:rFonts w:cs="Arial"/>
              </w:rPr>
              <w:t>Urea and electrolytes (U&amp;Es) including creatinine and creatinine clearance (CrCl)</w:t>
            </w:r>
          </w:p>
          <w:p w14:paraId="0D6AC6F7" w14:textId="77777777" w:rsidR="00E0175B" w:rsidRPr="002D255E" w:rsidRDefault="00E0175B" w:rsidP="00E0175B">
            <w:pPr>
              <w:numPr>
                <w:ilvl w:val="0"/>
                <w:numId w:val="27"/>
              </w:numPr>
              <w:autoSpaceDE w:val="0"/>
              <w:autoSpaceDN w:val="0"/>
              <w:adjustRightInd w:val="0"/>
              <w:spacing w:after="0" w:line="240" w:lineRule="auto"/>
              <w:contextualSpacing/>
              <w:rPr>
                <w:rFonts w:cs="Arial"/>
              </w:rPr>
            </w:pPr>
            <w:r w:rsidRPr="002D255E">
              <w:rPr>
                <w:rFonts w:cs="Arial"/>
              </w:rPr>
              <w:t>Alanine aminotransferase (ALT) and/or aspartate aminotransferase (AST), and albumin</w:t>
            </w:r>
          </w:p>
          <w:p w14:paraId="545FA0B6" w14:textId="77777777" w:rsidR="00E0175B" w:rsidRPr="002D255E" w:rsidRDefault="00E0175B" w:rsidP="00E0175B">
            <w:pPr>
              <w:numPr>
                <w:ilvl w:val="0"/>
                <w:numId w:val="27"/>
              </w:numPr>
              <w:autoSpaceDE w:val="0"/>
              <w:autoSpaceDN w:val="0"/>
              <w:adjustRightInd w:val="0"/>
              <w:spacing w:before="60" w:after="60" w:line="240" w:lineRule="auto"/>
              <w:contextualSpacing/>
              <w:rPr>
                <w:rFonts w:eastAsia="Times New Roman" w:cs="Arial"/>
                <w:lang w:eastAsia="en-GB"/>
              </w:rPr>
            </w:pPr>
            <w:r w:rsidRPr="002D255E">
              <w:rPr>
                <w:rFonts w:eastAsia="Times New Roman" w:cs="Arial"/>
                <w:lang w:eastAsia="en-GB"/>
              </w:rPr>
              <w:t>Screening for HIV and hepatitis B and C</w:t>
            </w:r>
          </w:p>
          <w:p w14:paraId="73A53BAF" w14:textId="77777777" w:rsidR="00E0175B" w:rsidRPr="002D255E" w:rsidRDefault="00E0175B" w:rsidP="00E0175B">
            <w:pPr>
              <w:numPr>
                <w:ilvl w:val="0"/>
                <w:numId w:val="27"/>
              </w:numPr>
              <w:autoSpaceDE w:val="0"/>
              <w:autoSpaceDN w:val="0"/>
              <w:adjustRightInd w:val="0"/>
              <w:spacing w:after="0" w:line="240" w:lineRule="auto"/>
              <w:contextualSpacing/>
              <w:rPr>
                <w:rFonts w:cs="Arial"/>
                <w:bCs/>
              </w:rPr>
            </w:pPr>
            <w:r w:rsidRPr="002D255E">
              <w:rPr>
                <w:rFonts w:cs="Arial"/>
                <w:bCs/>
              </w:rPr>
              <w:t>Screening for lung disease, including interstitial lung disease and tuberculosis, should be undertaken at clinician discretion on a case by case basis</w:t>
            </w:r>
          </w:p>
          <w:p w14:paraId="24EF930D" w14:textId="77777777" w:rsidR="00E0175B" w:rsidRPr="002D255E" w:rsidRDefault="00E0175B" w:rsidP="00E0175B">
            <w:pPr>
              <w:pStyle w:val="ListParagraph"/>
              <w:numPr>
                <w:ilvl w:val="0"/>
                <w:numId w:val="27"/>
              </w:numPr>
              <w:spacing w:after="0" w:line="240" w:lineRule="auto"/>
              <w:ind w:left="357" w:hanging="357"/>
              <w:contextualSpacing/>
              <w:rPr>
                <w:rFonts w:cs="Arial"/>
                <w:bCs/>
              </w:rPr>
            </w:pPr>
            <w:r w:rsidRPr="002D255E">
              <w:rPr>
                <w:rFonts w:cs="Arial"/>
                <w:bCs/>
              </w:rPr>
              <w:t>Provide or request appropriate vaccination prior to treatment initiation, according to local arrangements (e.g. pneumococcal, shingles, influenza, COVID-19)</w:t>
            </w:r>
          </w:p>
          <w:p w14:paraId="15E9118C" w14:textId="77777777" w:rsidR="00E0175B" w:rsidRPr="002D255E" w:rsidRDefault="00E0175B" w:rsidP="00E0175B">
            <w:pPr>
              <w:pStyle w:val="ListParagraph"/>
              <w:numPr>
                <w:ilvl w:val="0"/>
                <w:numId w:val="27"/>
              </w:numPr>
              <w:spacing w:after="0" w:line="240" w:lineRule="auto"/>
              <w:ind w:left="357" w:hanging="357"/>
              <w:contextualSpacing/>
              <w:rPr>
                <w:rFonts w:cs="Arial"/>
                <w:bCs/>
              </w:rPr>
            </w:pPr>
            <w:r w:rsidRPr="002D255E">
              <w:rPr>
                <w:rFonts w:cs="Arial"/>
                <w:bCs/>
              </w:rPr>
              <w:t>Psoriasis patients: serum procollagen 3 N-terminal peptide (PIIINP)</w:t>
            </w:r>
          </w:p>
          <w:p w14:paraId="2952E7B3" w14:textId="77777777" w:rsidR="00E0175B" w:rsidRPr="002D255E" w:rsidRDefault="00E0175B" w:rsidP="00E0175B">
            <w:pPr>
              <w:framePr w:hSpace="180" w:wrap="around" w:vAnchor="page" w:hAnchor="margin" w:xAlign="center" w:y="1081"/>
              <w:autoSpaceDE w:val="0"/>
              <w:autoSpaceDN w:val="0"/>
              <w:adjustRightInd w:val="0"/>
              <w:spacing w:after="0" w:line="240" w:lineRule="auto"/>
              <w:rPr>
                <w:rFonts w:cs="Arial"/>
                <w:color w:val="000000"/>
              </w:rPr>
            </w:pPr>
          </w:p>
          <w:p w14:paraId="6C8F8E93" w14:textId="77777777" w:rsidR="00E0175B" w:rsidRPr="002D255E" w:rsidRDefault="00E0175B" w:rsidP="00E0175B">
            <w:pPr>
              <w:framePr w:hSpace="180" w:wrap="around" w:vAnchor="page" w:hAnchor="margin" w:xAlign="center" w:y="1081"/>
              <w:autoSpaceDE w:val="0"/>
              <w:autoSpaceDN w:val="0"/>
              <w:adjustRightInd w:val="0"/>
              <w:spacing w:after="0" w:line="240" w:lineRule="auto"/>
              <w:rPr>
                <w:rFonts w:cs="Arial"/>
                <w:b/>
                <w:color w:val="000000"/>
              </w:rPr>
            </w:pPr>
            <w:r w:rsidRPr="002D255E">
              <w:rPr>
                <w:rFonts w:cs="Arial"/>
                <w:b/>
                <w:color w:val="000000"/>
              </w:rPr>
              <w:t xml:space="preserve">Initial monitoring and at dose change: </w:t>
            </w:r>
          </w:p>
          <w:p w14:paraId="5A5D815B" w14:textId="77777777" w:rsidR="00E0175B" w:rsidRPr="002D255E" w:rsidRDefault="00E0175B" w:rsidP="00E0175B">
            <w:pPr>
              <w:autoSpaceDE w:val="0"/>
              <w:autoSpaceDN w:val="0"/>
              <w:adjustRightInd w:val="0"/>
              <w:spacing w:before="60" w:after="60" w:line="240" w:lineRule="auto"/>
              <w:rPr>
                <w:rFonts w:eastAsia="Times New Roman" w:cs="Arial"/>
                <w:lang w:eastAsia="en-GB"/>
              </w:rPr>
            </w:pPr>
            <w:r w:rsidRPr="002D255E">
              <w:rPr>
                <w:rFonts w:eastAsia="Times New Roman" w:cs="Arial"/>
                <w:lang w:eastAsia="en-GB"/>
              </w:rPr>
              <w:t xml:space="preserve">To be repeated every 2 weeks until the dose has been stable for 6 weeks, then monthly for 3 months. After which, the transfer of prescribing to primary care should normally only take place when the patient has received a stable dose for at least 4 weeks and their blood and physical tests results have been satisfactory. </w:t>
            </w:r>
          </w:p>
          <w:p w14:paraId="503865E3" w14:textId="77777777" w:rsidR="00E0175B" w:rsidRPr="002D255E" w:rsidRDefault="00E0175B" w:rsidP="00E0175B">
            <w:pPr>
              <w:numPr>
                <w:ilvl w:val="0"/>
                <w:numId w:val="27"/>
              </w:numPr>
              <w:autoSpaceDE w:val="0"/>
              <w:autoSpaceDN w:val="0"/>
              <w:adjustRightInd w:val="0"/>
              <w:spacing w:before="60" w:after="60" w:line="240" w:lineRule="auto"/>
              <w:contextualSpacing/>
              <w:rPr>
                <w:rFonts w:eastAsia="Times New Roman" w:cs="Arial"/>
                <w:lang w:eastAsia="en-GB"/>
              </w:rPr>
            </w:pPr>
            <w:r w:rsidRPr="002D255E">
              <w:rPr>
                <w:rFonts w:eastAsia="Times New Roman" w:cs="Arial"/>
                <w:lang w:eastAsia="en-GB"/>
              </w:rPr>
              <w:t>FBC</w:t>
            </w:r>
          </w:p>
          <w:p w14:paraId="1EA98989" w14:textId="77777777" w:rsidR="00E0175B" w:rsidRPr="002D255E" w:rsidRDefault="00E0175B" w:rsidP="00E0175B">
            <w:pPr>
              <w:numPr>
                <w:ilvl w:val="0"/>
                <w:numId w:val="27"/>
              </w:numPr>
              <w:autoSpaceDE w:val="0"/>
              <w:autoSpaceDN w:val="0"/>
              <w:adjustRightInd w:val="0"/>
              <w:spacing w:before="60" w:after="60" w:line="240" w:lineRule="auto"/>
              <w:contextualSpacing/>
              <w:rPr>
                <w:rFonts w:eastAsia="Times New Roman" w:cs="Arial"/>
                <w:lang w:eastAsia="en-GB"/>
              </w:rPr>
            </w:pPr>
            <w:r w:rsidRPr="002D255E">
              <w:rPr>
                <w:rFonts w:eastAsia="Times New Roman" w:cs="Arial"/>
                <w:lang w:eastAsia="en-GB"/>
              </w:rPr>
              <w:t>U&amp;Es, including creatinine and CrCl</w:t>
            </w:r>
          </w:p>
          <w:p w14:paraId="690E1EF7" w14:textId="77777777" w:rsidR="00E0175B" w:rsidRPr="002D255E" w:rsidRDefault="00E0175B" w:rsidP="00E0175B">
            <w:pPr>
              <w:numPr>
                <w:ilvl w:val="0"/>
                <w:numId w:val="27"/>
              </w:numPr>
              <w:autoSpaceDE w:val="0"/>
              <w:autoSpaceDN w:val="0"/>
              <w:adjustRightInd w:val="0"/>
              <w:spacing w:before="60" w:after="60" w:line="240" w:lineRule="auto"/>
              <w:contextualSpacing/>
              <w:rPr>
                <w:rFonts w:eastAsia="Times New Roman" w:cs="Arial"/>
                <w:lang w:eastAsia="en-GB"/>
              </w:rPr>
            </w:pPr>
            <w:r w:rsidRPr="002D255E">
              <w:rPr>
                <w:rFonts w:eastAsia="Times New Roman" w:cs="Arial"/>
                <w:lang w:eastAsia="en-GB"/>
              </w:rPr>
              <w:t>ALT and/or AST, and albumin</w:t>
            </w:r>
          </w:p>
          <w:p w14:paraId="5DC6CD89" w14:textId="77777777" w:rsidR="00E0175B" w:rsidRPr="002D255E" w:rsidRDefault="00E0175B" w:rsidP="00E0175B">
            <w:pPr>
              <w:numPr>
                <w:ilvl w:val="0"/>
                <w:numId w:val="27"/>
              </w:numPr>
              <w:autoSpaceDE w:val="0"/>
              <w:autoSpaceDN w:val="0"/>
              <w:adjustRightInd w:val="0"/>
              <w:spacing w:before="60" w:after="60" w:line="240" w:lineRule="auto"/>
              <w:contextualSpacing/>
              <w:rPr>
                <w:rFonts w:eastAsia="Times New Roman" w:cs="Arial"/>
                <w:lang w:eastAsia="en-GB"/>
              </w:rPr>
            </w:pPr>
            <w:r w:rsidRPr="002D255E">
              <w:rPr>
                <w:rFonts w:eastAsia="Times New Roman" w:cs="Arial"/>
                <w:lang w:eastAsia="en-GB"/>
              </w:rPr>
              <w:t>Rheumatology patients: CRP &amp;/or ESR</w:t>
            </w:r>
          </w:p>
          <w:p w14:paraId="2EC7D883" w14:textId="77777777" w:rsidR="00E0175B" w:rsidRPr="002D255E" w:rsidRDefault="00E0175B" w:rsidP="00E0175B">
            <w:pPr>
              <w:numPr>
                <w:ilvl w:val="0"/>
                <w:numId w:val="27"/>
              </w:numPr>
              <w:autoSpaceDE w:val="0"/>
              <w:autoSpaceDN w:val="0"/>
              <w:adjustRightInd w:val="0"/>
              <w:spacing w:before="60" w:after="60" w:line="240" w:lineRule="auto"/>
              <w:contextualSpacing/>
              <w:rPr>
                <w:rFonts w:eastAsia="Times New Roman" w:cs="Arial"/>
                <w:lang w:eastAsia="en-GB"/>
              </w:rPr>
            </w:pPr>
            <w:r w:rsidRPr="002D255E">
              <w:rPr>
                <w:rFonts w:eastAsia="Times New Roman" w:cs="Arial"/>
                <w:lang w:eastAsia="en-GB"/>
              </w:rPr>
              <w:t>Psoriasis patients: serum PIIINP</w:t>
            </w:r>
          </w:p>
          <w:p w14:paraId="43C9E7F7" w14:textId="77777777" w:rsidR="00E0175B" w:rsidRPr="002D255E" w:rsidRDefault="00E0175B" w:rsidP="00E0175B">
            <w:pPr>
              <w:framePr w:hSpace="180" w:wrap="around" w:vAnchor="page" w:hAnchor="margin" w:xAlign="center" w:y="1081"/>
              <w:autoSpaceDE w:val="0"/>
              <w:autoSpaceDN w:val="0"/>
              <w:adjustRightInd w:val="0"/>
              <w:spacing w:after="0" w:line="240" w:lineRule="auto"/>
              <w:rPr>
                <w:rFonts w:cs="Arial"/>
                <w:lang w:eastAsia="en-GB"/>
              </w:rPr>
            </w:pPr>
            <w:r w:rsidRPr="002D255E">
              <w:rPr>
                <w:rFonts w:cs="Arial"/>
                <w:lang w:eastAsia="en-GB"/>
              </w:rPr>
              <w:t>Following a dose change repeat every 2 weeks</w:t>
            </w:r>
            <w:r w:rsidRPr="002D255E">
              <w:rPr>
                <w:rFonts w:cs="Arial"/>
                <w:color w:val="000000"/>
                <w:szCs w:val="24"/>
              </w:rPr>
              <w:t xml:space="preserve"> </w:t>
            </w:r>
            <w:r w:rsidRPr="002D255E">
              <w:rPr>
                <w:rFonts w:cs="Arial"/>
                <w:lang w:eastAsia="en-GB"/>
              </w:rPr>
              <w:t>until the dose has been stable for 6 weeks, then revert to previous schedule.</w:t>
            </w:r>
          </w:p>
          <w:p w14:paraId="33D4C86C" w14:textId="77777777" w:rsidR="00E0175B" w:rsidRPr="002D255E" w:rsidRDefault="00E0175B" w:rsidP="00E0175B">
            <w:pPr>
              <w:autoSpaceDE w:val="0"/>
              <w:autoSpaceDN w:val="0"/>
              <w:adjustRightInd w:val="0"/>
              <w:spacing w:before="60" w:after="60" w:line="240" w:lineRule="auto"/>
              <w:rPr>
                <w:rFonts w:cs="Arial"/>
              </w:rPr>
            </w:pPr>
          </w:p>
          <w:p w14:paraId="05199AF9" w14:textId="77777777" w:rsidR="00E0175B" w:rsidRPr="002D255E" w:rsidRDefault="00E0175B" w:rsidP="00E0175B">
            <w:pPr>
              <w:autoSpaceDE w:val="0"/>
              <w:autoSpaceDN w:val="0"/>
              <w:adjustRightInd w:val="0"/>
              <w:spacing w:before="60" w:after="60" w:line="240" w:lineRule="auto"/>
              <w:rPr>
                <w:rFonts w:cs="Arial"/>
              </w:rPr>
            </w:pPr>
            <w:r w:rsidRPr="002D255E">
              <w:rPr>
                <w:rFonts w:cs="Arial"/>
              </w:rPr>
              <w:t>More frequent monitoring is appropriate in patients at higher risk of toxicity.</w:t>
            </w:r>
          </w:p>
          <w:p w14:paraId="425AFDBA" w14:textId="77777777" w:rsidR="00E0175B" w:rsidRDefault="00E0175B" w:rsidP="00E0175B">
            <w:pPr>
              <w:autoSpaceDE w:val="0"/>
              <w:autoSpaceDN w:val="0"/>
              <w:adjustRightInd w:val="0"/>
              <w:spacing w:before="60" w:after="60" w:line="240" w:lineRule="auto"/>
              <w:rPr>
                <w:rFonts w:cs="Arial"/>
              </w:rPr>
            </w:pPr>
          </w:p>
          <w:p w14:paraId="7894C7F0" w14:textId="77F1417C" w:rsidR="00771869" w:rsidRPr="001A7E0B" w:rsidRDefault="00461A5D" w:rsidP="00E0175B">
            <w:pPr>
              <w:autoSpaceDE w:val="0"/>
              <w:autoSpaceDN w:val="0"/>
              <w:adjustRightInd w:val="0"/>
              <w:spacing w:before="60" w:after="60" w:line="240" w:lineRule="auto"/>
              <w:rPr>
                <w:rFonts w:cs="Arial"/>
                <w:b/>
                <w:bCs/>
              </w:rPr>
            </w:pPr>
            <w:r w:rsidRPr="001A7E0B">
              <w:rPr>
                <w:rFonts w:cs="Arial"/>
                <w:b/>
                <w:bCs/>
              </w:rPr>
              <w:t>On</w:t>
            </w:r>
            <w:r w:rsidR="00771869" w:rsidRPr="001A7E0B">
              <w:rPr>
                <w:rFonts w:cs="Arial"/>
                <w:b/>
                <w:bCs/>
              </w:rPr>
              <w:t>going monitoring:</w:t>
            </w:r>
          </w:p>
          <w:p w14:paraId="3D7BA5CD" w14:textId="0447AA13" w:rsidR="00771869" w:rsidRPr="007E36FE" w:rsidRDefault="00771869" w:rsidP="001A7E0B">
            <w:pPr>
              <w:pStyle w:val="ListParagraph"/>
              <w:numPr>
                <w:ilvl w:val="0"/>
                <w:numId w:val="43"/>
              </w:numPr>
              <w:autoSpaceDE w:val="0"/>
              <w:autoSpaceDN w:val="0"/>
              <w:adjustRightInd w:val="0"/>
              <w:spacing w:before="60" w:after="60" w:line="240" w:lineRule="auto"/>
              <w:rPr>
                <w:rFonts w:cs="Arial"/>
              </w:rPr>
            </w:pPr>
            <w:r w:rsidRPr="001A7E0B">
              <w:rPr>
                <w:rFonts w:eastAsia="Times New Roman" w:cstheme="minorHAnsi"/>
                <w:lang w:eastAsia="en-GB"/>
              </w:rPr>
              <w:t>Psoriasis patients: serum PIIINP</w:t>
            </w:r>
            <w:r w:rsidR="004A6143">
              <w:rPr>
                <w:rFonts w:eastAsia="Times New Roman" w:cstheme="minorHAnsi"/>
                <w:lang w:eastAsia="en-GB"/>
              </w:rPr>
              <w:t xml:space="preserve">: This test is to remain with the specialist. </w:t>
            </w:r>
          </w:p>
          <w:p w14:paraId="216C3A66" w14:textId="77777777" w:rsidR="007E36FE" w:rsidRPr="001A7E0B" w:rsidRDefault="007E36FE" w:rsidP="007E36FE">
            <w:pPr>
              <w:pStyle w:val="ListParagraph"/>
              <w:autoSpaceDE w:val="0"/>
              <w:autoSpaceDN w:val="0"/>
              <w:adjustRightInd w:val="0"/>
              <w:spacing w:before="60" w:after="60" w:line="240" w:lineRule="auto"/>
              <w:ind w:left="360"/>
              <w:rPr>
                <w:rFonts w:cs="Arial"/>
              </w:rPr>
            </w:pPr>
          </w:p>
          <w:p w14:paraId="37C4960C" w14:textId="77777777" w:rsidR="00E0175B" w:rsidRPr="002D255E" w:rsidRDefault="00E0175B" w:rsidP="00E0175B">
            <w:pPr>
              <w:autoSpaceDE w:val="0"/>
              <w:autoSpaceDN w:val="0"/>
              <w:adjustRightInd w:val="0"/>
              <w:spacing w:before="60" w:after="60" w:line="240" w:lineRule="auto"/>
              <w:rPr>
                <w:rFonts w:eastAsia="Times New Roman" w:cs="Arial"/>
                <w:lang w:eastAsia="en-GB"/>
              </w:rPr>
            </w:pPr>
            <w:r w:rsidRPr="002D255E">
              <w:rPr>
                <w:rFonts w:eastAsia="Times New Roman" w:cs="Arial"/>
                <w:lang w:eastAsia="en-GB"/>
              </w:rPr>
              <w:t>At initiation of shared care, communication to primary care should include current and ongoing dose, any relevant test results, and date the next monitoring is required. The specialist will retain the responsibility for monitoring the patient’s ongoing response to treatment, and advise if a dose change or treatment cessation is appropriate. This should usually be undertaken annually.</w:t>
            </w:r>
          </w:p>
          <w:p w14:paraId="01BE7CD8" w14:textId="0BBD1D29" w:rsidR="00E0175B" w:rsidRPr="002D255E" w:rsidRDefault="00E0175B" w:rsidP="00E0175B">
            <w:pPr>
              <w:autoSpaceDE w:val="0"/>
              <w:autoSpaceDN w:val="0"/>
              <w:adjustRightInd w:val="0"/>
              <w:spacing w:before="60" w:after="60" w:line="240" w:lineRule="auto"/>
              <w:contextualSpacing/>
              <w:rPr>
                <w:rFonts w:eastAsia="Times New Roman" w:cs="Arial"/>
                <w:szCs w:val="24"/>
                <w:lang w:eastAsia="en-GB"/>
              </w:rPr>
            </w:pPr>
            <w:r w:rsidRPr="002D255E">
              <w:rPr>
                <w:rFonts w:eastAsia="Times New Roman" w:cs="Arial"/>
                <w:lang w:eastAsia="en-GB"/>
              </w:rPr>
              <w:t xml:space="preserve">When a patient is reviewed, advise primary care whether treatment should be continued, confirm the ongoing dose, and whether the ongoing monitoring outlined in </w:t>
            </w:r>
            <w:hyperlink w:anchor="Nine_primary_care_monitoring" w:history="1">
              <w:r w:rsidRPr="002D255E">
                <w:rPr>
                  <w:rStyle w:val="Hyperlink"/>
                  <w:rFonts w:eastAsia="Times New Roman" w:cs="Arial"/>
                  <w:lang w:eastAsia="en-GB"/>
                </w:rPr>
                <w:t>section 9</w:t>
              </w:r>
            </w:hyperlink>
            <w:r w:rsidRPr="002D255E">
              <w:rPr>
                <w:rFonts w:eastAsia="Times New Roman" w:cs="Arial"/>
                <w:lang w:eastAsia="en-GB"/>
              </w:rPr>
              <w:t xml:space="preserve"> remains appropriate.</w:t>
            </w:r>
          </w:p>
        </w:tc>
      </w:tr>
      <w:tr w:rsidR="00E0175B" w:rsidRPr="002D255E" w14:paraId="6695C431" w14:textId="77777777" w:rsidTr="7234176C">
        <w:trPr>
          <w:jc w:val="center"/>
        </w:trPr>
        <w:tc>
          <w:tcPr>
            <w:tcW w:w="10455" w:type="dxa"/>
            <w:gridSpan w:val="3"/>
            <w:shd w:val="clear" w:color="auto" w:fill="F2F2F2" w:themeFill="background1" w:themeFillShade="F2"/>
          </w:tcPr>
          <w:p w14:paraId="631F17A8" w14:textId="533F0BDD" w:rsidR="00E0175B" w:rsidRPr="002D255E" w:rsidRDefault="00E0175B" w:rsidP="00E0175B">
            <w:pPr>
              <w:pStyle w:val="Heading1"/>
              <w:tabs>
                <w:tab w:val="right" w:pos="10238"/>
              </w:tabs>
              <w:spacing w:after="240"/>
              <w:rPr>
                <w:strike/>
                <w:lang w:eastAsia="en-GB"/>
              </w:rPr>
            </w:pPr>
            <w:bookmarkStart w:id="13" w:name="_Ongoing_monitoring_requirements"/>
            <w:bookmarkStart w:id="14" w:name="Nine_primary_care_monitoring"/>
            <w:bookmarkEnd w:id="13"/>
            <w:r w:rsidRPr="002D255E">
              <w:rPr>
                <w:lang w:eastAsia="en-GB"/>
              </w:rPr>
              <w:lastRenderedPageBreak/>
              <w:t xml:space="preserve">Ongoing monitoring requirements to be undertaken </w:t>
            </w:r>
            <w:r w:rsidRPr="002D255E">
              <w:rPr>
                <w:lang w:eastAsia="en-GB"/>
              </w:rPr>
              <w:br/>
              <w:t>by primary care</w:t>
            </w:r>
            <w:bookmarkEnd w:id="14"/>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p w14:paraId="25F94340" w14:textId="50E56A73" w:rsidR="00E0175B" w:rsidRPr="002D255E" w:rsidRDefault="00E0175B" w:rsidP="00E0175B">
            <w:pPr>
              <w:spacing w:after="0"/>
              <w:rPr>
                <w:b/>
                <w:szCs w:val="24"/>
                <w:lang w:eastAsia="en-GB"/>
              </w:rPr>
            </w:pPr>
            <w:r w:rsidRPr="002D255E">
              <w:rPr>
                <w:lang w:eastAsia="en-GB"/>
              </w:rPr>
              <w:t xml:space="preserve">See </w:t>
            </w:r>
            <w:hyperlink w:anchor="Ten_ADRs_and_Management" w:history="1">
              <w:r w:rsidRPr="002D255E">
                <w:rPr>
                  <w:rStyle w:val="Hyperlink"/>
                  <w:rFonts w:eastAsia="Times New Roman" w:cs="Arial"/>
                  <w:iCs/>
                  <w:lang w:eastAsia="en-GB"/>
                </w:rPr>
                <w:t>section 10</w:t>
              </w:r>
            </w:hyperlink>
            <w:r w:rsidRPr="002D255E">
              <w:rPr>
                <w:lang w:eastAsia="en-GB"/>
              </w:rPr>
              <w:t xml:space="preserve"> for further guidance on management of adverse effects/responding to monitoring results.</w:t>
            </w:r>
          </w:p>
        </w:tc>
      </w:tr>
      <w:tr w:rsidR="00E0175B" w:rsidRPr="002D255E" w14:paraId="636A3198" w14:textId="77777777" w:rsidTr="7234176C">
        <w:trPr>
          <w:trHeight w:val="140"/>
          <w:jc w:val="center"/>
        </w:trPr>
        <w:tc>
          <w:tcPr>
            <w:tcW w:w="5227" w:type="dxa"/>
            <w:gridSpan w:val="2"/>
            <w:shd w:val="clear" w:color="auto" w:fill="F2F2F2" w:themeFill="background1" w:themeFillShade="F2"/>
          </w:tcPr>
          <w:p w14:paraId="4512E5AE" w14:textId="07A0FCFB" w:rsidR="00E0175B" w:rsidRPr="002D255E" w:rsidRDefault="00E0175B" w:rsidP="00E0175B">
            <w:pPr>
              <w:keepNext/>
              <w:spacing w:before="60" w:after="60" w:line="240" w:lineRule="auto"/>
              <w:jc w:val="center"/>
              <w:rPr>
                <w:rFonts w:eastAsia="Times New Roman" w:cs="Arial"/>
                <w:b/>
                <w:szCs w:val="24"/>
                <w:lang w:eastAsia="en-GB"/>
              </w:rPr>
            </w:pPr>
            <w:r w:rsidRPr="002D255E">
              <w:rPr>
                <w:rFonts w:eastAsia="Times New Roman" w:cstheme="minorHAnsi"/>
                <w:b/>
                <w:szCs w:val="24"/>
                <w:lang w:eastAsia="en-GB"/>
              </w:rPr>
              <w:t>Monitoring</w:t>
            </w:r>
          </w:p>
        </w:tc>
        <w:tc>
          <w:tcPr>
            <w:tcW w:w="5228" w:type="dxa"/>
            <w:shd w:val="clear" w:color="auto" w:fill="F2F2F2" w:themeFill="background1" w:themeFillShade="F2"/>
          </w:tcPr>
          <w:p w14:paraId="5B122D8C" w14:textId="4615D877" w:rsidR="00E0175B" w:rsidRPr="002D255E" w:rsidRDefault="00E0175B" w:rsidP="00E0175B">
            <w:pPr>
              <w:spacing w:before="60" w:after="60" w:line="240" w:lineRule="auto"/>
              <w:jc w:val="center"/>
              <w:rPr>
                <w:rFonts w:eastAsia="Times New Roman" w:cs="Arial"/>
                <w:b/>
                <w:szCs w:val="24"/>
                <w:lang w:eastAsia="en-GB"/>
              </w:rPr>
            </w:pPr>
            <w:r w:rsidRPr="002D255E">
              <w:rPr>
                <w:rFonts w:eastAsia="Times New Roman" w:cstheme="minorHAnsi"/>
                <w:b/>
                <w:szCs w:val="24"/>
                <w:lang w:eastAsia="en-GB"/>
              </w:rPr>
              <w:t>Frequency</w:t>
            </w:r>
          </w:p>
        </w:tc>
      </w:tr>
      <w:tr w:rsidR="00E0175B" w:rsidRPr="002D255E" w14:paraId="6767A09B" w14:textId="77777777" w:rsidTr="7234176C">
        <w:trPr>
          <w:trHeight w:val="140"/>
          <w:jc w:val="center"/>
        </w:trPr>
        <w:tc>
          <w:tcPr>
            <w:tcW w:w="5227" w:type="dxa"/>
            <w:gridSpan w:val="2"/>
          </w:tcPr>
          <w:p w14:paraId="004FDD22" w14:textId="77777777" w:rsidR="00E0175B" w:rsidRPr="002D255E" w:rsidRDefault="00E0175B" w:rsidP="00E0175B">
            <w:pPr>
              <w:pStyle w:val="ListParagraph"/>
              <w:numPr>
                <w:ilvl w:val="0"/>
                <w:numId w:val="29"/>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FBC </w:t>
            </w:r>
          </w:p>
          <w:p w14:paraId="12E30CE3" w14:textId="77777777" w:rsidR="00E0175B" w:rsidRPr="002D255E" w:rsidRDefault="00E0175B" w:rsidP="00E0175B">
            <w:pPr>
              <w:pStyle w:val="ListParagraph"/>
              <w:numPr>
                <w:ilvl w:val="0"/>
                <w:numId w:val="29"/>
              </w:numPr>
              <w:autoSpaceDE w:val="0"/>
              <w:autoSpaceDN w:val="0"/>
              <w:adjustRightInd w:val="0"/>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U&amp;Es including creatinine and CrCl</w:t>
            </w:r>
          </w:p>
          <w:p w14:paraId="2B722866" w14:textId="77777777" w:rsidR="00E0175B" w:rsidRPr="002D255E" w:rsidRDefault="00E0175B" w:rsidP="00E0175B">
            <w:pPr>
              <w:pStyle w:val="ListParagraph"/>
              <w:numPr>
                <w:ilvl w:val="0"/>
                <w:numId w:val="29"/>
              </w:numPr>
              <w:autoSpaceDE w:val="0"/>
              <w:autoSpaceDN w:val="0"/>
              <w:adjustRightInd w:val="0"/>
              <w:spacing w:before="60" w:after="60" w:line="240" w:lineRule="auto"/>
              <w:contextualSpacing/>
              <w:rPr>
                <w:rFonts w:eastAsia="Times New Roman" w:cstheme="minorHAnsi"/>
                <w:b/>
                <w:lang w:eastAsia="en-GB"/>
              </w:rPr>
            </w:pPr>
            <w:r w:rsidRPr="002D255E">
              <w:rPr>
                <w:rFonts w:eastAsia="Times New Roman" w:cstheme="minorHAnsi"/>
                <w:color w:val="000000"/>
                <w:lang w:eastAsia="en-GB"/>
              </w:rPr>
              <w:t>ALT and/or AST and albumin</w:t>
            </w:r>
          </w:p>
          <w:p w14:paraId="5584A148" w14:textId="1D533DDA" w:rsidR="00E0175B" w:rsidRPr="002D255E" w:rsidRDefault="00E0175B" w:rsidP="00E0175B">
            <w:pPr>
              <w:pStyle w:val="ListParagraph"/>
              <w:numPr>
                <w:ilvl w:val="0"/>
                <w:numId w:val="29"/>
              </w:numPr>
              <w:autoSpaceDE w:val="0"/>
              <w:autoSpaceDN w:val="0"/>
              <w:adjustRightInd w:val="0"/>
              <w:spacing w:before="60" w:after="60" w:line="240" w:lineRule="auto"/>
              <w:contextualSpacing/>
              <w:rPr>
                <w:rFonts w:eastAsia="Times New Roman" w:cstheme="minorHAnsi"/>
                <w:lang w:eastAsia="en-GB"/>
              </w:rPr>
            </w:pPr>
            <w:r w:rsidRPr="002D255E">
              <w:rPr>
                <w:rFonts w:eastAsia="Times New Roman" w:cstheme="minorHAnsi"/>
                <w:lang w:eastAsia="en-GB"/>
              </w:rPr>
              <w:t xml:space="preserve">Rheumatology patients: CRP &amp;/or ESR; specialist to confirm </w:t>
            </w:r>
          </w:p>
          <w:p w14:paraId="37E7F176" w14:textId="7371CF04" w:rsidR="00E0175B" w:rsidRPr="002D255E" w:rsidRDefault="00E0175B" w:rsidP="00E0175B">
            <w:pPr>
              <w:pStyle w:val="ListParagraph"/>
              <w:numPr>
                <w:ilvl w:val="0"/>
                <w:numId w:val="29"/>
              </w:numPr>
              <w:autoSpaceDE w:val="0"/>
              <w:autoSpaceDN w:val="0"/>
              <w:adjustRightInd w:val="0"/>
              <w:spacing w:before="60" w:after="60" w:line="240" w:lineRule="auto"/>
              <w:contextualSpacing/>
              <w:rPr>
                <w:rFonts w:eastAsia="Times New Roman" w:cstheme="minorHAnsi"/>
                <w:lang w:eastAsia="en-GB"/>
              </w:rPr>
            </w:pPr>
            <w:r w:rsidRPr="002D255E">
              <w:rPr>
                <w:rFonts w:eastAsia="Times New Roman" w:cstheme="minorHAnsi"/>
                <w:lang w:eastAsia="en-GB"/>
              </w:rPr>
              <w:t>Psoriasis patients: serum PIIINP</w:t>
            </w:r>
            <w:r w:rsidR="00481CE2">
              <w:rPr>
                <w:rFonts w:eastAsia="Times New Roman" w:cstheme="minorHAnsi"/>
                <w:lang w:eastAsia="en-GB"/>
              </w:rPr>
              <w:t xml:space="preserve"> –</w:t>
            </w:r>
            <w:r w:rsidR="00761CC5" w:rsidRPr="00761CC5">
              <w:rPr>
                <w:rFonts w:eastAsia="Times New Roman" w:cstheme="minorHAnsi"/>
                <w:b/>
                <w:bCs/>
                <w:lang w:eastAsia="en-GB"/>
              </w:rPr>
              <w:t>this test remains with the specialist.</w:t>
            </w:r>
            <w:r w:rsidR="00CC5E40">
              <w:rPr>
                <w:rFonts w:eastAsia="Times New Roman" w:cstheme="minorHAnsi"/>
                <w:b/>
                <w:bCs/>
                <w:lang w:eastAsia="en-GB"/>
              </w:rPr>
              <w:t xml:space="preserve"> See section 8. </w:t>
            </w:r>
            <w:r w:rsidR="00761CC5">
              <w:rPr>
                <w:rFonts w:eastAsia="Times New Roman" w:cstheme="minorHAnsi"/>
                <w:lang w:eastAsia="en-GB"/>
              </w:rPr>
              <w:t xml:space="preserve"> </w:t>
            </w:r>
          </w:p>
        </w:tc>
        <w:tc>
          <w:tcPr>
            <w:tcW w:w="5228" w:type="dxa"/>
          </w:tcPr>
          <w:p w14:paraId="49C0D784" w14:textId="77777777" w:rsidR="00E0175B" w:rsidRPr="002D255E" w:rsidRDefault="00E0175B" w:rsidP="00E0175B">
            <w:pPr>
              <w:spacing w:before="60" w:after="60" w:line="240" w:lineRule="auto"/>
              <w:rPr>
                <w:rFonts w:eastAsia="Times New Roman" w:cstheme="minorHAnsi"/>
                <w:iCs/>
                <w:color w:val="000000"/>
                <w:lang w:eastAsia="en-GB"/>
              </w:rPr>
            </w:pPr>
            <w:r w:rsidRPr="002D255E">
              <w:rPr>
                <w:rFonts w:eastAsia="Times New Roman" w:cstheme="minorHAnsi"/>
                <w:iCs/>
                <w:color w:val="000000"/>
                <w:lang w:eastAsia="en-GB"/>
              </w:rPr>
              <w:t>At least every 12 weeks, and more frequently in patients at higher risk of toxicity, as advised by the specialist team.</w:t>
            </w:r>
          </w:p>
          <w:p w14:paraId="5CBD5B62" w14:textId="0618C2A4" w:rsidR="00E0175B" w:rsidRPr="002D255E" w:rsidRDefault="00E0175B" w:rsidP="00E0175B">
            <w:pPr>
              <w:spacing w:after="0"/>
              <w:rPr>
                <w:rFonts w:cs="Arial"/>
                <w:b/>
                <w:szCs w:val="24"/>
                <w:lang w:eastAsia="en-GB"/>
              </w:rPr>
            </w:pPr>
            <w:r w:rsidRPr="002D255E">
              <w:rPr>
                <w:rFonts w:eastAsia="Times New Roman" w:cstheme="minorHAnsi"/>
                <w:b/>
                <w:iCs/>
                <w:color w:val="000000"/>
                <w:lang w:eastAsia="en-GB"/>
              </w:rPr>
              <w:t>The exact frequency of monitoring to be communicated by the specialist in all cases</w:t>
            </w:r>
            <w:r w:rsidRPr="002D255E">
              <w:rPr>
                <w:rFonts w:eastAsia="Times New Roman" w:cstheme="minorHAnsi"/>
                <w:iCs/>
                <w:color w:val="000000"/>
                <w:lang w:eastAsia="en-GB"/>
              </w:rPr>
              <w:t>.</w:t>
            </w:r>
          </w:p>
        </w:tc>
      </w:tr>
      <w:tr w:rsidR="00E0175B" w:rsidRPr="002D255E" w14:paraId="0F38AB0A" w14:textId="77777777" w:rsidTr="7234176C">
        <w:trPr>
          <w:trHeight w:val="140"/>
          <w:jc w:val="center"/>
        </w:trPr>
        <w:tc>
          <w:tcPr>
            <w:tcW w:w="5227" w:type="dxa"/>
            <w:gridSpan w:val="2"/>
          </w:tcPr>
          <w:p w14:paraId="40A35A79" w14:textId="77777777" w:rsidR="00E0175B" w:rsidRPr="002D255E" w:rsidRDefault="00E0175B" w:rsidP="00E0175B">
            <w:pPr>
              <w:pStyle w:val="ListParagraph"/>
              <w:numPr>
                <w:ilvl w:val="0"/>
                <w:numId w:val="19"/>
              </w:numPr>
              <w:spacing w:after="0"/>
              <w:ind w:left="360"/>
              <w:rPr>
                <w:rFonts w:eastAsia="Times New Roman" w:cs="Arial"/>
                <w:bCs/>
                <w:iCs/>
                <w:color w:val="000000"/>
                <w:lang w:eastAsia="en-GB"/>
              </w:rPr>
            </w:pPr>
            <w:r w:rsidRPr="002D255E">
              <w:rPr>
                <w:rFonts w:eastAsia="Times New Roman" w:cs="Arial"/>
                <w:bCs/>
                <w:iCs/>
                <w:color w:val="000000"/>
                <w:lang w:eastAsia="en-GB"/>
              </w:rPr>
              <w:t xml:space="preserve">Patients aged 70-79 years old could be eligible for the shingles vaccine (herpes zoster). For patients on immunosuppressive therapy, a non-live vaccine may be indicated and specialist input may be required.  Refer to </w:t>
            </w:r>
            <w:hyperlink r:id="rId34" w:history="1">
              <w:r w:rsidRPr="002D255E">
                <w:rPr>
                  <w:rStyle w:val="Hyperlink"/>
                  <w:rFonts w:eastAsia="Times New Roman" w:cs="Arial"/>
                  <w:bCs/>
                  <w:iCs/>
                  <w:lang w:eastAsia="en-GB"/>
                </w:rPr>
                <w:t>Green Book Chapter 6 (Contraindications and special considerations)</w:t>
              </w:r>
            </w:hyperlink>
            <w:r w:rsidRPr="002D255E">
              <w:rPr>
                <w:rFonts w:eastAsia="Times New Roman" w:cs="Arial"/>
                <w:bCs/>
                <w:iCs/>
                <w:color w:val="000000"/>
                <w:u w:val="single"/>
                <w:lang w:eastAsia="en-GB"/>
              </w:rPr>
              <w:t xml:space="preserve"> and </w:t>
            </w:r>
            <w:hyperlink r:id="rId35" w:history="1">
              <w:r w:rsidRPr="002D255E">
                <w:rPr>
                  <w:rStyle w:val="Hyperlink"/>
                  <w:rFonts w:eastAsia="Times New Roman" w:cs="Arial"/>
                  <w:bCs/>
                  <w:iCs/>
                  <w:lang w:eastAsia="en-GB"/>
                </w:rPr>
                <w:t>Green Book Chapter 28a (Shingles)</w:t>
              </w:r>
            </w:hyperlink>
            <w:r w:rsidRPr="002D255E">
              <w:rPr>
                <w:rFonts w:eastAsia="Times New Roman" w:cs="Arial"/>
                <w:bCs/>
                <w:iCs/>
                <w:color w:val="000000"/>
                <w:lang w:eastAsia="en-GB"/>
              </w:rPr>
              <w:t xml:space="preserve"> for further details.</w:t>
            </w:r>
          </w:p>
          <w:p w14:paraId="55D2B297" w14:textId="77777777" w:rsidR="00E0175B" w:rsidRPr="002D255E" w:rsidRDefault="00E0175B" w:rsidP="00E0175B">
            <w:pPr>
              <w:pStyle w:val="ListParagraph"/>
              <w:numPr>
                <w:ilvl w:val="0"/>
                <w:numId w:val="19"/>
              </w:numPr>
              <w:spacing w:after="0"/>
              <w:ind w:left="360"/>
              <w:rPr>
                <w:rFonts w:eastAsia="Times New Roman" w:cs="Arial"/>
                <w:bCs/>
                <w:iCs/>
                <w:color w:val="000000"/>
                <w:lang w:eastAsia="en-GB"/>
              </w:rPr>
            </w:pPr>
            <w:r w:rsidRPr="002D255E">
              <w:rPr>
                <w:rFonts w:eastAsia="Times New Roman" w:cs="Arial"/>
                <w:b/>
                <w:bCs/>
                <w:iCs/>
                <w:color w:val="000000"/>
                <w:lang w:eastAsia="en-GB"/>
              </w:rPr>
              <w:t xml:space="preserve">Annual </w:t>
            </w:r>
            <w:r w:rsidRPr="002D255E">
              <w:rPr>
                <w:rFonts w:eastAsia="Times New Roman" w:cs="Arial"/>
                <w:bCs/>
                <w:iCs/>
                <w:color w:val="000000"/>
                <w:lang w:eastAsia="en-GB"/>
              </w:rPr>
              <w:t>influenza (</w:t>
            </w:r>
            <w:hyperlink r:id="rId36" w:history="1">
              <w:r w:rsidRPr="002D255E">
                <w:rPr>
                  <w:rStyle w:val="Hyperlink"/>
                  <w:rFonts w:eastAsia="Times New Roman" w:cs="Arial"/>
                  <w:bCs/>
                  <w:iCs/>
                  <w:lang w:eastAsia="en-GB"/>
                </w:rPr>
                <w:t>The Green Book, Chapter 19</w:t>
              </w:r>
            </w:hyperlink>
            <w:r w:rsidRPr="002D255E">
              <w:rPr>
                <w:rFonts w:eastAsia="Times New Roman" w:cs="Arial"/>
                <w:bCs/>
                <w:iCs/>
                <w:color w:val="000000"/>
                <w:lang w:eastAsia="en-GB"/>
              </w:rPr>
              <w:t>) vaccinations are recommended.</w:t>
            </w:r>
          </w:p>
          <w:p w14:paraId="0F1A3482" w14:textId="77777777" w:rsidR="00E0175B" w:rsidRPr="002D255E" w:rsidRDefault="00E0175B" w:rsidP="00E0175B">
            <w:pPr>
              <w:pStyle w:val="ListParagraph"/>
              <w:numPr>
                <w:ilvl w:val="0"/>
                <w:numId w:val="19"/>
              </w:numPr>
              <w:spacing w:after="0"/>
              <w:ind w:left="360"/>
              <w:rPr>
                <w:rFonts w:eastAsia="Times New Roman" w:cs="Arial"/>
                <w:bCs/>
                <w:iCs/>
                <w:color w:val="000000"/>
                <w:lang w:eastAsia="en-GB"/>
              </w:rPr>
            </w:pPr>
            <w:r w:rsidRPr="002D255E">
              <w:rPr>
                <w:rFonts w:eastAsia="Times New Roman" w:cs="Arial"/>
                <w:bCs/>
                <w:iCs/>
                <w:color w:val="000000"/>
                <w:lang w:eastAsia="en-GB"/>
              </w:rPr>
              <w:t>COVID-19 vaccination (</w:t>
            </w:r>
            <w:hyperlink r:id="rId37" w:history="1">
              <w:r w:rsidRPr="002D255E">
                <w:rPr>
                  <w:rStyle w:val="Hyperlink"/>
                  <w:rFonts w:eastAsia="Times New Roman" w:cs="Arial"/>
                  <w:bCs/>
                  <w:iCs/>
                  <w:lang w:eastAsia="en-GB"/>
                </w:rPr>
                <w:t>The Green Book, Chapter 14a</w:t>
              </w:r>
            </w:hyperlink>
            <w:r w:rsidRPr="002D255E">
              <w:rPr>
                <w:rFonts w:eastAsia="Times New Roman" w:cs="Arial"/>
                <w:bCs/>
                <w:iCs/>
                <w:color w:val="000000"/>
                <w:lang w:eastAsia="en-GB"/>
              </w:rPr>
              <w:t xml:space="preserve">) is safe and recommended. </w:t>
            </w:r>
          </w:p>
          <w:p w14:paraId="072D2682" w14:textId="7B5D170B" w:rsidR="00E0175B" w:rsidRPr="002D255E" w:rsidRDefault="00E0175B" w:rsidP="00E0175B">
            <w:pPr>
              <w:pStyle w:val="ListParagraph"/>
              <w:numPr>
                <w:ilvl w:val="0"/>
                <w:numId w:val="19"/>
              </w:numPr>
              <w:autoSpaceDE w:val="0"/>
              <w:autoSpaceDN w:val="0"/>
              <w:adjustRightInd w:val="0"/>
              <w:spacing w:after="0"/>
              <w:ind w:left="360"/>
              <w:contextualSpacing/>
              <w:rPr>
                <w:rFonts w:eastAsia="Times New Roman" w:cs="Arial"/>
                <w:bCs/>
                <w:iCs/>
                <w:color w:val="000000"/>
                <w:lang w:eastAsia="en-GB"/>
              </w:rPr>
            </w:pPr>
            <w:r w:rsidRPr="002D255E">
              <w:rPr>
                <w:rFonts w:eastAsia="Times New Roman" w:cs="Arial"/>
                <w:bCs/>
                <w:iCs/>
                <w:color w:val="000000"/>
                <w:lang w:eastAsia="en-GB"/>
              </w:rPr>
              <w:t xml:space="preserve">Repeat pneumococcal vaccine may be indicated. See </w:t>
            </w:r>
            <w:hyperlink r:id="rId38" w:history="1">
              <w:r w:rsidRPr="002D255E">
                <w:rPr>
                  <w:rStyle w:val="Hyperlink"/>
                  <w:rFonts w:eastAsia="Times New Roman" w:cs="Arial"/>
                  <w:bCs/>
                  <w:iCs/>
                  <w:lang w:eastAsia="en-GB"/>
                </w:rPr>
                <w:t>Green Book Chapter 25</w:t>
              </w:r>
            </w:hyperlink>
            <w:r w:rsidRPr="002D255E">
              <w:rPr>
                <w:rFonts w:eastAsia="Times New Roman" w:cs="Arial"/>
                <w:bCs/>
                <w:iCs/>
                <w:color w:val="000000"/>
                <w:lang w:eastAsia="en-GB"/>
              </w:rPr>
              <w:t xml:space="preserve"> for advice.</w:t>
            </w:r>
          </w:p>
        </w:tc>
        <w:tc>
          <w:tcPr>
            <w:tcW w:w="5228" w:type="dxa"/>
          </w:tcPr>
          <w:p w14:paraId="6C5FF1E4" w14:textId="77777777" w:rsidR="00E0175B" w:rsidRPr="002D255E" w:rsidRDefault="00E0175B" w:rsidP="00E0175B">
            <w:pPr>
              <w:pStyle w:val="ListParagraph"/>
              <w:numPr>
                <w:ilvl w:val="0"/>
                <w:numId w:val="19"/>
              </w:numPr>
              <w:spacing w:before="60" w:after="60" w:line="240" w:lineRule="auto"/>
              <w:contextualSpacing/>
              <w:rPr>
                <w:rFonts w:cstheme="minorHAnsi"/>
                <w:color w:val="000000"/>
                <w:lang w:eastAsia="en-GB"/>
              </w:rPr>
            </w:pPr>
            <w:r w:rsidRPr="002D255E">
              <w:rPr>
                <w:rFonts w:cstheme="minorHAnsi"/>
                <w:color w:val="000000"/>
                <w:lang w:eastAsia="en-GB"/>
              </w:rPr>
              <w:t>Shingles vaccination: one-off.</w:t>
            </w:r>
          </w:p>
          <w:p w14:paraId="37CFA2D4" w14:textId="4B70D8C4" w:rsidR="00E0175B" w:rsidRPr="002D255E" w:rsidRDefault="00E0175B" w:rsidP="00E0175B">
            <w:pPr>
              <w:pStyle w:val="ListParagraph"/>
              <w:numPr>
                <w:ilvl w:val="0"/>
                <w:numId w:val="19"/>
              </w:numPr>
              <w:spacing w:before="60" w:after="60" w:line="240" w:lineRule="auto"/>
              <w:contextualSpacing/>
              <w:rPr>
                <w:rFonts w:cstheme="minorHAnsi"/>
                <w:color w:val="000000"/>
                <w:lang w:eastAsia="en-GB"/>
              </w:rPr>
            </w:pPr>
            <w:r w:rsidRPr="002D255E">
              <w:rPr>
                <w:rFonts w:cstheme="minorHAnsi"/>
                <w:color w:val="000000"/>
                <w:lang w:eastAsia="en-GB"/>
              </w:rPr>
              <w:t>Influenza vaccination: annual. It is advisable to add the patient to the influenza vaccine list.</w:t>
            </w:r>
          </w:p>
          <w:p w14:paraId="6A2B03AB" w14:textId="33A6612E" w:rsidR="00E0175B" w:rsidRPr="002D255E" w:rsidRDefault="00E0175B" w:rsidP="00E0175B">
            <w:pPr>
              <w:pStyle w:val="ListParagraph"/>
              <w:numPr>
                <w:ilvl w:val="0"/>
                <w:numId w:val="19"/>
              </w:numPr>
              <w:spacing w:before="60" w:after="60" w:line="240" w:lineRule="auto"/>
              <w:contextualSpacing/>
              <w:rPr>
                <w:rFonts w:cstheme="minorHAnsi"/>
                <w:color w:val="000000"/>
                <w:lang w:eastAsia="en-GB"/>
              </w:rPr>
            </w:pPr>
            <w:r w:rsidRPr="002D255E">
              <w:rPr>
                <w:rFonts w:cstheme="minorHAnsi"/>
                <w:color w:val="000000"/>
                <w:lang w:eastAsia="en-GB"/>
              </w:rPr>
              <w:t>Other vaccinations as per national schedule.</w:t>
            </w:r>
          </w:p>
        </w:tc>
      </w:tr>
      <w:tr w:rsidR="00E0175B" w:rsidRPr="002D255E" w14:paraId="2C0454E3" w14:textId="77777777" w:rsidTr="7234176C">
        <w:trPr>
          <w:trHeight w:val="140"/>
          <w:jc w:val="center"/>
        </w:trPr>
        <w:tc>
          <w:tcPr>
            <w:tcW w:w="10455" w:type="dxa"/>
            <w:gridSpan w:val="3"/>
          </w:tcPr>
          <w:p w14:paraId="08011160" w14:textId="1CEBF424" w:rsidR="00E0175B" w:rsidRPr="002D255E" w:rsidRDefault="00E0175B" w:rsidP="00E0175B">
            <w:pPr>
              <w:spacing w:after="0"/>
              <w:rPr>
                <w:rFonts w:cs="Arial"/>
                <w:b/>
                <w:bCs/>
                <w:lang w:eastAsia="en-GB"/>
              </w:rPr>
            </w:pPr>
            <w:r w:rsidRPr="002D255E">
              <w:rPr>
                <w:rFonts w:cs="Arial"/>
                <w:b/>
                <w:bCs/>
                <w:lang w:eastAsia="en-GB"/>
              </w:rPr>
              <w:t>(If relevant) If monitoring results are forwarded to the specialist team, please include clear clinical information on the reason for sending, to inform action to be taken by secondary care.</w:t>
            </w:r>
          </w:p>
        </w:tc>
      </w:tr>
      <w:tr w:rsidR="00E0175B" w:rsidRPr="002D255E" w14:paraId="042BD065" w14:textId="77777777" w:rsidTr="7234176C">
        <w:trPr>
          <w:jc w:val="center"/>
        </w:trPr>
        <w:tc>
          <w:tcPr>
            <w:tcW w:w="10455" w:type="dxa"/>
            <w:gridSpan w:val="3"/>
            <w:shd w:val="clear" w:color="auto" w:fill="F2F2F2" w:themeFill="background1" w:themeFillShade="F2"/>
          </w:tcPr>
          <w:p w14:paraId="32599F9D" w14:textId="4BCAEC5E" w:rsidR="00E0175B" w:rsidRPr="002D255E" w:rsidRDefault="00E0175B" w:rsidP="00E0175B">
            <w:pPr>
              <w:pStyle w:val="Heading1"/>
              <w:tabs>
                <w:tab w:val="right" w:pos="10238"/>
              </w:tabs>
              <w:ind w:left="599" w:hanging="599"/>
              <w:rPr>
                <w:lang w:eastAsia="en-GB"/>
              </w:rPr>
            </w:pPr>
            <w:bookmarkStart w:id="15" w:name="Ten_ADRs_and_Management"/>
            <w:r w:rsidRPr="002D255E">
              <w:rPr>
                <w:lang w:eastAsia="en-GB"/>
              </w:rPr>
              <w:t>Adverse effects and other management</w:t>
            </w:r>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bookmarkEnd w:id="15"/>
          <w:p w14:paraId="334D0561" w14:textId="77777777" w:rsidR="00E0175B" w:rsidRPr="002D255E" w:rsidRDefault="00E0175B" w:rsidP="00E0175B">
            <w:pPr>
              <w:rPr>
                <w:rStyle w:val="Hyperlink"/>
                <w:rFonts w:eastAsia="Calibri" w:cs="Arial"/>
                <w:noProof/>
                <w:sz w:val="22"/>
                <w:lang w:eastAsia="en-GB"/>
              </w:rPr>
            </w:pPr>
            <w:r w:rsidRPr="002D255E">
              <w:rPr>
                <w:b/>
                <w:bCs/>
              </w:rPr>
              <w:t xml:space="preserve">Any serious adverse reactions should be reported to the MHRA via the Yellow Card scheme. Visit </w:t>
            </w:r>
            <w:hyperlink r:id="rId39" w:tooltip="http://www.mhra.gov.uk/yellowcard" w:history="1">
              <w:r w:rsidRPr="002D255E">
                <w:rPr>
                  <w:rStyle w:val="Hyperlink"/>
                  <w:rFonts w:eastAsia="Calibri" w:cs="Arial"/>
                  <w:noProof/>
                  <w:sz w:val="22"/>
                  <w:lang w:eastAsia="en-GB"/>
                </w:rPr>
                <w:t>www.mhra.gov.uk/yellowcard</w:t>
              </w:r>
            </w:hyperlink>
          </w:p>
          <w:p w14:paraId="6CDD62FF" w14:textId="2CD42EAF" w:rsidR="00E0175B" w:rsidRPr="002D255E" w:rsidRDefault="00E0175B" w:rsidP="00E0175B">
            <w:pPr>
              <w:rPr>
                <w:noProof/>
                <w:sz w:val="20"/>
                <w:szCs w:val="20"/>
                <w:lang w:eastAsia="en-GB"/>
              </w:rPr>
            </w:pPr>
            <w:r w:rsidRPr="002D255E">
              <w:rPr>
                <w:rStyle w:val="Hyperlink"/>
                <w:rFonts w:eastAsia="Calibri" w:cs="Arial"/>
                <w:noProof/>
                <w:color w:val="000000"/>
                <w:sz w:val="22"/>
                <w:u w:val="none"/>
                <w:lang w:eastAsia="en-GB"/>
              </w:rPr>
              <w:t>For information on incidence of ADRs see relevant summaries of product characteristics</w:t>
            </w:r>
          </w:p>
        </w:tc>
      </w:tr>
      <w:tr w:rsidR="00E0175B" w:rsidRPr="002D255E" w14:paraId="3C261EF2" w14:textId="77777777" w:rsidTr="7234176C">
        <w:trPr>
          <w:jc w:val="center"/>
        </w:trPr>
        <w:tc>
          <w:tcPr>
            <w:tcW w:w="5227" w:type="dxa"/>
            <w:gridSpan w:val="2"/>
            <w:shd w:val="clear" w:color="auto" w:fill="F2F2F2" w:themeFill="background1" w:themeFillShade="F2"/>
          </w:tcPr>
          <w:p w14:paraId="516C3772" w14:textId="24C8DC24" w:rsidR="00E0175B" w:rsidRPr="002D255E" w:rsidRDefault="00E0175B" w:rsidP="00E0175B">
            <w:pPr>
              <w:spacing w:after="0"/>
              <w:jc w:val="center"/>
              <w:rPr>
                <w:rFonts w:eastAsia="Times New Roman" w:cs="Arial"/>
                <w:b/>
                <w:lang w:eastAsia="en-GB"/>
              </w:rPr>
            </w:pPr>
            <w:r w:rsidRPr="002D255E">
              <w:rPr>
                <w:rFonts w:eastAsia="Times New Roman" w:cs="Arial"/>
                <w:b/>
                <w:lang w:eastAsia="en-GB"/>
              </w:rPr>
              <w:t>Result</w:t>
            </w:r>
          </w:p>
        </w:tc>
        <w:tc>
          <w:tcPr>
            <w:tcW w:w="5228" w:type="dxa"/>
            <w:shd w:val="clear" w:color="auto" w:fill="F2F2F2" w:themeFill="background1" w:themeFillShade="F2"/>
          </w:tcPr>
          <w:p w14:paraId="0CA8A09B" w14:textId="4301643C" w:rsidR="00E0175B" w:rsidRPr="002D255E" w:rsidRDefault="00E0175B" w:rsidP="00E0175B">
            <w:pPr>
              <w:spacing w:after="0"/>
              <w:jc w:val="center"/>
              <w:rPr>
                <w:rFonts w:eastAsia="Times New Roman" w:cs="Arial"/>
                <w:b/>
                <w:lang w:eastAsia="en-GB"/>
              </w:rPr>
            </w:pPr>
            <w:r w:rsidRPr="002D255E">
              <w:rPr>
                <w:rFonts w:eastAsia="Times New Roman" w:cs="Arial"/>
                <w:b/>
                <w:lang w:eastAsia="en-GB"/>
              </w:rPr>
              <w:t>Action for primary care</w:t>
            </w:r>
          </w:p>
        </w:tc>
      </w:tr>
      <w:tr w:rsidR="00E0175B" w:rsidRPr="002D255E" w14:paraId="6C44DC1D" w14:textId="77777777" w:rsidTr="7234176C">
        <w:trPr>
          <w:jc w:val="center"/>
        </w:trPr>
        <w:tc>
          <w:tcPr>
            <w:tcW w:w="10455" w:type="dxa"/>
            <w:gridSpan w:val="3"/>
          </w:tcPr>
          <w:p w14:paraId="00D7A796" w14:textId="77777777" w:rsidR="00E0175B" w:rsidRPr="002D255E" w:rsidRDefault="00E0175B" w:rsidP="00E0175B">
            <w:pPr>
              <w:spacing w:after="0"/>
              <w:jc w:val="center"/>
              <w:rPr>
                <w:rFonts w:cs="Arial"/>
                <w:b/>
                <w:bCs/>
                <w:lang w:eastAsia="en-GB"/>
              </w:rPr>
            </w:pPr>
            <w:r w:rsidRPr="002D255E">
              <w:rPr>
                <w:rFonts w:cs="Arial"/>
                <w:b/>
                <w:bCs/>
                <w:lang w:eastAsia="en-GB"/>
              </w:rPr>
              <w:lastRenderedPageBreak/>
              <w:t>As well as responding to absolute values in laboratory tests, a rapid change or a consistent trend in any value should prompt caution and extra vigilance</w:t>
            </w:r>
          </w:p>
        </w:tc>
      </w:tr>
      <w:tr w:rsidR="00E0175B" w:rsidRPr="002D255E" w14:paraId="1FA82767" w14:textId="77777777" w:rsidTr="7234176C">
        <w:trPr>
          <w:trHeight w:val="78"/>
          <w:jc w:val="center"/>
        </w:trPr>
        <w:tc>
          <w:tcPr>
            <w:tcW w:w="5227" w:type="dxa"/>
            <w:gridSpan w:val="2"/>
          </w:tcPr>
          <w:p w14:paraId="6DB655B7" w14:textId="77777777" w:rsidR="00E0175B" w:rsidRPr="002D255E" w:rsidRDefault="00E0175B" w:rsidP="00E0175B">
            <w:pPr>
              <w:numPr>
                <w:ilvl w:val="0"/>
                <w:numId w:val="12"/>
              </w:numPr>
              <w:spacing w:after="0"/>
              <w:rPr>
                <w:rFonts w:cs="Arial"/>
                <w:lang w:eastAsia="en-GB"/>
              </w:rPr>
            </w:pPr>
            <w:r w:rsidRPr="002D255E">
              <w:rPr>
                <w:rFonts w:cs="Arial"/>
                <w:lang w:eastAsia="en-GB"/>
              </w:rPr>
              <w:t xml:space="preserve">Full blood count: </w:t>
            </w:r>
          </w:p>
          <w:p w14:paraId="070338DB" w14:textId="77777777" w:rsidR="00E0175B" w:rsidRPr="002D255E" w:rsidRDefault="00E0175B" w:rsidP="00E0175B">
            <w:pPr>
              <w:numPr>
                <w:ilvl w:val="0"/>
                <w:numId w:val="32"/>
              </w:numPr>
              <w:spacing w:after="0"/>
              <w:rPr>
                <w:rFonts w:cs="Arial"/>
                <w:lang w:eastAsia="en-GB"/>
              </w:rPr>
            </w:pPr>
            <w:r w:rsidRPr="002D255E">
              <w:rPr>
                <w:rFonts w:cs="Arial"/>
                <w:lang w:eastAsia="en-GB"/>
              </w:rPr>
              <w:t>White blood cells less than 3.5x10</w:t>
            </w:r>
            <w:r w:rsidRPr="002D255E">
              <w:rPr>
                <w:rFonts w:cs="Arial"/>
                <w:vertAlign w:val="superscript"/>
                <w:lang w:eastAsia="en-GB"/>
              </w:rPr>
              <w:t>9</w:t>
            </w:r>
            <w:r w:rsidRPr="002D255E">
              <w:rPr>
                <w:rFonts w:cs="Arial"/>
                <w:lang w:eastAsia="en-GB"/>
              </w:rPr>
              <w:t>/L</w:t>
            </w:r>
          </w:p>
          <w:p w14:paraId="21A8E847" w14:textId="77777777" w:rsidR="00E0175B" w:rsidRPr="002D255E" w:rsidRDefault="00E0175B" w:rsidP="00E0175B">
            <w:pPr>
              <w:numPr>
                <w:ilvl w:val="0"/>
                <w:numId w:val="31"/>
              </w:numPr>
              <w:spacing w:after="0"/>
              <w:rPr>
                <w:rFonts w:cs="Arial"/>
                <w:lang w:eastAsia="en-GB"/>
              </w:rPr>
            </w:pPr>
            <w:r w:rsidRPr="002D255E">
              <w:rPr>
                <w:rFonts w:cs="Arial"/>
                <w:lang w:eastAsia="en-GB"/>
              </w:rPr>
              <w:t>Lymphocytes less than 0.5x10</w:t>
            </w:r>
            <w:r w:rsidRPr="002D255E">
              <w:rPr>
                <w:rFonts w:cs="Arial"/>
                <w:vertAlign w:val="superscript"/>
                <w:lang w:eastAsia="en-GB"/>
              </w:rPr>
              <w:t>9</w:t>
            </w:r>
            <w:r w:rsidRPr="002D255E">
              <w:rPr>
                <w:rFonts w:cs="Arial"/>
                <w:lang w:eastAsia="en-GB"/>
              </w:rPr>
              <w:t>/L</w:t>
            </w:r>
          </w:p>
          <w:p w14:paraId="67E3A08A" w14:textId="77777777" w:rsidR="00E0175B" w:rsidRPr="002D255E" w:rsidRDefault="00E0175B" w:rsidP="00E0175B">
            <w:pPr>
              <w:numPr>
                <w:ilvl w:val="0"/>
                <w:numId w:val="31"/>
              </w:numPr>
              <w:spacing w:after="0"/>
              <w:rPr>
                <w:rFonts w:cs="Arial"/>
                <w:lang w:eastAsia="en-GB"/>
              </w:rPr>
            </w:pPr>
            <w:r w:rsidRPr="002D255E">
              <w:rPr>
                <w:rFonts w:cs="Arial"/>
                <w:lang w:eastAsia="en-GB"/>
              </w:rPr>
              <w:t>Neutrophils less than 1.6x10</w:t>
            </w:r>
            <w:r w:rsidRPr="002D255E">
              <w:rPr>
                <w:rFonts w:cs="Arial"/>
                <w:vertAlign w:val="superscript"/>
                <w:lang w:eastAsia="en-GB"/>
              </w:rPr>
              <w:t>9</w:t>
            </w:r>
            <w:r w:rsidRPr="002D255E">
              <w:rPr>
                <w:rFonts w:cs="Arial"/>
                <w:lang w:eastAsia="en-GB"/>
              </w:rPr>
              <w:t>/L</w:t>
            </w:r>
          </w:p>
          <w:p w14:paraId="44B612DB" w14:textId="77777777" w:rsidR="00E0175B" w:rsidRPr="002D255E" w:rsidRDefault="00E0175B" w:rsidP="00E0175B">
            <w:pPr>
              <w:numPr>
                <w:ilvl w:val="0"/>
                <w:numId w:val="31"/>
              </w:numPr>
              <w:spacing w:after="0"/>
              <w:rPr>
                <w:rFonts w:cs="Arial"/>
                <w:lang w:eastAsia="en-GB"/>
              </w:rPr>
            </w:pPr>
            <w:r w:rsidRPr="002D255E">
              <w:rPr>
                <w:rFonts w:cs="Arial"/>
                <w:lang w:eastAsia="en-GB"/>
              </w:rPr>
              <w:t>Platelets less than 140x10</w:t>
            </w:r>
            <w:r w:rsidRPr="002D255E">
              <w:rPr>
                <w:rFonts w:cs="Arial"/>
                <w:vertAlign w:val="superscript"/>
                <w:lang w:eastAsia="en-GB"/>
              </w:rPr>
              <w:t>9</w:t>
            </w:r>
            <w:r w:rsidRPr="002D255E">
              <w:rPr>
                <w:rFonts w:cs="Arial"/>
                <w:lang w:eastAsia="en-GB"/>
              </w:rPr>
              <w:t>/L</w:t>
            </w:r>
          </w:p>
          <w:p w14:paraId="02EB5D0E" w14:textId="3BB25D67" w:rsidR="00E0175B" w:rsidRPr="002D255E" w:rsidRDefault="00E0175B" w:rsidP="00E0175B">
            <w:pPr>
              <w:numPr>
                <w:ilvl w:val="0"/>
                <w:numId w:val="31"/>
              </w:numPr>
              <w:spacing w:after="0"/>
              <w:rPr>
                <w:rFonts w:cs="Arial"/>
                <w:lang w:eastAsia="en-GB"/>
              </w:rPr>
            </w:pPr>
            <w:r w:rsidRPr="002D255E">
              <w:rPr>
                <w:rFonts w:cs="Arial"/>
                <w:lang w:eastAsia="en-GB"/>
              </w:rPr>
              <w:t>Eosinophilia greater than 0.5x10</w:t>
            </w:r>
            <w:r w:rsidRPr="002D255E">
              <w:rPr>
                <w:rFonts w:cs="Arial"/>
                <w:vertAlign w:val="superscript"/>
                <w:lang w:eastAsia="en-GB"/>
              </w:rPr>
              <w:t>9</w:t>
            </w:r>
            <w:r w:rsidRPr="002D255E">
              <w:rPr>
                <w:rFonts w:cs="Arial"/>
                <w:lang w:eastAsia="en-GB"/>
              </w:rPr>
              <w:t>/L</w:t>
            </w:r>
          </w:p>
        </w:tc>
        <w:tc>
          <w:tcPr>
            <w:tcW w:w="5228" w:type="dxa"/>
          </w:tcPr>
          <w:p w14:paraId="17B09903" w14:textId="77777777" w:rsidR="00E0175B" w:rsidRPr="002D255E" w:rsidRDefault="00E0175B" w:rsidP="00E0175B">
            <w:pPr>
              <w:spacing w:after="0"/>
              <w:rPr>
                <w:rFonts w:eastAsia="Times New Roman" w:cs="Arial"/>
                <w:lang w:eastAsia="en-GB"/>
              </w:rPr>
            </w:pPr>
            <w:r w:rsidRPr="002D255E">
              <w:rPr>
                <w:rFonts w:eastAsia="Times New Roman" w:cs="Arial"/>
                <w:lang w:eastAsia="en-GB"/>
              </w:rPr>
              <w:t>Withhold and discuss with specialist team.</w:t>
            </w:r>
          </w:p>
          <w:p w14:paraId="6897B92F" w14:textId="7920D310" w:rsidR="00E0175B" w:rsidRPr="002D255E" w:rsidRDefault="00E0175B" w:rsidP="00E0175B">
            <w:pPr>
              <w:spacing w:after="0"/>
              <w:rPr>
                <w:rFonts w:eastAsia="Times New Roman" w:cs="Arial"/>
                <w:bCs/>
                <w:lang w:eastAsia="en-GB"/>
              </w:rPr>
            </w:pPr>
          </w:p>
        </w:tc>
      </w:tr>
      <w:tr w:rsidR="00E0175B" w:rsidRPr="002D255E" w14:paraId="66089C4A" w14:textId="77777777" w:rsidTr="7234176C">
        <w:trPr>
          <w:trHeight w:val="78"/>
          <w:jc w:val="center"/>
        </w:trPr>
        <w:tc>
          <w:tcPr>
            <w:tcW w:w="5227" w:type="dxa"/>
            <w:gridSpan w:val="2"/>
          </w:tcPr>
          <w:p w14:paraId="786F5C7A" w14:textId="195D512F" w:rsidR="00E0175B" w:rsidRPr="002D255E" w:rsidRDefault="00E0175B" w:rsidP="00E0175B">
            <w:pPr>
              <w:spacing w:after="0"/>
              <w:rPr>
                <w:rFonts w:eastAsia="Times New Roman" w:cs="Arial"/>
                <w:b/>
                <w:lang w:eastAsia="en-GB"/>
              </w:rPr>
            </w:pPr>
            <w:r w:rsidRPr="002D255E">
              <w:rPr>
                <w:rFonts w:cstheme="minorHAnsi"/>
                <w:color w:val="000000"/>
              </w:rPr>
              <w:t>Mean cell volume  &gt;105 fL</w:t>
            </w:r>
          </w:p>
        </w:tc>
        <w:tc>
          <w:tcPr>
            <w:tcW w:w="5228" w:type="dxa"/>
          </w:tcPr>
          <w:p w14:paraId="359BEDDB" w14:textId="77777777" w:rsidR="00E0175B" w:rsidRPr="002D255E" w:rsidRDefault="00E0175B" w:rsidP="00E0175B">
            <w:pPr>
              <w:spacing w:after="0"/>
              <w:rPr>
                <w:rFonts w:eastAsia="Times New Roman" w:cs="Arial"/>
                <w:bCs/>
                <w:lang w:eastAsia="en-GB"/>
              </w:rPr>
            </w:pPr>
            <w:r w:rsidRPr="002D255E">
              <w:rPr>
                <w:rFonts w:eastAsia="Times New Roman" w:cs="Arial"/>
                <w:bCs/>
                <w:lang w:eastAsia="en-GB"/>
              </w:rPr>
              <w:t xml:space="preserve">Consider interruption in treatment. </w:t>
            </w:r>
          </w:p>
          <w:p w14:paraId="469F3D89" w14:textId="3A00C333" w:rsidR="00E0175B" w:rsidRPr="002D255E" w:rsidRDefault="00E0175B" w:rsidP="00E0175B">
            <w:pPr>
              <w:spacing w:after="0"/>
              <w:rPr>
                <w:rFonts w:eastAsia="Times New Roman" w:cs="Arial"/>
                <w:b/>
                <w:lang w:eastAsia="en-GB"/>
              </w:rPr>
            </w:pPr>
            <w:r w:rsidRPr="002D255E">
              <w:rPr>
                <w:rFonts w:eastAsia="Times New Roman" w:cs="Arial"/>
                <w:bCs/>
                <w:lang w:eastAsia="en-GB"/>
              </w:rPr>
              <w:t>Check serum folate, B12, alcohol history and TSH and treat any underlying abnormality. If results of these additional investigations are normal discuss with specialist team urgently.</w:t>
            </w:r>
          </w:p>
        </w:tc>
      </w:tr>
      <w:tr w:rsidR="00E0175B" w:rsidRPr="002D255E" w14:paraId="602C2B8E" w14:textId="77777777" w:rsidTr="7234176C">
        <w:trPr>
          <w:trHeight w:val="78"/>
          <w:jc w:val="center"/>
        </w:trPr>
        <w:tc>
          <w:tcPr>
            <w:tcW w:w="5227" w:type="dxa"/>
            <w:gridSpan w:val="2"/>
          </w:tcPr>
          <w:p w14:paraId="760699F1" w14:textId="0DD39FB4" w:rsidR="00E0175B" w:rsidRPr="002D255E" w:rsidRDefault="00E0175B" w:rsidP="00E0175B">
            <w:pPr>
              <w:spacing w:after="0"/>
              <w:rPr>
                <w:rFonts w:eastAsia="Times New Roman" w:cs="Arial"/>
                <w:bCs/>
                <w:lang w:eastAsia="en-GB"/>
              </w:rPr>
            </w:pPr>
            <w:r w:rsidRPr="002D255E">
              <w:rPr>
                <w:rFonts w:eastAsia="Times New Roman" w:cs="Arial"/>
                <w:bCs/>
                <w:lang w:eastAsia="en-GB"/>
              </w:rPr>
              <w:t>Signs or symptoms of bone marrow suppression, e.g. unexplained bleeding or bruising with or without sore throat, purpura, mouth ulcers.</w:t>
            </w:r>
          </w:p>
        </w:tc>
        <w:tc>
          <w:tcPr>
            <w:tcW w:w="5228" w:type="dxa"/>
          </w:tcPr>
          <w:p w14:paraId="7360B5D2" w14:textId="5987EE6D" w:rsidR="00E0175B" w:rsidRPr="002D255E" w:rsidRDefault="00E0175B" w:rsidP="00E0175B">
            <w:pPr>
              <w:spacing w:after="0"/>
              <w:rPr>
                <w:rFonts w:eastAsia="Times New Roman" w:cs="Arial"/>
                <w:lang w:eastAsia="en-GB"/>
              </w:rPr>
            </w:pPr>
            <w:r w:rsidRPr="002D255E">
              <w:rPr>
                <w:rFonts w:eastAsia="Times New Roman" w:cs="Arial"/>
                <w:lang w:eastAsia="en-GB"/>
              </w:rPr>
              <w:t>Check FBC immediately, withhold treatment while awaiting results, and discuss with the specialist team. See haematological monitoring above.</w:t>
            </w:r>
          </w:p>
        </w:tc>
      </w:tr>
      <w:tr w:rsidR="00E0175B" w:rsidRPr="002D255E" w14:paraId="3ADBA703" w14:textId="77777777" w:rsidTr="7234176C">
        <w:trPr>
          <w:trHeight w:val="78"/>
          <w:jc w:val="center"/>
        </w:trPr>
        <w:tc>
          <w:tcPr>
            <w:tcW w:w="5227" w:type="dxa"/>
            <w:gridSpan w:val="2"/>
          </w:tcPr>
          <w:p w14:paraId="7348BD5C" w14:textId="77777777" w:rsidR="00E0175B" w:rsidRPr="002D255E" w:rsidRDefault="00E0175B" w:rsidP="00E0175B">
            <w:pPr>
              <w:spacing w:after="0"/>
              <w:rPr>
                <w:rFonts w:eastAsia="Times New Roman" w:cs="Arial"/>
                <w:b/>
                <w:bCs/>
                <w:lang w:eastAsia="en-GB"/>
              </w:rPr>
            </w:pPr>
            <w:r w:rsidRPr="002D255E">
              <w:rPr>
                <w:rFonts w:eastAsia="Times New Roman" w:cs="Arial"/>
                <w:b/>
                <w:bCs/>
                <w:lang w:eastAsia="en-GB"/>
              </w:rPr>
              <w:t xml:space="preserve">Infections: </w:t>
            </w:r>
          </w:p>
          <w:p w14:paraId="54080CBD" w14:textId="4895765F" w:rsidR="00E0175B" w:rsidRPr="002D255E" w:rsidRDefault="00E0175B" w:rsidP="00E0175B">
            <w:pPr>
              <w:spacing w:after="0"/>
              <w:rPr>
                <w:rFonts w:eastAsia="Times New Roman" w:cs="Arial"/>
                <w:lang w:eastAsia="en-GB"/>
              </w:rPr>
            </w:pPr>
            <w:r w:rsidRPr="002D255E">
              <w:rPr>
                <w:rFonts w:eastAsia="Times New Roman" w:cs="Arial"/>
                <w:lang w:eastAsia="en-GB"/>
              </w:rPr>
              <w:t>Infection requiring antibiotics</w:t>
            </w:r>
          </w:p>
        </w:tc>
        <w:tc>
          <w:tcPr>
            <w:tcW w:w="5228" w:type="dxa"/>
          </w:tcPr>
          <w:p w14:paraId="198FC094" w14:textId="0251C043" w:rsidR="00E0175B" w:rsidRPr="002D255E" w:rsidRDefault="00E0175B" w:rsidP="00E0175B">
            <w:pPr>
              <w:spacing w:after="0"/>
              <w:rPr>
                <w:rFonts w:eastAsia="Times New Roman" w:cs="Arial"/>
                <w:lang w:eastAsia="en-GB"/>
              </w:rPr>
            </w:pPr>
            <w:r w:rsidRPr="002D255E">
              <w:rPr>
                <w:rFonts w:eastAsia="Times New Roman" w:cs="Arial"/>
                <w:lang w:eastAsia="en-GB"/>
              </w:rPr>
              <w:t>Temporarily withhold methotrexate until the patient has recovered. Consider additional investigations (e.g. FBC), if clinically appropriate.</w:t>
            </w:r>
          </w:p>
        </w:tc>
      </w:tr>
      <w:tr w:rsidR="00E0175B" w:rsidRPr="002D255E" w14:paraId="60C0C622" w14:textId="77777777" w:rsidTr="7234176C">
        <w:trPr>
          <w:trHeight w:val="78"/>
          <w:jc w:val="center"/>
        </w:trPr>
        <w:tc>
          <w:tcPr>
            <w:tcW w:w="5227" w:type="dxa"/>
            <w:gridSpan w:val="2"/>
          </w:tcPr>
          <w:p w14:paraId="3886BF9C" w14:textId="77777777" w:rsidR="00E0175B" w:rsidRPr="002D255E" w:rsidRDefault="00E0175B" w:rsidP="00E0175B">
            <w:pPr>
              <w:spacing w:after="0"/>
              <w:rPr>
                <w:rFonts w:eastAsia="Times New Roman" w:cs="Arial"/>
                <w:b/>
                <w:lang w:eastAsia="en-GB"/>
              </w:rPr>
            </w:pPr>
            <w:r w:rsidRPr="002D255E">
              <w:rPr>
                <w:rFonts w:eastAsia="Times New Roman" w:cs="Arial"/>
                <w:b/>
                <w:lang w:eastAsia="en-GB"/>
              </w:rPr>
              <w:t>Liver function tests:</w:t>
            </w:r>
          </w:p>
          <w:p w14:paraId="24718C48" w14:textId="77777777" w:rsidR="00E0175B" w:rsidRPr="002D255E" w:rsidRDefault="00E0175B" w:rsidP="00E0175B">
            <w:pPr>
              <w:spacing w:after="0"/>
              <w:rPr>
                <w:rFonts w:eastAsia="Times New Roman" w:cs="Arial"/>
                <w:bCs/>
                <w:lang w:eastAsia="en-GB"/>
              </w:rPr>
            </w:pPr>
            <w:r w:rsidRPr="002D255E">
              <w:rPr>
                <w:rFonts w:eastAsia="Times New Roman" w:cs="Arial"/>
                <w:bCs/>
                <w:lang w:eastAsia="en-GB"/>
              </w:rPr>
              <w:t xml:space="preserve">ALT or AST &gt;100 units/L, or any sudden increases (e.g. double of baseline), OR </w:t>
            </w:r>
          </w:p>
          <w:p w14:paraId="331F5A02" w14:textId="77777777" w:rsidR="00E0175B" w:rsidRPr="002D255E" w:rsidRDefault="00E0175B" w:rsidP="00E0175B">
            <w:pPr>
              <w:spacing w:after="0"/>
              <w:rPr>
                <w:rFonts w:eastAsia="Times New Roman" w:cs="Arial"/>
                <w:bCs/>
                <w:lang w:eastAsia="en-GB"/>
              </w:rPr>
            </w:pPr>
            <w:r w:rsidRPr="002D255E">
              <w:rPr>
                <w:rFonts w:eastAsia="Times New Roman" w:cs="Arial"/>
                <w:bCs/>
                <w:lang w:eastAsia="en-GB"/>
              </w:rPr>
              <w:t>Unexplained fall in serum albumin &lt;30g/L</w:t>
            </w:r>
          </w:p>
          <w:p w14:paraId="26B69ADA" w14:textId="54CCCCE0" w:rsidR="00E0175B" w:rsidRPr="002D255E" w:rsidRDefault="00E0175B" w:rsidP="00E0175B">
            <w:pPr>
              <w:spacing w:after="0"/>
              <w:rPr>
                <w:rFonts w:eastAsia="Times New Roman" w:cs="Arial"/>
                <w:b/>
                <w:lang w:eastAsia="en-GB"/>
              </w:rPr>
            </w:pPr>
            <w:r w:rsidRPr="002D255E">
              <w:rPr>
                <w:rFonts w:eastAsia="Times New Roman" w:cs="Arial"/>
                <w:bCs/>
                <w:lang w:eastAsia="en-GB"/>
              </w:rPr>
              <w:t>Jaundice</w:t>
            </w:r>
          </w:p>
        </w:tc>
        <w:tc>
          <w:tcPr>
            <w:tcW w:w="5228" w:type="dxa"/>
          </w:tcPr>
          <w:p w14:paraId="3607E009" w14:textId="77777777" w:rsidR="00E0175B" w:rsidRPr="002D255E" w:rsidRDefault="00E0175B" w:rsidP="00E0175B">
            <w:pPr>
              <w:spacing w:after="0"/>
              <w:rPr>
                <w:rFonts w:eastAsia="Times New Roman" w:cs="Arial"/>
                <w:bCs/>
                <w:lang w:eastAsia="en-GB"/>
              </w:rPr>
            </w:pPr>
            <w:r w:rsidRPr="002D255E">
              <w:rPr>
                <w:rFonts w:eastAsia="Times New Roman" w:cs="Arial"/>
                <w:bCs/>
                <w:lang w:eastAsia="en-GB"/>
              </w:rPr>
              <w:t>Withhold and discuss with specialist team.</w:t>
            </w:r>
          </w:p>
          <w:p w14:paraId="17A2EF3D" w14:textId="672A8A0A" w:rsidR="00E0175B" w:rsidRPr="002D255E" w:rsidRDefault="00E0175B" w:rsidP="00E0175B">
            <w:pPr>
              <w:spacing w:after="0"/>
              <w:rPr>
                <w:rFonts w:eastAsia="Times New Roman" w:cs="Arial"/>
                <w:b/>
                <w:lang w:eastAsia="en-GB"/>
              </w:rPr>
            </w:pPr>
            <w:r w:rsidRPr="002D255E">
              <w:rPr>
                <w:rFonts w:eastAsia="Times New Roman" w:cs="Arial"/>
                <w:bCs/>
                <w:lang w:eastAsia="en-GB"/>
              </w:rPr>
              <w:t>Assess for other causes of hepatic dysfunction such as alcohol history and drug interactions, including OTC or complementary medication.</w:t>
            </w:r>
          </w:p>
        </w:tc>
      </w:tr>
      <w:tr w:rsidR="00E0175B" w:rsidRPr="002D255E" w14:paraId="121D5EF6" w14:textId="77777777" w:rsidTr="7234176C">
        <w:trPr>
          <w:trHeight w:val="78"/>
          <w:jc w:val="center"/>
        </w:trPr>
        <w:tc>
          <w:tcPr>
            <w:tcW w:w="5227" w:type="dxa"/>
            <w:gridSpan w:val="2"/>
          </w:tcPr>
          <w:p w14:paraId="1BA32248" w14:textId="77777777" w:rsidR="00E0175B" w:rsidRPr="002D255E" w:rsidRDefault="00E0175B" w:rsidP="00E0175B">
            <w:pPr>
              <w:spacing w:after="0"/>
              <w:rPr>
                <w:rFonts w:cs="Arial"/>
                <w:b/>
                <w:lang w:eastAsia="en-GB"/>
              </w:rPr>
            </w:pPr>
            <w:r w:rsidRPr="002D255E">
              <w:rPr>
                <w:rFonts w:cs="Arial"/>
                <w:b/>
                <w:lang w:eastAsia="en-GB"/>
              </w:rPr>
              <w:t xml:space="preserve">PIIINP </w:t>
            </w:r>
            <w:r w:rsidRPr="002D255E">
              <w:rPr>
                <w:rFonts w:cs="Arial"/>
                <w:bCs/>
                <w:lang w:eastAsia="en-GB"/>
              </w:rPr>
              <w:t>(psoriasis only)</w:t>
            </w:r>
          </w:p>
          <w:p w14:paraId="5C66EA23" w14:textId="77777777" w:rsidR="00E0175B" w:rsidRPr="002D255E" w:rsidRDefault="00E0175B" w:rsidP="00E0175B">
            <w:pPr>
              <w:spacing w:after="0"/>
              <w:rPr>
                <w:rFonts w:cs="Arial"/>
                <w:bCs/>
                <w:lang w:eastAsia="en-GB"/>
              </w:rPr>
            </w:pPr>
            <w:r w:rsidRPr="002D255E">
              <w:rPr>
                <w:rFonts w:cs="Arial"/>
                <w:bCs/>
                <w:lang w:eastAsia="en-GB"/>
              </w:rPr>
              <w:t>Levels greater than:</w:t>
            </w:r>
          </w:p>
          <w:p w14:paraId="73313394" w14:textId="77777777" w:rsidR="00E0175B" w:rsidRPr="002D255E" w:rsidRDefault="00E0175B" w:rsidP="00E0175B">
            <w:pPr>
              <w:numPr>
                <w:ilvl w:val="0"/>
                <w:numId w:val="33"/>
              </w:numPr>
              <w:spacing w:after="0"/>
              <w:rPr>
                <w:rFonts w:cs="Arial"/>
                <w:bCs/>
                <w:lang w:eastAsia="en-GB"/>
              </w:rPr>
            </w:pPr>
            <w:r w:rsidRPr="002D255E">
              <w:rPr>
                <w:rFonts w:cs="Arial"/>
                <w:bCs/>
                <w:lang w:eastAsia="en-GB"/>
              </w:rPr>
              <w:t>10 mg/L on one occasion</w:t>
            </w:r>
          </w:p>
          <w:p w14:paraId="1D7035F5" w14:textId="77777777" w:rsidR="00E0175B" w:rsidRPr="002D255E" w:rsidRDefault="00E0175B" w:rsidP="00E0175B">
            <w:pPr>
              <w:numPr>
                <w:ilvl w:val="0"/>
                <w:numId w:val="33"/>
              </w:numPr>
              <w:spacing w:after="0"/>
              <w:rPr>
                <w:rFonts w:cs="Arial"/>
                <w:bCs/>
                <w:lang w:eastAsia="en-GB"/>
              </w:rPr>
            </w:pPr>
            <w:r w:rsidRPr="002D255E">
              <w:rPr>
                <w:rFonts w:cs="Arial"/>
                <w:bCs/>
                <w:lang w:eastAsia="en-GB"/>
              </w:rPr>
              <w:t>8.0 mg/L on two occasions</w:t>
            </w:r>
          </w:p>
          <w:p w14:paraId="44FF10ED" w14:textId="2110D2B5" w:rsidR="00E0175B" w:rsidRPr="002D255E" w:rsidRDefault="00E0175B" w:rsidP="00E0175B">
            <w:pPr>
              <w:numPr>
                <w:ilvl w:val="0"/>
                <w:numId w:val="33"/>
              </w:numPr>
              <w:spacing w:after="0"/>
              <w:rPr>
                <w:rFonts w:cs="Arial"/>
                <w:bCs/>
                <w:lang w:eastAsia="en-GB"/>
              </w:rPr>
            </w:pPr>
            <w:r w:rsidRPr="002D255E">
              <w:rPr>
                <w:rFonts w:cs="Arial"/>
                <w:bCs/>
                <w:lang w:eastAsia="en-GB"/>
              </w:rPr>
              <w:t>4.2 mg/L on three occasions in a 12 month period</w:t>
            </w:r>
          </w:p>
        </w:tc>
        <w:tc>
          <w:tcPr>
            <w:tcW w:w="5228" w:type="dxa"/>
          </w:tcPr>
          <w:p w14:paraId="08391D15" w14:textId="5F7D1D95" w:rsidR="00E0175B" w:rsidRPr="002D255E" w:rsidRDefault="00E0175B" w:rsidP="00E0175B">
            <w:pPr>
              <w:spacing w:after="0"/>
              <w:rPr>
                <w:rFonts w:cs="Arial"/>
                <w:lang w:eastAsia="en-GB"/>
              </w:rPr>
            </w:pPr>
            <w:r w:rsidRPr="002D255E">
              <w:rPr>
                <w:rFonts w:cs="Arial"/>
                <w:lang w:eastAsia="en-GB"/>
              </w:rPr>
              <w:t>Discuss with specialist team, with urgency dictated by clinical condition and liver function test results.</w:t>
            </w:r>
          </w:p>
        </w:tc>
      </w:tr>
      <w:tr w:rsidR="00E0175B" w:rsidRPr="002D255E" w14:paraId="17877724" w14:textId="77777777" w:rsidTr="7234176C">
        <w:trPr>
          <w:trHeight w:val="78"/>
          <w:jc w:val="center"/>
        </w:trPr>
        <w:tc>
          <w:tcPr>
            <w:tcW w:w="5227" w:type="dxa"/>
            <w:gridSpan w:val="2"/>
            <w:tcBorders>
              <w:bottom w:val="single" w:sz="4" w:space="0" w:color="auto"/>
            </w:tcBorders>
          </w:tcPr>
          <w:p w14:paraId="7DCD8487" w14:textId="77777777" w:rsidR="00E0175B" w:rsidRPr="002D255E" w:rsidRDefault="00E0175B" w:rsidP="00E0175B">
            <w:pPr>
              <w:spacing w:after="0"/>
              <w:rPr>
                <w:rFonts w:eastAsia="Times New Roman" w:cs="Arial"/>
                <w:lang w:eastAsia="en-GB"/>
              </w:rPr>
            </w:pPr>
            <w:r w:rsidRPr="002D255E">
              <w:rPr>
                <w:rFonts w:eastAsia="Times New Roman" w:cs="Arial"/>
                <w:b/>
                <w:lang w:eastAsia="en-GB"/>
              </w:rPr>
              <w:t>Renal function</w:t>
            </w:r>
            <w:r w:rsidRPr="002D255E">
              <w:rPr>
                <w:rFonts w:eastAsia="Times New Roman" w:cs="Arial"/>
                <w:lang w:eastAsia="en-GB"/>
              </w:rPr>
              <w:t xml:space="preserve">: </w:t>
            </w:r>
          </w:p>
          <w:p w14:paraId="0EC60364" w14:textId="50622BDF" w:rsidR="00E0175B" w:rsidRPr="002D255E" w:rsidRDefault="00E0175B" w:rsidP="00E0175B">
            <w:pPr>
              <w:spacing w:after="0"/>
              <w:rPr>
                <w:rFonts w:eastAsia="Times New Roman" w:cs="Arial"/>
                <w:lang w:eastAsia="en-GB"/>
              </w:rPr>
            </w:pPr>
            <w:r w:rsidRPr="002D255E">
              <w:rPr>
                <w:rFonts w:eastAsia="Times New Roman" w:cs="Arial"/>
                <w:lang w:eastAsia="en-GB"/>
              </w:rPr>
              <w:t>Creatinine increase of greater than 30% from baseline in the last 12 months, or CrCl reduces to &lt;60ml/min</w:t>
            </w:r>
          </w:p>
        </w:tc>
        <w:tc>
          <w:tcPr>
            <w:tcW w:w="5228" w:type="dxa"/>
            <w:tcBorders>
              <w:bottom w:val="single" w:sz="4" w:space="0" w:color="auto"/>
            </w:tcBorders>
          </w:tcPr>
          <w:p w14:paraId="5D7CCB13" w14:textId="4D510ACE" w:rsidR="00E0175B" w:rsidRPr="002D255E" w:rsidRDefault="00E0175B" w:rsidP="00E0175B">
            <w:pPr>
              <w:spacing w:after="0"/>
              <w:rPr>
                <w:rFonts w:eastAsia="Times New Roman" w:cs="Arial"/>
                <w:lang w:eastAsia="en-GB"/>
              </w:rPr>
            </w:pPr>
            <w:r w:rsidRPr="002D255E">
              <w:rPr>
                <w:rFonts w:eastAsia="Times New Roman" w:cs="Arial"/>
                <w:lang w:eastAsia="en-GB"/>
              </w:rPr>
              <w:t>Withhold and discuss with specialist team.</w:t>
            </w:r>
          </w:p>
        </w:tc>
      </w:tr>
      <w:tr w:rsidR="00E0175B" w:rsidRPr="002D255E" w14:paraId="12B2F548" w14:textId="77777777" w:rsidTr="7234176C">
        <w:trPr>
          <w:trHeight w:val="78"/>
          <w:jc w:val="center"/>
        </w:trPr>
        <w:tc>
          <w:tcPr>
            <w:tcW w:w="5227" w:type="dxa"/>
            <w:gridSpan w:val="2"/>
            <w:tcBorders>
              <w:bottom w:val="single" w:sz="4" w:space="0" w:color="auto"/>
            </w:tcBorders>
          </w:tcPr>
          <w:p w14:paraId="7FBF29D3" w14:textId="77777777" w:rsidR="00E0175B" w:rsidRPr="002D255E" w:rsidRDefault="00E0175B" w:rsidP="00E0175B">
            <w:pPr>
              <w:spacing w:after="0"/>
              <w:rPr>
                <w:rFonts w:eastAsia="Times New Roman" w:cs="Arial"/>
                <w:b/>
                <w:lang w:eastAsia="en-GB"/>
              </w:rPr>
            </w:pPr>
            <w:r w:rsidRPr="002D255E">
              <w:rPr>
                <w:rFonts w:eastAsia="Times New Roman" w:cs="Arial"/>
                <w:b/>
                <w:lang w:eastAsia="en-GB"/>
              </w:rPr>
              <w:t>Gastrointestinal disorders:</w:t>
            </w:r>
          </w:p>
          <w:p w14:paraId="63B47D09" w14:textId="77777777" w:rsidR="00E0175B" w:rsidRPr="002D255E" w:rsidRDefault="00E0175B" w:rsidP="00E0175B">
            <w:pPr>
              <w:spacing w:after="0"/>
              <w:rPr>
                <w:rFonts w:eastAsia="Times New Roman" w:cs="Arial"/>
                <w:bCs/>
                <w:lang w:eastAsia="en-GB"/>
              </w:rPr>
            </w:pPr>
            <w:r w:rsidRPr="002D255E">
              <w:rPr>
                <w:rFonts w:eastAsia="Times New Roman" w:cs="Arial"/>
                <w:bCs/>
                <w:lang w:eastAsia="en-GB"/>
              </w:rPr>
              <w:t xml:space="preserve">Nausea </w:t>
            </w:r>
          </w:p>
          <w:p w14:paraId="7B28C277" w14:textId="77777777" w:rsidR="00E0175B" w:rsidRPr="002D255E" w:rsidRDefault="00E0175B" w:rsidP="00E0175B">
            <w:pPr>
              <w:spacing w:after="0"/>
              <w:rPr>
                <w:rFonts w:eastAsia="Times New Roman" w:cs="Arial"/>
                <w:b/>
                <w:lang w:eastAsia="en-GB"/>
              </w:rPr>
            </w:pPr>
          </w:p>
        </w:tc>
        <w:tc>
          <w:tcPr>
            <w:tcW w:w="5228" w:type="dxa"/>
            <w:tcBorders>
              <w:bottom w:val="single" w:sz="4" w:space="0" w:color="auto"/>
            </w:tcBorders>
          </w:tcPr>
          <w:p w14:paraId="65B959B2" w14:textId="35EEFB0F" w:rsidR="00E0175B" w:rsidRPr="002D255E" w:rsidRDefault="00E0175B" w:rsidP="00E0175B">
            <w:pPr>
              <w:tabs>
                <w:tab w:val="left" w:pos="1089"/>
              </w:tabs>
              <w:spacing w:after="0"/>
              <w:rPr>
                <w:rFonts w:eastAsia="Times New Roman" w:cs="Arial"/>
                <w:lang w:eastAsia="en-GB"/>
              </w:rPr>
            </w:pPr>
            <w:r w:rsidRPr="002D255E">
              <w:rPr>
                <w:rFonts w:eastAsia="Times New Roman" w:cstheme="minorHAnsi"/>
                <w:lang w:eastAsia="en-GB"/>
              </w:rPr>
              <w:lastRenderedPageBreak/>
              <w:t xml:space="preserve">Review for reversible causes and treat as appropriate. Enquire which day of the week the </w:t>
            </w:r>
            <w:r w:rsidRPr="002D255E">
              <w:rPr>
                <w:rFonts w:eastAsia="Times New Roman" w:cstheme="minorHAnsi"/>
                <w:lang w:eastAsia="en-GB"/>
              </w:rPr>
              <w:lastRenderedPageBreak/>
              <w:t>patient takes their methotrexate, and which day(s) they take folic acid and confirm against the patient’s records. Discuss with specialist team if persistent or severe. Switch to subcutaneous therapy may be indicated, under specialist advice.</w:t>
            </w:r>
          </w:p>
        </w:tc>
      </w:tr>
      <w:tr w:rsidR="00E0175B" w:rsidRPr="002D255E" w14:paraId="4BA0B447" w14:textId="77777777" w:rsidTr="7234176C">
        <w:trPr>
          <w:trHeight w:val="78"/>
          <w:jc w:val="center"/>
        </w:trPr>
        <w:tc>
          <w:tcPr>
            <w:tcW w:w="5227" w:type="dxa"/>
            <w:gridSpan w:val="2"/>
            <w:tcBorders>
              <w:bottom w:val="single" w:sz="4" w:space="0" w:color="auto"/>
            </w:tcBorders>
          </w:tcPr>
          <w:p w14:paraId="5AB96B85" w14:textId="7C50F093" w:rsidR="00E0175B" w:rsidRPr="002D255E" w:rsidRDefault="00E0175B" w:rsidP="00E0175B">
            <w:pPr>
              <w:spacing w:after="0"/>
              <w:rPr>
                <w:rFonts w:eastAsia="Times New Roman" w:cs="Arial"/>
                <w:bCs/>
                <w:lang w:eastAsia="en-GB"/>
              </w:rPr>
            </w:pPr>
            <w:r w:rsidRPr="002D255E">
              <w:rPr>
                <w:rFonts w:eastAsia="Times New Roman" w:cs="Arial"/>
                <w:bCs/>
                <w:lang w:eastAsia="en-GB"/>
              </w:rPr>
              <w:lastRenderedPageBreak/>
              <w:t>Diarrhoea, ulcerative stomatitis, haematemesis, black or bloody stools, or suspected pancreatitis</w:t>
            </w:r>
          </w:p>
        </w:tc>
        <w:tc>
          <w:tcPr>
            <w:tcW w:w="5228" w:type="dxa"/>
            <w:tcBorders>
              <w:bottom w:val="single" w:sz="4" w:space="0" w:color="auto"/>
            </w:tcBorders>
          </w:tcPr>
          <w:p w14:paraId="165EBDB6" w14:textId="62CCC177" w:rsidR="00E0175B" w:rsidRPr="002D255E" w:rsidRDefault="00E0175B" w:rsidP="00E0175B">
            <w:pPr>
              <w:tabs>
                <w:tab w:val="left" w:pos="1089"/>
              </w:tabs>
              <w:spacing w:after="0"/>
              <w:rPr>
                <w:rFonts w:eastAsia="Times New Roman" w:cstheme="minorHAnsi"/>
                <w:lang w:eastAsia="en-GB"/>
              </w:rPr>
            </w:pPr>
            <w:r w:rsidRPr="002D255E">
              <w:rPr>
                <w:rFonts w:eastAsia="Times New Roman" w:cstheme="minorHAnsi"/>
                <w:lang w:eastAsia="en-GB"/>
              </w:rPr>
              <w:t>Withhold and discuss with specialist team.</w:t>
            </w:r>
          </w:p>
        </w:tc>
      </w:tr>
      <w:tr w:rsidR="00E0175B" w:rsidRPr="002D255E" w14:paraId="6FCCE817" w14:textId="77777777" w:rsidTr="7234176C">
        <w:trPr>
          <w:trHeight w:val="78"/>
          <w:jc w:val="center"/>
        </w:trPr>
        <w:tc>
          <w:tcPr>
            <w:tcW w:w="5227" w:type="dxa"/>
            <w:gridSpan w:val="2"/>
            <w:tcBorders>
              <w:bottom w:val="single" w:sz="4" w:space="0" w:color="auto"/>
            </w:tcBorders>
          </w:tcPr>
          <w:p w14:paraId="068F63E1" w14:textId="77777777" w:rsidR="00E0175B" w:rsidRPr="002D255E" w:rsidRDefault="00E0175B" w:rsidP="00E0175B">
            <w:pPr>
              <w:spacing w:after="0"/>
              <w:rPr>
                <w:rFonts w:eastAsia="Times New Roman" w:cs="Arial"/>
                <w:b/>
                <w:bCs/>
                <w:lang w:eastAsia="en-GB"/>
              </w:rPr>
            </w:pPr>
            <w:r w:rsidRPr="002D255E">
              <w:rPr>
                <w:rFonts w:eastAsia="Times New Roman" w:cs="Arial"/>
                <w:b/>
                <w:bCs/>
                <w:lang w:eastAsia="en-GB"/>
              </w:rPr>
              <w:t xml:space="preserve">Symptoms of interstitial lung disease </w:t>
            </w:r>
          </w:p>
          <w:p w14:paraId="320DD698" w14:textId="45F761B1" w:rsidR="00E0175B" w:rsidRPr="002D255E" w:rsidRDefault="00E0175B" w:rsidP="00E0175B">
            <w:pPr>
              <w:spacing w:after="0"/>
              <w:rPr>
                <w:rFonts w:eastAsia="Times New Roman" w:cs="Arial"/>
                <w:bCs/>
                <w:lang w:eastAsia="en-GB"/>
              </w:rPr>
            </w:pPr>
            <w:r w:rsidRPr="002D255E">
              <w:rPr>
                <w:rFonts w:eastAsia="Times New Roman" w:cs="Arial"/>
                <w:bCs/>
                <w:lang w:eastAsia="en-GB"/>
              </w:rPr>
              <w:t>e.g. persistent cough, dyspnoea, fever</w:t>
            </w:r>
          </w:p>
        </w:tc>
        <w:tc>
          <w:tcPr>
            <w:tcW w:w="5228" w:type="dxa"/>
            <w:tcBorders>
              <w:bottom w:val="single" w:sz="4" w:space="0" w:color="auto"/>
            </w:tcBorders>
          </w:tcPr>
          <w:p w14:paraId="57EE6606" w14:textId="43BA30F7" w:rsidR="00E0175B" w:rsidRPr="002D255E" w:rsidRDefault="00E0175B" w:rsidP="00E0175B">
            <w:pPr>
              <w:tabs>
                <w:tab w:val="left" w:pos="1089"/>
              </w:tabs>
              <w:spacing w:after="0"/>
              <w:rPr>
                <w:rFonts w:eastAsia="Times New Roman" w:cstheme="minorHAnsi"/>
                <w:lang w:eastAsia="en-GB"/>
              </w:rPr>
            </w:pPr>
            <w:r w:rsidRPr="002D255E">
              <w:rPr>
                <w:rFonts w:eastAsia="Times New Roman" w:cstheme="minorHAnsi"/>
                <w:lang w:eastAsia="en-GB"/>
              </w:rPr>
              <w:t>If methotrexate-induced lung disease is suspected, discuss with specialist team urgently and withhold treatment. Treat with corticosteroids as directed by a specialist and do not restart methotrexate.</w:t>
            </w:r>
          </w:p>
        </w:tc>
      </w:tr>
      <w:tr w:rsidR="00E0175B" w:rsidRPr="002D255E" w14:paraId="782396B4" w14:textId="77777777" w:rsidTr="7234176C">
        <w:trPr>
          <w:trHeight w:val="78"/>
          <w:jc w:val="center"/>
        </w:trPr>
        <w:tc>
          <w:tcPr>
            <w:tcW w:w="5227" w:type="dxa"/>
            <w:gridSpan w:val="2"/>
            <w:tcBorders>
              <w:bottom w:val="single" w:sz="4" w:space="0" w:color="auto"/>
            </w:tcBorders>
          </w:tcPr>
          <w:p w14:paraId="2BC768C6" w14:textId="3549CE78" w:rsidR="00E0175B" w:rsidRPr="002D255E" w:rsidRDefault="00E0175B" w:rsidP="00E0175B">
            <w:pPr>
              <w:spacing w:after="0"/>
              <w:rPr>
                <w:rFonts w:eastAsia="Times New Roman" w:cs="Arial"/>
                <w:bCs/>
                <w:lang w:eastAsia="en-GB"/>
              </w:rPr>
            </w:pPr>
            <w:r w:rsidRPr="002D255E">
              <w:rPr>
                <w:rFonts w:eastAsia="Times New Roman" w:cs="Arial"/>
                <w:b/>
                <w:bCs/>
                <w:lang w:eastAsia="en-GB"/>
              </w:rPr>
              <w:t>Photosensitivity</w:t>
            </w:r>
          </w:p>
        </w:tc>
        <w:tc>
          <w:tcPr>
            <w:tcW w:w="5228" w:type="dxa"/>
            <w:tcBorders>
              <w:bottom w:val="single" w:sz="4" w:space="0" w:color="auto"/>
            </w:tcBorders>
          </w:tcPr>
          <w:p w14:paraId="1C0B4A06" w14:textId="6652ABF5" w:rsidR="00E0175B" w:rsidRPr="002D255E" w:rsidRDefault="00E0175B" w:rsidP="00E0175B">
            <w:pPr>
              <w:tabs>
                <w:tab w:val="left" w:pos="1089"/>
              </w:tabs>
              <w:spacing w:after="0"/>
              <w:rPr>
                <w:rFonts w:eastAsia="Times New Roman" w:cstheme="minorHAnsi"/>
                <w:lang w:eastAsia="en-GB"/>
              </w:rPr>
            </w:pPr>
            <w:r w:rsidRPr="002D255E">
              <w:rPr>
                <w:rFonts w:eastAsia="Times New Roman" w:cstheme="minorHAnsi"/>
                <w:lang w:eastAsia="en-GB"/>
              </w:rPr>
              <w:t>Continue methotrexate. Reinforce appropriate self-care e.g. sun avoidance and purchasing of a broad spectrum sunscreen (at least SPF30).</w:t>
            </w:r>
          </w:p>
        </w:tc>
      </w:tr>
      <w:tr w:rsidR="00E0175B" w:rsidRPr="002D255E" w14:paraId="6A873BD7" w14:textId="77777777" w:rsidTr="7234176C">
        <w:trPr>
          <w:trHeight w:val="78"/>
          <w:jc w:val="center"/>
        </w:trPr>
        <w:tc>
          <w:tcPr>
            <w:tcW w:w="5227" w:type="dxa"/>
            <w:gridSpan w:val="2"/>
            <w:tcBorders>
              <w:bottom w:val="single" w:sz="4" w:space="0" w:color="auto"/>
            </w:tcBorders>
          </w:tcPr>
          <w:p w14:paraId="09B81C07" w14:textId="2D9B2C5A" w:rsidR="00E0175B" w:rsidRPr="002D255E" w:rsidRDefault="00E0175B" w:rsidP="00E0175B">
            <w:pPr>
              <w:spacing w:after="0"/>
              <w:rPr>
                <w:rFonts w:eastAsia="Times New Roman" w:cs="Arial"/>
                <w:bCs/>
                <w:lang w:eastAsia="en-GB"/>
              </w:rPr>
            </w:pPr>
            <w:r w:rsidRPr="002D255E">
              <w:rPr>
                <w:rFonts w:eastAsia="Times New Roman" w:cs="Arial"/>
                <w:b/>
                <w:bCs/>
                <w:lang w:eastAsia="en-GB"/>
              </w:rPr>
              <w:t>Pregnancy</w:t>
            </w:r>
          </w:p>
        </w:tc>
        <w:tc>
          <w:tcPr>
            <w:tcW w:w="5228" w:type="dxa"/>
            <w:tcBorders>
              <w:bottom w:val="single" w:sz="4" w:space="0" w:color="auto"/>
            </w:tcBorders>
          </w:tcPr>
          <w:p w14:paraId="545C62D3" w14:textId="77777777" w:rsidR="00E0175B" w:rsidRPr="002D255E" w:rsidRDefault="00E0175B" w:rsidP="00E0175B">
            <w:pPr>
              <w:numPr>
                <w:ilvl w:val="0"/>
                <w:numId w:val="34"/>
              </w:numPr>
              <w:tabs>
                <w:tab w:val="left" w:pos="1089"/>
              </w:tabs>
              <w:spacing w:after="0"/>
              <w:rPr>
                <w:rFonts w:eastAsia="Times New Roman" w:cstheme="minorHAnsi"/>
                <w:lang w:eastAsia="en-GB"/>
              </w:rPr>
            </w:pPr>
            <w:r w:rsidRPr="002D255E">
              <w:rPr>
                <w:rFonts w:eastAsia="Times New Roman" w:cstheme="minorHAnsi"/>
                <w:lang w:eastAsia="en-GB"/>
              </w:rPr>
              <w:t xml:space="preserve">In pregnant patients, stop methotrexate immediately and prescribe folic acid 5 mg/day. Discuss with specialist team urgently. See </w:t>
            </w:r>
            <w:hyperlink w:anchor="Twelve_pregnancy_paternity" w:history="1">
              <w:r w:rsidRPr="002D255E">
                <w:rPr>
                  <w:rStyle w:val="Hyperlink"/>
                  <w:rFonts w:eastAsia="Times New Roman" w:cstheme="minorHAnsi"/>
                  <w:lang w:eastAsia="en-GB"/>
                </w:rPr>
                <w:t>section 12</w:t>
              </w:r>
            </w:hyperlink>
            <w:r w:rsidRPr="002D255E">
              <w:rPr>
                <w:rFonts w:eastAsia="Times New Roman" w:cstheme="minorHAnsi"/>
                <w:lang w:eastAsia="en-GB"/>
              </w:rPr>
              <w:t xml:space="preserve">. </w:t>
            </w:r>
          </w:p>
          <w:p w14:paraId="7717E3B3" w14:textId="61BABFC9" w:rsidR="00E0175B" w:rsidRPr="002D255E" w:rsidRDefault="00E0175B" w:rsidP="00E0175B">
            <w:pPr>
              <w:numPr>
                <w:ilvl w:val="0"/>
                <w:numId w:val="34"/>
              </w:numPr>
              <w:tabs>
                <w:tab w:val="left" w:pos="1089"/>
              </w:tabs>
              <w:spacing w:after="0"/>
              <w:rPr>
                <w:rFonts w:eastAsia="Times New Roman" w:cstheme="minorHAnsi"/>
                <w:lang w:eastAsia="en-GB"/>
              </w:rPr>
            </w:pPr>
            <w:r w:rsidRPr="002D255E">
              <w:rPr>
                <w:rFonts w:eastAsia="Times New Roman" w:cstheme="minorHAnsi"/>
                <w:lang w:eastAsia="en-GB"/>
              </w:rPr>
              <w:t xml:space="preserve">In pregnancies with paternal exposure, see </w:t>
            </w:r>
            <w:hyperlink w:anchor="Twelve_pregnancy_paternity" w:history="1">
              <w:r w:rsidRPr="002D255E">
                <w:rPr>
                  <w:rStyle w:val="Hyperlink"/>
                  <w:rFonts w:eastAsia="Times New Roman" w:cstheme="minorHAnsi"/>
                  <w:lang w:eastAsia="en-GB"/>
                </w:rPr>
                <w:t>section 12</w:t>
              </w:r>
            </w:hyperlink>
            <w:r w:rsidRPr="002D255E">
              <w:rPr>
                <w:rFonts w:eastAsia="Times New Roman" w:cstheme="minorHAnsi"/>
                <w:lang w:eastAsia="en-GB"/>
              </w:rPr>
              <w:t>.</w:t>
            </w:r>
          </w:p>
        </w:tc>
      </w:tr>
      <w:tr w:rsidR="00E0175B" w:rsidRPr="002D255E" w14:paraId="2008B3A6" w14:textId="77777777" w:rsidTr="7234176C">
        <w:trPr>
          <w:jc w:val="center"/>
        </w:trPr>
        <w:tc>
          <w:tcPr>
            <w:tcW w:w="10455" w:type="dxa"/>
            <w:gridSpan w:val="3"/>
            <w:tcBorders>
              <w:bottom w:val="nil"/>
            </w:tcBorders>
            <w:shd w:val="clear" w:color="auto" w:fill="F2F2F2" w:themeFill="background1" w:themeFillShade="F2"/>
          </w:tcPr>
          <w:p w14:paraId="077ED3AB" w14:textId="17AE4BBA" w:rsidR="00E0175B" w:rsidRPr="002D255E" w:rsidRDefault="00E0175B" w:rsidP="00E0175B">
            <w:pPr>
              <w:pStyle w:val="Heading1"/>
              <w:tabs>
                <w:tab w:val="right" w:pos="10240"/>
              </w:tabs>
              <w:ind w:left="599" w:hanging="599"/>
              <w:rPr>
                <w:lang w:eastAsia="en-GB"/>
              </w:rPr>
            </w:pPr>
            <w:bookmarkStart w:id="16" w:name="Eleven_advice_to_patients"/>
            <w:r w:rsidRPr="002D255E">
              <w:rPr>
                <w:lang w:eastAsia="en-GB"/>
              </w:rPr>
              <w:t>Advice to patients and carers</w:t>
            </w:r>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bookmarkEnd w:id="16"/>
          <w:p w14:paraId="3F28EC94" w14:textId="278AF31B" w:rsidR="00E0175B" w:rsidRPr="002D255E" w:rsidRDefault="00E0175B" w:rsidP="00E0175B">
            <w:pPr>
              <w:rPr>
                <w:lang w:eastAsia="en-GB"/>
              </w:rPr>
            </w:pPr>
            <w:r w:rsidRPr="002D255E">
              <w:rPr>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E0175B" w:rsidRPr="002D255E" w14:paraId="2A2B1EB7" w14:textId="77777777" w:rsidTr="7234176C">
        <w:trPr>
          <w:jc w:val="center"/>
        </w:trPr>
        <w:tc>
          <w:tcPr>
            <w:tcW w:w="10455" w:type="dxa"/>
            <w:gridSpan w:val="3"/>
            <w:tcBorders>
              <w:top w:val="nil"/>
              <w:bottom w:val="single" w:sz="4" w:space="0" w:color="auto"/>
            </w:tcBorders>
          </w:tcPr>
          <w:p w14:paraId="429A3470" w14:textId="77777777" w:rsidR="00E0175B" w:rsidRPr="002D255E" w:rsidRDefault="00E0175B" w:rsidP="00E0175B">
            <w:pPr>
              <w:spacing w:before="60" w:after="60" w:line="240" w:lineRule="auto"/>
              <w:rPr>
                <w:rFonts w:eastAsia="Times New Roman" w:cs="Arial"/>
                <w:b/>
                <w:szCs w:val="24"/>
                <w:lang w:eastAsia="en-GB"/>
              </w:rPr>
            </w:pPr>
            <w:r w:rsidRPr="002D255E">
              <w:rPr>
                <w:rFonts w:eastAsia="Times New Roman" w:cs="Arial"/>
                <w:b/>
                <w:szCs w:val="24"/>
                <w:lang w:eastAsia="en-GB"/>
              </w:rPr>
              <w:t xml:space="preserve">The patient should be advised to report any of the following signs or symptoms to their primary care prescriber without delay:          </w:t>
            </w:r>
          </w:p>
          <w:p w14:paraId="30DA8986" w14:textId="77777777" w:rsidR="00E0175B" w:rsidRPr="002D255E" w:rsidRDefault="00E0175B" w:rsidP="00E0175B">
            <w:pPr>
              <w:pStyle w:val="ListParagraph"/>
              <w:numPr>
                <w:ilvl w:val="0"/>
                <w:numId w:val="3"/>
              </w:numPr>
              <w:spacing w:before="60" w:after="60" w:line="240" w:lineRule="auto"/>
              <w:contextualSpacing/>
              <w:rPr>
                <w:rFonts w:eastAsia="Times New Roman" w:cs="Arial"/>
                <w:szCs w:val="24"/>
                <w:lang w:eastAsia="en-GB"/>
              </w:rPr>
            </w:pPr>
            <w:r w:rsidRPr="002D255E">
              <w:rPr>
                <w:rFonts w:eastAsia="Times New Roman" w:cs="Arial"/>
                <w:szCs w:val="24"/>
                <w:lang w:eastAsia="en-GB"/>
              </w:rPr>
              <w:t>Symptoms of chickenpox, or contact with a person with chickenpox or shingles.</w:t>
            </w:r>
          </w:p>
          <w:p w14:paraId="4ADAB58B" w14:textId="77777777" w:rsidR="00E0175B" w:rsidRPr="002D255E" w:rsidRDefault="00E0175B" w:rsidP="00E0175B">
            <w:pPr>
              <w:pStyle w:val="ListParagraph"/>
              <w:numPr>
                <w:ilvl w:val="0"/>
                <w:numId w:val="3"/>
              </w:numPr>
              <w:spacing w:before="60" w:after="60" w:line="240" w:lineRule="auto"/>
              <w:contextualSpacing/>
              <w:rPr>
                <w:rFonts w:eastAsia="Times New Roman" w:cs="Arial"/>
                <w:szCs w:val="24"/>
                <w:lang w:eastAsia="en-GB"/>
              </w:rPr>
            </w:pPr>
            <w:r w:rsidRPr="002D255E">
              <w:rPr>
                <w:rFonts w:eastAsia="Times New Roman" w:cs="Arial"/>
                <w:szCs w:val="24"/>
                <w:lang w:eastAsia="en-GB"/>
              </w:rPr>
              <w:t>Persistent cough, shortness of breath, or any other problems with breathing.</w:t>
            </w:r>
          </w:p>
          <w:p w14:paraId="4373637F" w14:textId="77777777" w:rsidR="00E0175B" w:rsidRPr="002D255E" w:rsidRDefault="00E0175B" w:rsidP="00E0175B">
            <w:pPr>
              <w:pStyle w:val="ListParagraph"/>
              <w:numPr>
                <w:ilvl w:val="0"/>
                <w:numId w:val="3"/>
              </w:numPr>
              <w:spacing w:before="60" w:after="60" w:line="240" w:lineRule="auto"/>
              <w:contextualSpacing/>
              <w:rPr>
                <w:rFonts w:eastAsia="Times New Roman" w:cs="Arial"/>
                <w:szCs w:val="24"/>
                <w:lang w:eastAsia="en-GB"/>
              </w:rPr>
            </w:pPr>
            <w:r w:rsidRPr="002D255E">
              <w:rPr>
                <w:rFonts w:eastAsia="Times New Roman" w:cs="Arial"/>
                <w:szCs w:val="24"/>
                <w:lang w:eastAsia="en-GB"/>
              </w:rPr>
              <w:t>Sore throat, mouth ulcers, high temperature, skin rash, swollen glands, or any other signs or symptoms of infection</w:t>
            </w:r>
          </w:p>
          <w:p w14:paraId="3CBCDC59" w14:textId="77777777" w:rsidR="00E0175B" w:rsidRPr="002D255E" w:rsidRDefault="00E0175B" w:rsidP="00E0175B">
            <w:pPr>
              <w:pStyle w:val="ListParagraph"/>
              <w:numPr>
                <w:ilvl w:val="0"/>
                <w:numId w:val="3"/>
              </w:numPr>
              <w:spacing w:before="60" w:after="60" w:line="240" w:lineRule="auto"/>
              <w:contextualSpacing/>
              <w:rPr>
                <w:rFonts w:eastAsia="Times New Roman" w:cs="Arial"/>
                <w:szCs w:val="24"/>
                <w:lang w:eastAsia="en-GB"/>
              </w:rPr>
            </w:pPr>
            <w:r w:rsidRPr="002D255E">
              <w:rPr>
                <w:rFonts w:eastAsia="Times New Roman" w:cs="Arial"/>
                <w:szCs w:val="24"/>
                <w:lang w:eastAsia="en-GB"/>
              </w:rPr>
              <w:t>Signs or symptoms of liver problems, such as yellow skin or eyes (jaundice), itching all over, nausea or vomiting.</w:t>
            </w:r>
          </w:p>
          <w:p w14:paraId="345E1AAC" w14:textId="77777777" w:rsidR="00E0175B" w:rsidRPr="002D255E" w:rsidRDefault="00E0175B" w:rsidP="00E0175B">
            <w:pPr>
              <w:pStyle w:val="ListParagraph"/>
              <w:numPr>
                <w:ilvl w:val="0"/>
                <w:numId w:val="3"/>
              </w:numPr>
              <w:spacing w:before="60" w:after="60" w:line="240" w:lineRule="auto"/>
              <w:contextualSpacing/>
              <w:rPr>
                <w:rFonts w:eastAsia="Times New Roman" w:cs="Arial"/>
                <w:szCs w:val="24"/>
                <w:lang w:eastAsia="en-GB"/>
              </w:rPr>
            </w:pPr>
            <w:r w:rsidRPr="002D255E">
              <w:rPr>
                <w:rFonts w:eastAsia="Times New Roman" w:cs="Arial"/>
                <w:szCs w:val="24"/>
                <w:lang w:eastAsia="en-GB"/>
              </w:rPr>
              <w:t>Swelling of the hands, feet, or ankles</w:t>
            </w:r>
          </w:p>
          <w:p w14:paraId="1932183F" w14:textId="77777777" w:rsidR="00E0175B" w:rsidRPr="002D255E" w:rsidRDefault="00E0175B" w:rsidP="00E0175B">
            <w:pPr>
              <w:pStyle w:val="ListParagraph"/>
              <w:numPr>
                <w:ilvl w:val="0"/>
                <w:numId w:val="3"/>
              </w:numPr>
              <w:spacing w:before="60" w:after="60" w:line="240" w:lineRule="auto"/>
              <w:contextualSpacing/>
              <w:rPr>
                <w:rFonts w:eastAsia="Times New Roman" w:cs="Arial"/>
                <w:szCs w:val="24"/>
                <w:lang w:eastAsia="en-GB"/>
              </w:rPr>
            </w:pPr>
            <w:r w:rsidRPr="002D255E">
              <w:rPr>
                <w:rFonts w:eastAsia="Times New Roman" w:cs="Arial"/>
                <w:szCs w:val="24"/>
                <w:lang w:eastAsia="en-GB"/>
              </w:rPr>
              <w:t>Unexplained bleeding or bruising, black stools, or blood in the vomit or stools.</w:t>
            </w:r>
          </w:p>
          <w:p w14:paraId="31D8E19C" w14:textId="77777777" w:rsidR="00E0175B" w:rsidRPr="002D255E" w:rsidRDefault="00E0175B" w:rsidP="00E0175B">
            <w:pPr>
              <w:pStyle w:val="ListParagraph"/>
              <w:numPr>
                <w:ilvl w:val="0"/>
                <w:numId w:val="3"/>
              </w:numPr>
              <w:spacing w:before="60" w:after="60" w:line="240" w:lineRule="auto"/>
              <w:contextualSpacing/>
              <w:rPr>
                <w:rFonts w:eastAsia="Times New Roman" w:cs="Arial"/>
                <w:szCs w:val="24"/>
                <w:lang w:eastAsia="en-GB"/>
              </w:rPr>
            </w:pPr>
            <w:r w:rsidRPr="002D255E">
              <w:rPr>
                <w:rFonts w:eastAsia="Times New Roman" w:cs="Arial"/>
                <w:szCs w:val="24"/>
                <w:lang w:eastAsia="en-GB"/>
              </w:rPr>
              <w:t xml:space="preserve">Suspected or confirmed pregnancy. </w:t>
            </w:r>
          </w:p>
          <w:p w14:paraId="6853E467" w14:textId="77777777" w:rsidR="00E0175B" w:rsidRPr="002D255E" w:rsidRDefault="00E0175B" w:rsidP="00E0175B">
            <w:pPr>
              <w:spacing w:before="60" w:after="60" w:line="240" w:lineRule="auto"/>
              <w:rPr>
                <w:rFonts w:eastAsia="Times New Roman" w:cs="Arial"/>
                <w:szCs w:val="24"/>
                <w:lang w:eastAsia="en-GB"/>
              </w:rPr>
            </w:pPr>
          </w:p>
          <w:p w14:paraId="756E2F3D" w14:textId="77777777" w:rsidR="00E0175B" w:rsidRPr="002D255E" w:rsidRDefault="00E0175B" w:rsidP="00E0175B">
            <w:pPr>
              <w:spacing w:before="60" w:after="60" w:line="240" w:lineRule="auto"/>
              <w:rPr>
                <w:rFonts w:eastAsia="Times New Roman" w:cs="Arial"/>
                <w:b/>
                <w:szCs w:val="24"/>
                <w:lang w:eastAsia="en-GB"/>
              </w:rPr>
            </w:pPr>
            <w:r w:rsidRPr="002D255E">
              <w:rPr>
                <w:rFonts w:eastAsia="Times New Roman" w:cs="Arial"/>
                <w:b/>
                <w:szCs w:val="24"/>
                <w:lang w:eastAsia="en-GB"/>
              </w:rPr>
              <w:t>The patient and/or carer should be advised:</w:t>
            </w:r>
          </w:p>
          <w:p w14:paraId="1F171F9D" w14:textId="77777777" w:rsidR="00E0175B" w:rsidRPr="002D255E" w:rsidRDefault="00E0175B" w:rsidP="00E0175B">
            <w:pPr>
              <w:pStyle w:val="ListParagraph"/>
              <w:numPr>
                <w:ilvl w:val="0"/>
                <w:numId w:val="3"/>
              </w:numPr>
              <w:spacing w:before="60" w:after="60" w:line="240" w:lineRule="auto"/>
              <w:ind w:left="357" w:hanging="357"/>
              <w:contextualSpacing/>
              <w:rPr>
                <w:rFonts w:eastAsia="Times New Roman" w:cs="Arial"/>
                <w:szCs w:val="24"/>
                <w:lang w:eastAsia="en-GB"/>
              </w:rPr>
            </w:pPr>
            <w:r w:rsidRPr="002D255E">
              <w:rPr>
                <w:rFonts w:eastAsia="Times New Roman" w:cs="Arial"/>
                <w:szCs w:val="24"/>
                <w:lang w:eastAsia="en-GB"/>
              </w:rPr>
              <w:lastRenderedPageBreak/>
              <w:t xml:space="preserve">What shared care means for their treatment, what to expect, and their responsibilities under shared care. </w:t>
            </w:r>
          </w:p>
          <w:p w14:paraId="5524859A" w14:textId="77777777" w:rsidR="00E0175B" w:rsidRPr="002D255E" w:rsidRDefault="00E0175B" w:rsidP="00E0175B">
            <w:pPr>
              <w:pStyle w:val="ListParagraph"/>
              <w:numPr>
                <w:ilvl w:val="0"/>
                <w:numId w:val="3"/>
              </w:numPr>
              <w:spacing w:before="60" w:after="60" w:line="240" w:lineRule="auto"/>
              <w:ind w:left="357" w:hanging="357"/>
              <w:contextualSpacing/>
              <w:rPr>
                <w:rFonts w:eastAsia="Times New Roman" w:cs="Arial"/>
                <w:szCs w:val="24"/>
                <w:lang w:eastAsia="en-GB"/>
              </w:rPr>
            </w:pPr>
            <w:r w:rsidRPr="002D255E">
              <w:rPr>
                <w:rFonts w:eastAsia="Times New Roman" w:cs="Arial"/>
                <w:szCs w:val="24"/>
                <w:lang w:eastAsia="en-GB"/>
              </w:rPr>
              <w:t xml:space="preserve">Methotrexate is taken </w:t>
            </w:r>
            <w:r w:rsidRPr="002D255E">
              <w:rPr>
                <w:rFonts w:eastAsia="Times New Roman" w:cs="Arial"/>
                <w:b/>
                <w:szCs w:val="24"/>
                <w:u w:val="single"/>
                <w:lang w:eastAsia="en-GB"/>
              </w:rPr>
              <w:t>once weekly</w:t>
            </w:r>
            <w:r w:rsidRPr="002D255E">
              <w:rPr>
                <w:rFonts w:eastAsia="Times New Roman" w:cs="Arial"/>
                <w:szCs w:val="24"/>
                <w:lang w:eastAsia="en-GB"/>
              </w:rPr>
              <w:t xml:space="preserve">, and taking it more frequently can be dangerous. If a patient thinks they have taken too much methotrexate they should immediately seek advice from their prescriber, or NHS 111. </w:t>
            </w:r>
          </w:p>
          <w:p w14:paraId="75264E4B" w14:textId="77777777" w:rsidR="00E0175B" w:rsidRPr="002D255E" w:rsidRDefault="00E0175B" w:rsidP="00E0175B">
            <w:pPr>
              <w:pStyle w:val="ListParagraph"/>
              <w:numPr>
                <w:ilvl w:val="0"/>
                <w:numId w:val="3"/>
              </w:numPr>
              <w:spacing w:before="60" w:after="60" w:line="240" w:lineRule="auto"/>
              <w:ind w:left="357" w:hanging="357"/>
              <w:contextualSpacing/>
              <w:rPr>
                <w:rFonts w:eastAsia="Times New Roman" w:cs="Arial"/>
                <w:szCs w:val="24"/>
                <w:lang w:eastAsia="en-GB"/>
              </w:rPr>
            </w:pPr>
            <w:r w:rsidRPr="002D255E">
              <w:rPr>
                <w:rFonts w:eastAsia="Times New Roman" w:cs="Arial"/>
                <w:szCs w:val="24"/>
                <w:lang w:eastAsia="en-GB"/>
              </w:rPr>
              <w:t xml:space="preserve">For patients taking tablets, that they will only ever be prescribed methotrexate 2.5 mg tablets. </w:t>
            </w:r>
            <w:r w:rsidRPr="002D255E">
              <w:rPr>
                <w:rFonts w:eastAsia="Times New Roman" w:cs="Arial"/>
                <w:b/>
                <w:szCs w:val="24"/>
                <w:u w:val="single"/>
                <w:lang w:eastAsia="en-GB"/>
              </w:rPr>
              <w:t>Patients who receive 10 mg tablets should always question the discrepancy</w:t>
            </w:r>
            <w:r w:rsidRPr="002D255E">
              <w:rPr>
                <w:rFonts w:eastAsia="Times New Roman" w:cs="Arial"/>
                <w:szCs w:val="24"/>
                <w:lang w:eastAsia="en-GB"/>
              </w:rPr>
              <w:t xml:space="preserve">. </w:t>
            </w:r>
          </w:p>
          <w:p w14:paraId="59967BEB" w14:textId="77777777" w:rsidR="00E0175B" w:rsidRPr="002D255E" w:rsidRDefault="00E0175B" w:rsidP="00E0175B">
            <w:pPr>
              <w:pStyle w:val="ListParagraph"/>
              <w:numPr>
                <w:ilvl w:val="0"/>
                <w:numId w:val="3"/>
              </w:numPr>
              <w:spacing w:before="60" w:after="60" w:line="240" w:lineRule="auto"/>
              <w:ind w:left="357" w:hanging="357"/>
              <w:contextualSpacing/>
              <w:rPr>
                <w:rFonts w:eastAsia="Times New Roman" w:cs="Arial"/>
                <w:szCs w:val="24"/>
                <w:lang w:eastAsia="en-GB"/>
              </w:rPr>
            </w:pPr>
            <w:r w:rsidRPr="002D255E">
              <w:rPr>
                <w:rFonts w:eastAsia="Times New Roman" w:cs="Arial"/>
                <w:szCs w:val="24"/>
                <w:lang w:eastAsia="en-GB"/>
              </w:rPr>
              <w:t xml:space="preserve">Which day or days they should take their folic acid, with emphasis that methotrexate and folic acid should not be taken on the same day. </w:t>
            </w:r>
          </w:p>
          <w:p w14:paraId="7D1CDD21" w14:textId="77777777" w:rsidR="00E0175B" w:rsidRPr="002D255E" w:rsidRDefault="00E0175B" w:rsidP="00E0175B">
            <w:pPr>
              <w:pStyle w:val="ListParagraph"/>
              <w:numPr>
                <w:ilvl w:val="0"/>
                <w:numId w:val="3"/>
              </w:numPr>
              <w:spacing w:before="60" w:after="60" w:line="240" w:lineRule="auto"/>
              <w:ind w:left="357" w:hanging="357"/>
              <w:contextualSpacing/>
              <w:rPr>
                <w:rFonts w:eastAsia="Times New Roman" w:cs="Arial"/>
                <w:szCs w:val="24"/>
                <w:lang w:eastAsia="en-GB"/>
              </w:rPr>
            </w:pPr>
            <w:r w:rsidRPr="002D255E">
              <w:rPr>
                <w:rFonts w:eastAsia="Times New Roman" w:cs="Arial"/>
                <w:szCs w:val="24"/>
                <w:lang w:eastAsia="en-GB"/>
              </w:rPr>
              <w:t>Moderate their alcohol intake to no more than 14 units per week while taking methotrexate.</w:t>
            </w:r>
            <w:r w:rsidRPr="002D255E">
              <w:rPr>
                <w:rFonts w:cs="Arial"/>
                <w:szCs w:val="24"/>
              </w:rPr>
              <w:t xml:space="preserve"> More information can be found at </w:t>
            </w:r>
            <w:hyperlink r:id="rId40" w:history="1">
              <w:r w:rsidRPr="002D255E">
                <w:rPr>
                  <w:rStyle w:val="Hyperlink"/>
                  <w:rFonts w:cs="Arial"/>
                  <w:szCs w:val="24"/>
                </w:rPr>
                <w:t>https://www.nhs.uk/live-well/alcohol-support/calculating-alcohol-units/</w:t>
              </w:r>
            </w:hyperlink>
            <w:r w:rsidRPr="002D255E">
              <w:rPr>
                <w:rFonts w:cs="Arial"/>
                <w:szCs w:val="24"/>
              </w:rPr>
              <w:t>.</w:t>
            </w:r>
            <w:r w:rsidRPr="002D255E">
              <w:rPr>
                <w:rFonts w:eastAsia="Times New Roman" w:cs="Arial"/>
                <w:szCs w:val="24"/>
                <w:lang w:eastAsia="en-GB"/>
              </w:rPr>
              <w:t xml:space="preserve"> Taking alcohol and methotrexate together increases the risk of liver injury. </w:t>
            </w:r>
          </w:p>
          <w:p w14:paraId="575C375E" w14:textId="77777777" w:rsidR="00E0175B" w:rsidRPr="002D255E" w:rsidRDefault="00E0175B" w:rsidP="00E0175B">
            <w:pPr>
              <w:pStyle w:val="Default"/>
              <w:numPr>
                <w:ilvl w:val="0"/>
                <w:numId w:val="3"/>
              </w:numPr>
              <w:spacing w:before="60" w:after="60"/>
              <w:ind w:left="357" w:hanging="357"/>
              <w:contextualSpacing/>
              <w:rPr>
                <w:bCs/>
                <w:color w:val="auto"/>
              </w:rPr>
            </w:pPr>
            <w:r w:rsidRPr="002D255E">
              <w:rPr>
                <w:bCs/>
                <w:iCs/>
                <w:color w:val="auto"/>
              </w:rPr>
              <w:t>Tell anyone who prescribes them a medicine that they are taking methotrexate. Always ask a pharmacist before purchasing any medicines over the counter, including herbal remedies, and ask if they are safe.</w:t>
            </w:r>
          </w:p>
          <w:p w14:paraId="07C4FF12" w14:textId="77777777" w:rsidR="00E0175B" w:rsidRPr="002D255E" w:rsidRDefault="00E0175B" w:rsidP="00E0175B">
            <w:pPr>
              <w:pStyle w:val="ListParagraph"/>
              <w:numPr>
                <w:ilvl w:val="0"/>
                <w:numId w:val="3"/>
              </w:numPr>
              <w:spacing w:before="60" w:after="60" w:line="240" w:lineRule="auto"/>
              <w:ind w:left="357" w:hanging="357"/>
              <w:contextualSpacing/>
              <w:rPr>
                <w:rFonts w:eastAsia="Times New Roman" w:cs="Arial"/>
                <w:szCs w:val="24"/>
                <w:lang w:eastAsia="en-GB"/>
              </w:rPr>
            </w:pPr>
            <w:r w:rsidRPr="002D255E">
              <w:rPr>
                <w:rFonts w:eastAsia="Times New Roman" w:cs="Arial"/>
                <w:szCs w:val="24"/>
                <w:lang w:eastAsia="en-GB"/>
              </w:rPr>
              <w:t xml:space="preserve">Skin may be more sensitive to exposure to UV light while taking methotrexate. If this occurs use appropriate self-care: e.g. sun avoidance, protective clothing, avoiding tanning (including tanning beds) and to purchase and use a broad spectrum sunscreen (at least SPF30).  </w:t>
            </w:r>
          </w:p>
          <w:p w14:paraId="2B7A1AED" w14:textId="77777777" w:rsidR="00E0175B" w:rsidRPr="002D255E" w:rsidRDefault="00E0175B" w:rsidP="00E0175B">
            <w:pPr>
              <w:pStyle w:val="ListParagraph"/>
              <w:numPr>
                <w:ilvl w:val="0"/>
                <w:numId w:val="3"/>
              </w:numPr>
              <w:spacing w:before="60" w:after="60" w:line="240" w:lineRule="auto"/>
              <w:ind w:left="357" w:hanging="357"/>
              <w:contextualSpacing/>
              <w:rPr>
                <w:rFonts w:eastAsia="Times New Roman" w:cs="Arial"/>
                <w:szCs w:val="24"/>
                <w:lang w:eastAsia="en-GB"/>
              </w:rPr>
            </w:pPr>
            <w:r w:rsidRPr="002D255E">
              <w:rPr>
                <w:rFonts w:eastAsia="Times New Roman" w:cs="Arial"/>
                <w:szCs w:val="24"/>
                <w:lang w:eastAsia="en-GB"/>
              </w:rPr>
              <w:t>To use effective contraception,</w:t>
            </w:r>
            <w:r w:rsidRPr="002D255E">
              <w:rPr>
                <w:rFonts w:cs="Arial"/>
                <w:szCs w:val="24"/>
              </w:rPr>
              <w:t xml:space="preserve"> and to </w:t>
            </w:r>
            <w:r w:rsidRPr="002D255E">
              <w:rPr>
                <w:rFonts w:eastAsia="Times New Roman" w:cs="Arial"/>
                <w:szCs w:val="24"/>
                <w:lang w:eastAsia="en-GB"/>
              </w:rPr>
              <w:t xml:space="preserve">take a pregnancy test if they think they could be pregnant. Patients should inform the specialist or GP immediately if they become pregnant. All patients, both men and women, should inform their specialist well in advance if they are planning a pregnancy so that changes can be made to their treatment regime. </w:t>
            </w:r>
          </w:p>
          <w:p w14:paraId="0667B138" w14:textId="77777777" w:rsidR="00E0175B" w:rsidRPr="002D255E" w:rsidRDefault="00E0175B" w:rsidP="00E0175B">
            <w:pPr>
              <w:pStyle w:val="ListParagraph"/>
              <w:numPr>
                <w:ilvl w:val="0"/>
                <w:numId w:val="3"/>
              </w:numPr>
              <w:spacing w:before="60" w:after="60" w:line="240" w:lineRule="auto"/>
              <w:ind w:left="357" w:hanging="357"/>
              <w:contextualSpacing/>
              <w:rPr>
                <w:rFonts w:eastAsia="Times New Roman" w:cs="Arial"/>
                <w:szCs w:val="24"/>
                <w:lang w:eastAsia="en-GB"/>
              </w:rPr>
            </w:pPr>
            <w:r w:rsidRPr="002D255E">
              <w:rPr>
                <w:rFonts w:eastAsia="Times New Roman" w:cs="Arial"/>
                <w:szCs w:val="24"/>
                <w:lang w:eastAsia="en-GB"/>
              </w:rPr>
              <w:t xml:space="preserve">Not to drive or operate heavy machinery if methotrexate affects their ability to do so safely, e.g. due to fatigue or dizziness. </w:t>
            </w:r>
          </w:p>
          <w:p w14:paraId="530670E2" w14:textId="77777777" w:rsidR="00E0175B" w:rsidRPr="002D255E" w:rsidRDefault="00E0175B" w:rsidP="00E0175B">
            <w:pPr>
              <w:pStyle w:val="ListParagraph"/>
              <w:numPr>
                <w:ilvl w:val="0"/>
                <w:numId w:val="3"/>
              </w:numPr>
              <w:spacing w:before="60" w:after="60" w:line="240" w:lineRule="auto"/>
              <w:ind w:left="357" w:hanging="357"/>
              <w:contextualSpacing/>
              <w:rPr>
                <w:rFonts w:eastAsia="Times New Roman" w:cs="Arial"/>
                <w:szCs w:val="24"/>
                <w:lang w:eastAsia="en-GB"/>
              </w:rPr>
            </w:pPr>
            <w:r w:rsidRPr="002D255E">
              <w:rPr>
                <w:rFonts w:cs="Arial"/>
                <w:bCs/>
                <w:szCs w:val="24"/>
              </w:rPr>
              <w:t>That vaccination in line with current national advice (e.g. for COVID-19, influenza) is safe and recommended.</w:t>
            </w:r>
          </w:p>
          <w:p w14:paraId="39256924" w14:textId="77777777" w:rsidR="00E0175B" w:rsidRPr="002D255E" w:rsidRDefault="00E0175B" w:rsidP="00E0175B">
            <w:pPr>
              <w:pStyle w:val="Default"/>
              <w:numPr>
                <w:ilvl w:val="0"/>
                <w:numId w:val="3"/>
              </w:numPr>
              <w:spacing w:before="60" w:after="60"/>
              <w:ind w:left="357" w:hanging="357"/>
              <w:contextualSpacing/>
              <w:rPr>
                <w:bCs/>
                <w:color w:val="auto"/>
              </w:rPr>
            </w:pPr>
            <w:r w:rsidRPr="002D255E">
              <w:rPr>
                <w:bCs/>
                <w:color w:val="auto"/>
              </w:rPr>
              <w:t>For patients taking 20mg/week or more: to avoid contact with people with chicken pox or shingles and report any such contact urgently to their primary care prescriber. If the patient is exposed, contact the specialist for advice. For detailed advice on risk assessment and post exposure prophylaxis following exposure to chicken pox and shingles, see:</w:t>
            </w:r>
          </w:p>
          <w:p w14:paraId="6B3F5827" w14:textId="77777777" w:rsidR="00E0175B" w:rsidRPr="002D255E" w:rsidRDefault="00E0175B" w:rsidP="00E0175B">
            <w:pPr>
              <w:pStyle w:val="Default"/>
              <w:widowControl w:val="0"/>
              <w:numPr>
                <w:ilvl w:val="1"/>
                <w:numId w:val="3"/>
              </w:numPr>
              <w:spacing w:before="60" w:after="60"/>
              <w:contextualSpacing/>
              <w:rPr>
                <w:bCs/>
                <w:color w:val="auto"/>
              </w:rPr>
            </w:pPr>
            <w:r w:rsidRPr="002D255E">
              <w:rPr>
                <w:bCs/>
                <w:color w:val="auto"/>
              </w:rPr>
              <w:t xml:space="preserve">the </w:t>
            </w:r>
            <w:hyperlink r:id="rId41" w:history="1">
              <w:r w:rsidRPr="002D255E">
                <w:rPr>
                  <w:rStyle w:val="Hyperlink"/>
                  <w:bCs/>
                </w:rPr>
                <w:t>Green Book (Chapter 34)</w:t>
              </w:r>
            </w:hyperlink>
            <w:r w:rsidRPr="002D255E">
              <w:rPr>
                <w:bCs/>
                <w:color w:val="auto"/>
              </w:rPr>
              <w:t xml:space="preserve"> </w:t>
            </w:r>
          </w:p>
          <w:p w14:paraId="7825B458" w14:textId="4E1F2181" w:rsidR="00E0175B" w:rsidRPr="002D255E" w:rsidRDefault="00E0175B" w:rsidP="00E0175B">
            <w:pPr>
              <w:pStyle w:val="Default"/>
              <w:widowControl w:val="0"/>
              <w:numPr>
                <w:ilvl w:val="1"/>
                <w:numId w:val="3"/>
              </w:numPr>
              <w:spacing w:before="60" w:after="60"/>
              <w:contextualSpacing/>
              <w:rPr>
                <w:color w:val="auto"/>
              </w:rPr>
            </w:pPr>
            <w:r w:rsidRPr="002D255E">
              <w:rPr>
                <w:color w:val="auto"/>
              </w:rPr>
              <w:t xml:space="preserve">UKSHA guidance: </w:t>
            </w:r>
            <w:hyperlink r:id="rId42" w:history="1">
              <w:r w:rsidRPr="002D255E">
                <w:rPr>
                  <w:rStyle w:val="Hyperlink"/>
                </w:rPr>
                <w:t>Guidelines on post-exposure prophylaxis (PEP) for varicella/shingles April 2022</w:t>
              </w:r>
            </w:hyperlink>
            <w:r w:rsidRPr="002D255E">
              <w:rPr>
                <w:color w:val="auto"/>
              </w:rPr>
              <w:t xml:space="preserve"> </w:t>
            </w:r>
          </w:p>
          <w:p w14:paraId="4D60774D" w14:textId="77777777" w:rsidR="00E0175B" w:rsidRPr="002D255E" w:rsidRDefault="00E0175B" w:rsidP="00E0175B">
            <w:pPr>
              <w:spacing w:before="60" w:after="60" w:line="240" w:lineRule="auto"/>
              <w:rPr>
                <w:rFonts w:eastAsia="Times New Roman" w:cs="Arial"/>
                <w:szCs w:val="24"/>
                <w:lang w:eastAsia="en-GB"/>
              </w:rPr>
            </w:pPr>
          </w:p>
          <w:p w14:paraId="08CDA363" w14:textId="77777777" w:rsidR="00E0175B" w:rsidRPr="002D255E" w:rsidRDefault="00E0175B" w:rsidP="00E0175B">
            <w:pPr>
              <w:spacing w:before="60" w:after="60" w:line="240" w:lineRule="auto"/>
              <w:rPr>
                <w:rFonts w:eastAsia="Times New Roman" w:cs="Arial"/>
                <w:szCs w:val="24"/>
                <w:lang w:eastAsia="en-GB"/>
              </w:rPr>
            </w:pPr>
            <w:r w:rsidRPr="002D255E">
              <w:rPr>
                <w:rFonts w:eastAsia="Times New Roman" w:cs="Arial"/>
                <w:szCs w:val="24"/>
                <w:u w:val="single"/>
                <w:lang w:eastAsia="en-GB"/>
              </w:rPr>
              <w:t>Patient information</w:t>
            </w:r>
            <w:r w:rsidRPr="002D255E">
              <w:rPr>
                <w:rFonts w:eastAsia="Times New Roman" w:cs="Arial"/>
                <w:szCs w:val="24"/>
                <w:lang w:eastAsia="en-GB"/>
              </w:rPr>
              <w:t>:</w:t>
            </w:r>
          </w:p>
          <w:p w14:paraId="54A71DB2" w14:textId="5401BB58" w:rsidR="00E0175B" w:rsidRPr="002D255E" w:rsidRDefault="00E0175B" w:rsidP="00E0175B">
            <w:pPr>
              <w:autoSpaceDE w:val="0"/>
              <w:autoSpaceDN w:val="0"/>
              <w:adjustRightInd w:val="0"/>
              <w:spacing w:before="60" w:after="60"/>
              <w:rPr>
                <w:rFonts w:cs="Arial"/>
                <w:color w:val="000000"/>
                <w:szCs w:val="24"/>
              </w:rPr>
            </w:pPr>
            <w:r w:rsidRPr="002D255E">
              <w:rPr>
                <w:rFonts w:eastAsia="Times New Roman" w:cs="Arial"/>
                <w:color w:val="000000"/>
                <w:szCs w:val="24"/>
                <w:lang w:eastAsia="en-GB"/>
              </w:rPr>
              <w:t xml:space="preserve">General information: </w:t>
            </w:r>
            <w:hyperlink r:id="rId43" w:history="1">
              <w:r w:rsidRPr="002D255E">
                <w:rPr>
                  <w:rStyle w:val="Hyperlink"/>
                  <w:rFonts w:eastAsia="Times New Roman" w:cs="Arial"/>
                  <w:szCs w:val="24"/>
                  <w:lang w:eastAsia="en-GB"/>
                </w:rPr>
                <w:t>https://www.nhs.uk/medicines/methotrexate/</w:t>
              </w:r>
            </w:hyperlink>
            <w:r w:rsidRPr="002D255E">
              <w:rPr>
                <w:rFonts w:eastAsia="Times New Roman" w:cs="Arial"/>
                <w:color w:val="000000"/>
                <w:szCs w:val="24"/>
                <w:lang w:eastAsia="en-GB"/>
              </w:rPr>
              <w:t xml:space="preserve"> </w:t>
            </w:r>
          </w:p>
        </w:tc>
      </w:tr>
      <w:tr w:rsidR="00E0175B" w:rsidRPr="002D255E" w14:paraId="79305DF7" w14:textId="77777777" w:rsidTr="7234176C">
        <w:trPr>
          <w:jc w:val="center"/>
        </w:trPr>
        <w:tc>
          <w:tcPr>
            <w:tcW w:w="10455" w:type="dxa"/>
            <w:gridSpan w:val="3"/>
            <w:tcBorders>
              <w:bottom w:val="nil"/>
            </w:tcBorders>
            <w:shd w:val="clear" w:color="auto" w:fill="F2F2F2" w:themeFill="background1" w:themeFillShade="F2"/>
          </w:tcPr>
          <w:p w14:paraId="2E2ABBD7" w14:textId="4FC17E28" w:rsidR="00E0175B" w:rsidRPr="002D255E" w:rsidRDefault="00E0175B" w:rsidP="00E0175B">
            <w:pPr>
              <w:pStyle w:val="Heading1"/>
              <w:tabs>
                <w:tab w:val="right" w:pos="10240"/>
              </w:tabs>
              <w:ind w:left="599" w:hanging="599"/>
              <w:rPr>
                <w:lang w:eastAsia="en-GB"/>
              </w:rPr>
            </w:pPr>
            <w:bookmarkStart w:id="17" w:name="_Pregnancy,_paternal_exposure"/>
            <w:bookmarkStart w:id="18" w:name="Twelve_pregnancy_paternity"/>
            <w:bookmarkEnd w:id="17"/>
            <w:r w:rsidRPr="002D255E">
              <w:rPr>
                <w:lang w:eastAsia="en-GB"/>
              </w:rPr>
              <w:lastRenderedPageBreak/>
              <w:t>Pregnancy, paternal exposure and breast feeding</w:t>
            </w:r>
            <w:bookmarkEnd w:id="18"/>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p w14:paraId="5B7A2D80" w14:textId="3874F34F" w:rsidR="00E0175B" w:rsidRPr="002D255E" w:rsidRDefault="00E0175B" w:rsidP="00E0175B">
            <w:pPr>
              <w:rPr>
                <w:color w:val="000000"/>
                <w:lang w:eastAsia="en-GB"/>
              </w:rPr>
            </w:pPr>
            <w:r w:rsidRPr="002D255E">
              <w:rPr>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E0175B" w:rsidRPr="002D255E" w14:paraId="24C2F939" w14:textId="77777777" w:rsidTr="7234176C">
        <w:trPr>
          <w:jc w:val="center"/>
        </w:trPr>
        <w:tc>
          <w:tcPr>
            <w:tcW w:w="10455" w:type="dxa"/>
            <w:gridSpan w:val="3"/>
            <w:tcBorders>
              <w:top w:val="nil"/>
              <w:bottom w:val="single" w:sz="4" w:space="0" w:color="auto"/>
            </w:tcBorders>
          </w:tcPr>
          <w:p w14:paraId="77378166" w14:textId="77777777" w:rsidR="00E0175B" w:rsidRPr="002D255E" w:rsidRDefault="00E0175B" w:rsidP="00E0175B">
            <w:pPr>
              <w:autoSpaceDE w:val="0"/>
              <w:autoSpaceDN w:val="0"/>
              <w:adjustRightInd w:val="0"/>
              <w:spacing w:before="60" w:after="60" w:line="240" w:lineRule="auto"/>
              <w:rPr>
                <w:rFonts w:eastAsia="Times New Roman" w:cstheme="minorHAnsi"/>
                <w:b/>
                <w:color w:val="000000"/>
                <w:lang w:eastAsia="en-GB"/>
              </w:rPr>
            </w:pPr>
            <w:r w:rsidRPr="002D255E">
              <w:rPr>
                <w:rFonts w:eastAsia="Times New Roman" w:cstheme="minorHAnsi"/>
                <w:b/>
                <w:color w:val="000000"/>
                <w:u w:val="single"/>
                <w:lang w:eastAsia="en-GB"/>
              </w:rPr>
              <w:t>Pregnancy</w:t>
            </w:r>
            <w:r w:rsidRPr="002D255E">
              <w:rPr>
                <w:rFonts w:eastAsia="Times New Roman" w:cstheme="minorHAnsi"/>
                <w:b/>
                <w:color w:val="000000"/>
                <w:lang w:eastAsia="en-GB"/>
              </w:rPr>
              <w:t>:</w:t>
            </w:r>
          </w:p>
          <w:p w14:paraId="276C2C07"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r w:rsidRPr="002D255E">
              <w:rPr>
                <w:rFonts w:eastAsia="Times New Roman" w:cstheme="minorHAnsi"/>
                <w:color w:val="000000"/>
                <w:lang w:eastAsia="en-GB"/>
              </w:rPr>
              <w:t xml:space="preserve">Methotrexate is contraindicated in pregnancy. It is cytotoxic, and is used for termination of pregnancy and to treat ectopic pregnancy. Pregnancy should be excluded prior to starting treatment. </w:t>
            </w:r>
          </w:p>
          <w:p w14:paraId="7BE1D9B0"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r w:rsidRPr="002D255E">
              <w:rPr>
                <w:rFonts w:eastAsia="Times New Roman" w:cstheme="minorHAnsi"/>
                <w:color w:val="000000"/>
                <w:lang w:eastAsia="en-GB"/>
              </w:rPr>
              <w:lastRenderedPageBreak/>
              <w:t xml:space="preserve">Patients of child bearing potential should use effective contraception during treatment and for 3 months afterwards. If a patient becomes pregnant within 3 months of treatment with methotrexate, folic acid 5 mg daily should be continued throughout the pregnancy. Those who wish to become pregnant should speak to their prescriber to discuss the possibility of switching to an alternative medicine. </w:t>
            </w:r>
          </w:p>
          <w:p w14:paraId="22692A47"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p>
          <w:p w14:paraId="3787AAA7" w14:textId="77777777" w:rsidR="00E0175B" w:rsidRPr="002D255E" w:rsidRDefault="00E0175B" w:rsidP="00E0175B">
            <w:pPr>
              <w:autoSpaceDE w:val="0"/>
              <w:autoSpaceDN w:val="0"/>
              <w:adjustRightInd w:val="0"/>
              <w:spacing w:before="60" w:after="60" w:line="240" w:lineRule="auto"/>
              <w:rPr>
                <w:rFonts w:eastAsia="Times New Roman" w:cstheme="minorHAnsi"/>
                <w:color w:val="FF0000"/>
                <w:lang w:eastAsia="en-GB"/>
              </w:rPr>
            </w:pPr>
            <w:r w:rsidRPr="002D255E">
              <w:rPr>
                <w:rFonts w:eastAsia="Times New Roman" w:cstheme="minorHAnsi"/>
                <w:color w:val="000000"/>
                <w:lang w:eastAsia="en-GB"/>
              </w:rPr>
              <w:t xml:space="preserve">Information for healthcare professionals: </w:t>
            </w:r>
            <w:hyperlink r:id="rId44" w:history="1">
              <w:r w:rsidRPr="002D255E">
                <w:rPr>
                  <w:rStyle w:val="Hyperlink"/>
                  <w:rFonts w:eastAsia="Times New Roman" w:cstheme="minorHAnsi"/>
                  <w:lang w:eastAsia="en-GB"/>
                </w:rPr>
                <w:t>https://www.medicinesinpregnancy.org/bumps/monographs/USE-OF-METHOTREXATE-IN-PREGNANCY/</w:t>
              </w:r>
            </w:hyperlink>
            <w:r w:rsidRPr="002D255E">
              <w:rPr>
                <w:rFonts w:eastAsia="Times New Roman" w:cstheme="minorHAnsi"/>
                <w:color w:val="000000"/>
                <w:lang w:eastAsia="en-GB"/>
              </w:rPr>
              <w:t xml:space="preserve"> </w:t>
            </w:r>
          </w:p>
          <w:p w14:paraId="6AAA9FBB" w14:textId="77777777" w:rsidR="00E0175B" w:rsidRDefault="00E0175B" w:rsidP="00E0175B">
            <w:pPr>
              <w:autoSpaceDE w:val="0"/>
              <w:autoSpaceDN w:val="0"/>
              <w:adjustRightInd w:val="0"/>
              <w:spacing w:before="60" w:after="60" w:line="240" w:lineRule="auto"/>
              <w:rPr>
                <w:rFonts w:eastAsia="Times New Roman" w:cstheme="minorHAnsi"/>
                <w:color w:val="000000"/>
                <w:lang w:eastAsia="en-GB"/>
              </w:rPr>
            </w:pPr>
            <w:r w:rsidRPr="002D255E">
              <w:rPr>
                <w:rFonts w:eastAsia="Times New Roman" w:cstheme="minorHAnsi"/>
                <w:color w:val="000000"/>
                <w:lang w:eastAsia="en-GB"/>
              </w:rPr>
              <w:t xml:space="preserve">Information for patients and carers: </w:t>
            </w:r>
            <w:hyperlink r:id="rId45" w:history="1">
              <w:r w:rsidRPr="002D255E">
                <w:rPr>
                  <w:rStyle w:val="Hyperlink"/>
                  <w:rFonts w:eastAsia="Times New Roman" w:cstheme="minorHAnsi"/>
                  <w:lang w:eastAsia="en-GB"/>
                </w:rPr>
                <w:t>https://www.medicinesinpregnancy.org/Medicine--pregnancy/Methotrexate/</w:t>
              </w:r>
            </w:hyperlink>
            <w:r w:rsidRPr="002D255E">
              <w:rPr>
                <w:rFonts w:eastAsia="Times New Roman" w:cstheme="minorHAnsi"/>
                <w:color w:val="000000"/>
                <w:lang w:eastAsia="en-GB"/>
              </w:rPr>
              <w:t xml:space="preserve"> </w:t>
            </w:r>
          </w:p>
          <w:p w14:paraId="3A4C92A9" w14:textId="77777777" w:rsidR="009D46E0" w:rsidRDefault="009D46E0" w:rsidP="00E0175B">
            <w:pPr>
              <w:autoSpaceDE w:val="0"/>
              <w:autoSpaceDN w:val="0"/>
              <w:adjustRightInd w:val="0"/>
              <w:spacing w:before="60" w:after="60" w:line="240" w:lineRule="auto"/>
              <w:rPr>
                <w:rFonts w:eastAsia="Times New Roman" w:cstheme="minorHAnsi"/>
                <w:color w:val="000000"/>
                <w:lang w:eastAsia="en-GB"/>
              </w:rPr>
            </w:pPr>
          </w:p>
          <w:p w14:paraId="469B6998" w14:textId="76308020" w:rsidR="004F00A8" w:rsidRPr="002D255E" w:rsidRDefault="008A3E0F" w:rsidP="00E0175B">
            <w:pPr>
              <w:autoSpaceDE w:val="0"/>
              <w:autoSpaceDN w:val="0"/>
              <w:adjustRightInd w:val="0"/>
              <w:spacing w:before="60" w:after="60" w:line="240" w:lineRule="auto"/>
              <w:rPr>
                <w:rFonts w:eastAsia="Times New Roman" w:cstheme="minorHAnsi"/>
                <w:color w:val="FF0000"/>
                <w:lang w:eastAsia="en-GB"/>
              </w:rPr>
            </w:pPr>
            <w:r w:rsidRPr="00002FDA">
              <w:rPr>
                <w:rFonts w:eastAsia="Times New Roman" w:cstheme="minorHAnsi"/>
                <w:color w:val="000000"/>
                <w:lang w:eastAsia="en-GB"/>
              </w:rPr>
              <w:t>The</w:t>
            </w:r>
            <w:r w:rsidR="004F00A8" w:rsidRPr="00002FDA">
              <w:rPr>
                <w:rFonts w:eastAsia="Times New Roman" w:cstheme="minorHAnsi"/>
                <w:color w:val="000000"/>
                <w:lang w:eastAsia="en-GB"/>
              </w:rPr>
              <w:t xml:space="preserve"> British Society of Rheumatology </w:t>
            </w:r>
            <w:r w:rsidRPr="00002FDA">
              <w:rPr>
                <w:rFonts w:eastAsia="Times New Roman" w:cstheme="minorHAnsi"/>
                <w:color w:val="000000"/>
                <w:lang w:eastAsia="en-GB"/>
              </w:rPr>
              <w:t>provides</w:t>
            </w:r>
            <w:r w:rsidR="004F00A8" w:rsidRPr="00002FDA">
              <w:rPr>
                <w:rFonts w:eastAsia="Times New Roman" w:cstheme="minorHAnsi"/>
                <w:color w:val="000000"/>
                <w:lang w:eastAsia="en-GB"/>
              </w:rPr>
              <w:t xml:space="preserve"> </w:t>
            </w:r>
            <w:r w:rsidRPr="00002FDA">
              <w:rPr>
                <w:rFonts w:eastAsia="Times New Roman" w:cstheme="minorHAnsi"/>
                <w:color w:val="000000"/>
                <w:lang w:eastAsia="en-GB"/>
              </w:rPr>
              <w:t>further guidance</w:t>
            </w:r>
            <w:r w:rsidR="004F00A8" w:rsidRPr="00002FDA">
              <w:rPr>
                <w:rFonts w:eastAsia="Times New Roman" w:cstheme="minorHAnsi"/>
                <w:color w:val="000000"/>
                <w:lang w:eastAsia="en-GB"/>
              </w:rPr>
              <w:t xml:space="preserve"> on methotrexate and pregnancy</w:t>
            </w:r>
            <w:r w:rsidRPr="00002FDA">
              <w:rPr>
                <w:rFonts w:eastAsia="Times New Roman" w:cstheme="minorHAnsi"/>
                <w:color w:val="000000"/>
                <w:lang w:eastAsia="en-GB"/>
              </w:rPr>
              <w:t xml:space="preserve"> which clinicians may wish to consider</w:t>
            </w:r>
            <w:r w:rsidR="004F00A8" w:rsidRPr="00002FDA">
              <w:rPr>
                <w:rFonts w:eastAsia="Times New Roman" w:cstheme="minorHAnsi"/>
                <w:color w:val="000000"/>
                <w:lang w:eastAsia="en-GB"/>
              </w:rPr>
              <w:t xml:space="preserve"> available </w:t>
            </w:r>
            <w:r w:rsidR="0068176B" w:rsidRPr="00002FDA">
              <w:rPr>
                <w:rFonts w:eastAsia="Times New Roman" w:cstheme="minorHAnsi"/>
                <w:color w:val="000000"/>
                <w:lang w:eastAsia="en-GB"/>
              </w:rPr>
              <w:t xml:space="preserve">via the following link: </w:t>
            </w:r>
            <w:hyperlink r:id="rId46" w:history="1">
              <w:r w:rsidR="0068176B" w:rsidRPr="00002FDA">
                <w:rPr>
                  <w:rStyle w:val="Hyperlink"/>
                  <w:lang w:eastAsia="en-GB"/>
                </w:rPr>
                <w:t>https://academic.oup.com/rheumatology/article/55/9/1693/1744535</w:t>
              </w:r>
            </w:hyperlink>
          </w:p>
          <w:p w14:paraId="2EBECBAF"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u w:val="single"/>
                <w:lang w:eastAsia="en-GB"/>
              </w:rPr>
            </w:pPr>
          </w:p>
          <w:p w14:paraId="6898D0FD" w14:textId="77777777" w:rsidR="00E0175B" w:rsidRPr="002D255E" w:rsidRDefault="00E0175B" w:rsidP="00E0175B">
            <w:pPr>
              <w:autoSpaceDE w:val="0"/>
              <w:autoSpaceDN w:val="0"/>
              <w:adjustRightInd w:val="0"/>
              <w:spacing w:before="60" w:after="60" w:line="240" w:lineRule="auto"/>
              <w:rPr>
                <w:rFonts w:eastAsia="Times New Roman" w:cstheme="minorHAnsi"/>
                <w:b/>
                <w:color w:val="000000"/>
                <w:lang w:eastAsia="en-GB"/>
              </w:rPr>
            </w:pPr>
            <w:r w:rsidRPr="002D255E">
              <w:rPr>
                <w:rFonts w:eastAsia="Times New Roman" w:cstheme="minorHAnsi"/>
                <w:b/>
                <w:color w:val="000000"/>
                <w:u w:val="single"/>
                <w:lang w:eastAsia="en-GB"/>
              </w:rPr>
              <w:t>Breastfeeding</w:t>
            </w:r>
            <w:r w:rsidRPr="002D255E">
              <w:rPr>
                <w:rFonts w:eastAsia="Times New Roman" w:cstheme="minorHAnsi"/>
                <w:b/>
                <w:color w:val="000000"/>
                <w:lang w:eastAsia="en-GB"/>
              </w:rPr>
              <w:t>:</w:t>
            </w:r>
          </w:p>
          <w:p w14:paraId="499660A3"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r w:rsidRPr="002D255E">
              <w:rPr>
                <w:rFonts w:eastAsia="Times New Roman" w:cstheme="minorHAnsi"/>
                <w:color w:val="000000"/>
                <w:lang w:eastAsia="en-GB"/>
              </w:rPr>
              <w:t xml:space="preserve">The manufacturers contraindicate use of methotrexate while breastfeeding. The UK Drugs in Lactation Advisory Service recommends caution, and advises that breastfeeding should be avoided until at least 24 hours after a weekly dose not exceeding 25 mg. Infant blood counts should be monitored. Limited evidence indicates that small amounts are found in breast milk after weekly administration. </w:t>
            </w:r>
          </w:p>
          <w:p w14:paraId="2906282E"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p>
          <w:p w14:paraId="6C4033D1" w14:textId="77777777" w:rsidR="00E0175B" w:rsidRPr="002D255E" w:rsidRDefault="00E0175B" w:rsidP="00E0175B">
            <w:pPr>
              <w:autoSpaceDE w:val="0"/>
              <w:autoSpaceDN w:val="0"/>
              <w:adjustRightInd w:val="0"/>
              <w:spacing w:before="60" w:after="60" w:line="240" w:lineRule="auto"/>
              <w:rPr>
                <w:rFonts w:eastAsia="Times New Roman" w:cstheme="minorHAnsi"/>
                <w:color w:val="FF0000"/>
                <w:lang w:eastAsia="en-GB"/>
              </w:rPr>
            </w:pPr>
            <w:r w:rsidRPr="002D255E">
              <w:rPr>
                <w:rFonts w:eastAsia="Times New Roman" w:cstheme="minorHAnsi"/>
                <w:color w:val="000000"/>
                <w:lang w:eastAsia="en-GB"/>
              </w:rPr>
              <w:t xml:space="preserve">Information for healthcare professionals: </w:t>
            </w:r>
            <w:hyperlink r:id="rId47" w:history="1">
              <w:r w:rsidRPr="002D255E">
                <w:rPr>
                  <w:rStyle w:val="Hyperlink"/>
                  <w:rFonts w:eastAsia="Times New Roman" w:cstheme="minorHAnsi"/>
                  <w:lang w:eastAsia="en-GB"/>
                </w:rPr>
                <w:t>https://www.sps.nhs.uk/medicines/methotrexate/</w:t>
              </w:r>
            </w:hyperlink>
            <w:r w:rsidRPr="002D255E">
              <w:rPr>
                <w:rFonts w:eastAsia="Times New Roman" w:cstheme="minorHAnsi"/>
                <w:color w:val="000000"/>
                <w:lang w:eastAsia="en-GB"/>
              </w:rPr>
              <w:t xml:space="preserve"> </w:t>
            </w:r>
          </w:p>
          <w:p w14:paraId="7610C139"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p>
          <w:p w14:paraId="7BD1A1E9"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r w:rsidRPr="002D255E">
              <w:rPr>
                <w:rFonts w:eastAsia="Times New Roman" w:cstheme="minorHAnsi"/>
                <w:b/>
                <w:color w:val="000000"/>
                <w:u w:val="single"/>
                <w:lang w:eastAsia="en-GB"/>
              </w:rPr>
              <w:t>Paternal exposure</w:t>
            </w:r>
            <w:r w:rsidRPr="002D255E">
              <w:rPr>
                <w:rFonts w:eastAsia="Times New Roman" w:cstheme="minorHAnsi"/>
                <w:color w:val="000000"/>
                <w:lang w:eastAsia="en-GB"/>
              </w:rPr>
              <w:t>:</w:t>
            </w:r>
          </w:p>
          <w:p w14:paraId="343D71BD"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r w:rsidRPr="002D255E">
              <w:rPr>
                <w:rFonts w:eastAsia="Times New Roman" w:cstheme="minorHAnsi"/>
                <w:color w:val="000000"/>
                <w:lang w:eastAsia="en-GB"/>
              </w:rPr>
              <w:t xml:space="preserve">There are hypothetical risks of genetic abnormalities in sperm which could potentially affect offspring conceived during treatment. Limited clinical evidence does not indicate an increased risk of malformations or miscarriage following paternal exposure to low-dose methotrexate (less than 30 mg/week). Where a couple wishes to attempt conception and the male partner’s condition is well-controlled with methotrexate, the UK Teratology Information Service recommends an assessment and discussion of the potential benefits and risks of continuing paternal treatment vs. discontinuation. This should be undertaken by the specialist, using a shared decision making approach. The risks to the fetus are theoretical rather than established. </w:t>
            </w:r>
          </w:p>
          <w:p w14:paraId="34413082"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r w:rsidRPr="002D255E">
              <w:rPr>
                <w:rFonts w:eastAsia="Times New Roman" w:cstheme="minorHAnsi"/>
                <w:color w:val="000000"/>
                <w:lang w:eastAsia="en-GB"/>
              </w:rPr>
              <w:t>Paternal methotrexate use at the time of conception is not an indication for additional fetal monitoring. However, other risk factors may be present in individual cases which may independently increase the risk of adverse pregnancy outcome. Clinicians are reminded of the importance of consideration of such factors when performing case-specific risk assessments.</w:t>
            </w:r>
          </w:p>
          <w:p w14:paraId="43EEC4B1"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p>
          <w:p w14:paraId="39FC8F7F"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r w:rsidRPr="002D255E">
              <w:rPr>
                <w:rFonts w:eastAsia="Times New Roman" w:cstheme="minorHAnsi"/>
                <w:color w:val="000000"/>
                <w:lang w:eastAsia="en-GB"/>
              </w:rPr>
              <w:t xml:space="preserve">Information for healthcare professionals: </w:t>
            </w:r>
            <w:hyperlink r:id="rId48" w:history="1">
              <w:r w:rsidRPr="002D255E">
                <w:rPr>
                  <w:rStyle w:val="Hyperlink"/>
                  <w:rFonts w:eastAsia="Times New Roman" w:cstheme="minorHAnsi"/>
                  <w:lang w:eastAsia="en-GB"/>
                </w:rPr>
                <w:t>https://www.medicinesinpregnancy.org/bumps/monographs/PATERNAL-USE-OF-METHOTREXATE/</w:t>
              </w:r>
            </w:hyperlink>
            <w:r w:rsidRPr="002D255E">
              <w:rPr>
                <w:rFonts w:eastAsia="Times New Roman" w:cstheme="minorHAnsi"/>
                <w:color w:val="000000"/>
                <w:lang w:eastAsia="en-GB"/>
              </w:rPr>
              <w:t xml:space="preserve"> </w:t>
            </w:r>
          </w:p>
          <w:p w14:paraId="2919C2C5"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p>
          <w:p w14:paraId="5C51CBEB" w14:textId="77777777" w:rsidR="00E0175B" w:rsidRPr="002D255E" w:rsidRDefault="00E0175B" w:rsidP="00E0175B">
            <w:pPr>
              <w:autoSpaceDE w:val="0"/>
              <w:autoSpaceDN w:val="0"/>
              <w:adjustRightInd w:val="0"/>
              <w:spacing w:before="60" w:after="60" w:line="240" w:lineRule="auto"/>
              <w:rPr>
                <w:rFonts w:eastAsia="Times New Roman" w:cstheme="minorHAnsi"/>
                <w:color w:val="000000"/>
                <w:lang w:eastAsia="en-GB"/>
              </w:rPr>
            </w:pPr>
            <w:r w:rsidRPr="002D255E">
              <w:rPr>
                <w:rFonts w:eastAsia="Times New Roman" w:cstheme="minorHAnsi"/>
                <w:b/>
                <w:color w:val="000000"/>
                <w:u w:val="single"/>
                <w:lang w:eastAsia="en-GB"/>
              </w:rPr>
              <w:t>Fertility</w:t>
            </w:r>
            <w:r w:rsidRPr="002D255E">
              <w:rPr>
                <w:rFonts w:eastAsia="Times New Roman" w:cstheme="minorHAnsi"/>
                <w:color w:val="000000"/>
                <w:lang w:eastAsia="en-GB"/>
              </w:rPr>
              <w:t>:</w:t>
            </w:r>
          </w:p>
          <w:p w14:paraId="28BE39FA" w14:textId="4908D3BB" w:rsidR="00E0175B" w:rsidRPr="002D255E" w:rsidRDefault="00E0175B" w:rsidP="00E0175B">
            <w:pPr>
              <w:autoSpaceDE w:val="0"/>
              <w:autoSpaceDN w:val="0"/>
              <w:adjustRightInd w:val="0"/>
              <w:rPr>
                <w:rFonts w:ascii="Calibri" w:hAnsi="Calibri" w:cs="Calibri"/>
                <w:color w:val="000000"/>
                <w:lang w:eastAsia="en-GB"/>
              </w:rPr>
            </w:pPr>
            <w:r w:rsidRPr="002D255E">
              <w:rPr>
                <w:rFonts w:eastAsia="Times New Roman" w:cstheme="minorHAnsi"/>
                <w:color w:val="000000"/>
                <w:lang w:eastAsia="en-GB"/>
              </w:rPr>
              <w:t xml:space="preserve">Methotrexate affects spermatogenesis and oogenesis and may decrease fertility. In humans, methotrexate has been reported to cause oligospermia, menstrual dysfunction and </w:t>
            </w:r>
            <w:r w:rsidRPr="002D255E">
              <w:rPr>
                <w:rFonts w:eastAsia="Times New Roman" w:cstheme="minorHAnsi"/>
                <w:color w:val="000000"/>
                <w:lang w:eastAsia="en-GB"/>
              </w:rPr>
              <w:lastRenderedPageBreak/>
              <w:t>amenorrhoea. These effects appear to be reversible after discontinuation of therapy in most cases.</w:t>
            </w:r>
          </w:p>
        </w:tc>
      </w:tr>
    </w:tbl>
    <w:p w14:paraId="73A4DAE7" w14:textId="7F62EDF1" w:rsidR="00846A4A" w:rsidRPr="002D255E" w:rsidRDefault="00846A4A">
      <w:bookmarkStart w:id="19" w:name="Thirteen_specialist_contact"/>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455"/>
      </w:tblGrid>
      <w:tr w:rsidR="002C1756" w:rsidRPr="002D255E" w14:paraId="3A78E10C" w14:textId="77777777" w:rsidTr="4718CE95">
        <w:trPr>
          <w:jc w:val="center"/>
        </w:trPr>
        <w:tc>
          <w:tcPr>
            <w:tcW w:w="10455" w:type="dxa"/>
            <w:tcBorders>
              <w:bottom w:val="nil"/>
            </w:tcBorders>
            <w:shd w:val="clear" w:color="auto" w:fill="F2F2F2" w:themeFill="background1" w:themeFillShade="F2"/>
          </w:tcPr>
          <w:p w14:paraId="2536982E" w14:textId="5A651A0A" w:rsidR="002C1756" w:rsidRPr="002D255E" w:rsidRDefault="002C1756" w:rsidP="007F3977">
            <w:pPr>
              <w:pStyle w:val="Heading1"/>
              <w:tabs>
                <w:tab w:val="right" w:pos="10238"/>
              </w:tabs>
              <w:ind w:left="599" w:hanging="599"/>
              <w:rPr>
                <w:lang w:eastAsia="en-GB"/>
              </w:rPr>
            </w:pPr>
            <w:r w:rsidRPr="002D255E">
              <w:rPr>
                <w:lang w:eastAsia="en-GB"/>
              </w:rPr>
              <w:t>Specialist contact information</w:t>
            </w:r>
            <w:bookmarkEnd w:id="19"/>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tc>
      </w:tr>
      <w:tr w:rsidR="002C1756" w:rsidRPr="002D255E" w14:paraId="4CD4F732" w14:textId="77777777" w:rsidTr="4718CE95">
        <w:trPr>
          <w:jc w:val="center"/>
        </w:trPr>
        <w:tc>
          <w:tcPr>
            <w:tcW w:w="10455" w:type="dxa"/>
            <w:tcBorders>
              <w:top w:val="nil"/>
              <w:bottom w:val="single" w:sz="4" w:space="0" w:color="auto"/>
            </w:tcBorders>
          </w:tcPr>
          <w:p w14:paraId="6528860C" w14:textId="73A9C2DA" w:rsidR="00513A66" w:rsidRPr="008F7C65" w:rsidRDefault="00513A66" w:rsidP="00513A66">
            <w:pPr>
              <w:spacing w:before="60" w:after="60"/>
              <w:rPr>
                <w:rFonts w:eastAsia="Times New Roman" w:cstheme="minorHAnsi"/>
              </w:rPr>
            </w:pPr>
            <w:r w:rsidRPr="008F7C65">
              <w:rPr>
                <w:rFonts w:eastAsia="Times New Roman" w:cstheme="minorHAnsi"/>
              </w:rPr>
              <w:t xml:space="preserve">Name: </w:t>
            </w:r>
            <w:permStart w:id="1599341376" w:edGrp="everyone"/>
            <w:r w:rsidRPr="008F7C65">
              <w:rPr>
                <w:rFonts w:eastAsia="Times New Roman" w:cstheme="minorHAnsi"/>
              </w:rPr>
              <w:t xml:space="preserve">insert name   </w:t>
            </w:r>
            <w:permEnd w:id="1599341376"/>
          </w:p>
          <w:p w14:paraId="5EAB79F6" w14:textId="77777777" w:rsidR="00513A66" w:rsidRPr="008F7C65" w:rsidRDefault="00513A66" w:rsidP="00513A66">
            <w:pPr>
              <w:spacing w:before="60" w:after="60"/>
              <w:rPr>
                <w:rFonts w:eastAsia="Times New Roman" w:cstheme="minorHAnsi"/>
              </w:rPr>
            </w:pPr>
            <w:r w:rsidRPr="008F7C65">
              <w:rPr>
                <w:rFonts w:eastAsia="Times New Roman" w:cstheme="minorHAnsi"/>
              </w:rPr>
              <w:t xml:space="preserve">Role and specialty: </w:t>
            </w:r>
            <w:permStart w:id="1951296888" w:edGrp="everyone"/>
            <w:r w:rsidRPr="008F7C65">
              <w:rPr>
                <w:rFonts w:eastAsia="Times New Roman" w:cstheme="minorHAnsi"/>
              </w:rPr>
              <w:t xml:space="preserve">insert role and speciality </w:t>
            </w:r>
            <w:permEnd w:id="1951296888"/>
          </w:p>
          <w:p w14:paraId="7372B904" w14:textId="77777777" w:rsidR="00513A66" w:rsidRPr="008F7C65" w:rsidRDefault="00513A66" w:rsidP="00513A66">
            <w:pPr>
              <w:spacing w:before="60" w:after="60"/>
              <w:rPr>
                <w:rFonts w:eastAsia="Times New Roman" w:cstheme="minorHAnsi"/>
              </w:rPr>
            </w:pPr>
            <w:r w:rsidRPr="008F7C65">
              <w:rPr>
                <w:rFonts w:eastAsia="Times New Roman" w:cstheme="minorHAnsi"/>
              </w:rPr>
              <w:t xml:space="preserve">Daytime telephone number: </w:t>
            </w:r>
            <w:permStart w:id="431436810" w:edGrp="everyone"/>
            <w:r w:rsidRPr="008F7C65">
              <w:rPr>
                <w:rFonts w:eastAsia="Times New Roman" w:cstheme="minorHAnsi"/>
              </w:rPr>
              <w:t xml:space="preserve">insert daytime telephone number </w:t>
            </w:r>
            <w:permEnd w:id="431436810"/>
          </w:p>
          <w:p w14:paraId="1330C8D0" w14:textId="77777777" w:rsidR="00513A66" w:rsidRPr="008F7C65" w:rsidRDefault="00513A66" w:rsidP="00513A66">
            <w:pPr>
              <w:spacing w:before="60" w:after="60"/>
              <w:rPr>
                <w:rFonts w:eastAsia="Times New Roman" w:cstheme="minorHAnsi"/>
              </w:rPr>
            </w:pPr>
            <w:r w:rsidRPr="008F7C65">
              <w:rPr>
                <w:rFonts w:eastAsia="Times New Roman" w:cstheme="minorHAnsi"/>
              </w:rPr>
              <w:t xml:space="preserve">Email address: </w:t>
            </w:r>
            <w:permStart w:id="361902293" w:edGrp="everyone"/>
            <w:r w:rsidRPr="008F7C65">
              <w:rPr>
                <w:rFonts w:eastAsia="Times New Roman" w:cstheme="minorHAnsi"/>
              </w:rPr>
              <w:t xml:space="preserve">insert email address </w:t>
            </w:r>
            <w:permEnd w:id="361902293"/>
          </w:p>
          <w:p w14:paraId="51949EDD" w14:textId="77777777" w:rsidR="00513A66" w:rsidRPr="008F7C65" w:rsidRDefault="00513A66" w:rsidP="00513A66">
            <w:pPr>
              <w:spacing w:before="60" w:after="60"/>
              <w:rPr>
                <w:rFonts w:eastAsia="Times New Roman" w:cstheme="minorHAnsi"/>
              </w:rPr>
            </w:pPr>
            <w:r w:rsidRPr="008F7C65">
              <w:rPr>
                <w:rFonts w:eastAsia="Times New Roman" w:cstheme="minorHAnsi"/>
              </w:rPr>
              <w:t xml:space="preserve">Alternative contact: </w:t>
            </w:r>
            <w:permStart w:id="1922383174" w:edGrp="everyone"/>
            <w:r w:rsidRPr="008F7C65">
              <w:rPr>
                <w:rFonts w:eastAsia="Times New Roman" w:cstheme="minorHAnsi"/>
              </w:rPr>
              <w:t xml:space="preserve">insert contact information, e.g. for clinic or specialist nurse  </w:t>
            </w:r>
            <w:permEnd w:id="1922383174"/>
          </w:p>
          <w:p w14:paraId="68E5A417" w14:textId="4D9F732E" w:rsidR="002C1756" w:rsidRPr="002D255E" w:rsidRDefault="00513A66" w:rsidP="00513A66">
            <w:pPr>
              <w:spacing w:before="60" w:after="60" w:line="240" w:lineRule="auto"/>
              <w:rPr>
                <w:rFonts w:eastAsia="Times New Roman" w:cs="Arial"/>
                <w:i/>
              </w:rPr>
            </w:pPr>
            <w:r w:rsidRPr="008F7C65">
              <w:rPr>
                <w:rFonts w:eastAsia="Times New Roman" w:cstheme="minorHAnsi"/>
              </w:rPr>
              <w:t xml:space="preserve">Out of hours contact details: </w:t>
            </w:r>
            <w:permStart w:id="905382700" w:edGrp="everyone"/>
            <w:r w:rsidRPr="008F7C65">
              <w:rPr>
                <w:rFonts w:eastAsia="Times New Roman" w:cstheme="minorHAnsi"/>
              </w:rPr>
              <w:t>insert contact information, e.g. for duty doctor</w:t>
            </w:r>
            <w:permEnd w:id="905382700"/>
          </w:p>
        </w:tc>
      </w:tr>
      <w:tr w:rsidR="002C1756" w:rsidRPr="002D255E" w14:paraId="1AD14A2A" w14:textId="77777777" w:rsidTr="4718CE95">
        <w:trPr>
          <w:jc w:val="center"/>
        </w:trPr>
        <w:tc>
          <w:tcPr>
            <w:tcW w:w="10455" w:type="dxa"/>
            <w:tcBorders>
              <w:bottom w:val="nil"/>
            </w:tcBorders>
            <w:shd w:val="clear" w:color="auto" w:fill="F2F2F2" w:themeFill="background1" w:themeFillShade="F2"/>
          </w:tcPr>
          <w:p w14:paraId="201683F6" w14:textId="41E7CC27" w:rsidR="002C1756" w:rsidRPr="002D255E" w:rsidRDefault="002C1756" w:rsidP="007F3977">
            <w:pPr>
              <w:pStyle w:val="Heading1"/>
              <w:tabs>
                <w:tab w:val="right" w:pos="10238"/>
              </w:tabs>
              <w:ind w:left="599" w:hanging="599"/>
              <w:rPr>
                <w:sz w:val="20"/>
                <w:lang w:val="en-US" w:eastAsia="en-GB"/>
              </w:rPr>
            </w:pPr>
            <w:bookmarkStart w:id="20" w:name="_Additional_information_Back"/>
            <w:bookmarkStart w:id="21" w:name="Fourteen_additional_info"/>
            <w:bookmarkEnd w:id="20"/>
            <w:r w:rsidRPr="002D255E">
              <w:rPr>
                <w:lang w:eastAsia="en-GB"/>
              </w:rPr>
              <w:t>Additional information</w:t>
            </w:r>
            <w:bookmarkEnd w:id="21"/>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tc>
      </w:tr>
      <w:tr w:rsidR="002C1756" w:rsidRPr="002D255E" w14:paraId="0650CF87" w14:textId="77777777" w:rsidTr="4718CE95">
        <w:trPr>
          <w:jc w:val="center"/>
        </w:trPr>
        <w:tc>
          <w:tcPr>
            <w:tcW w:w="10455" w:type="dxa"/>
            <w:tcBorders>
              <w:top w:val="nil"/>
              <w:bottom w:val="single" w:sz="4" w:space="0" w:color="auto"/>
            </w:tcBorders>
          </w:tcPr>
          <w:p w14:paraId="3790B0D4" w14:textId="34DF8092" w:rsidR="0088117C" w:rsidRDefault="000978B8" w:rsidP="000978B8">
            <w:pPr>
              <w:spacing w:before="60" w:after="60" w:line="240" w:lineRule="auto"/>
              <w:rPr>
                <w:rFonts w:eastAsia="Times New Roman" w:cstheme="minorHAnsi"/>
                <w:szCs w:val="24"/>
                <w:lang w:eastAsia="en-GB"/>
              </w:rPr>
            </w:pPr>
            <w:r w:rsidRPr="002D255E">
              <w:rPr>
                <w:rFonts w:eastAsia="Times New Roman" w:cstheme="minorHAnsi"/>
                <w:szCs w:val="24"/>
                <w:lang w:eastAsia="en-GB"/>
              </w:rPr>
              <w:t>It is anticipated that each area will continue to adhere to pre-existing local arrangements for the supply of methotrexate injection and ancillary products, and for the disposal of cytotoxic waste.</w:t>
            </w:r>
          </w:p>
          <w:p w14:paraId="076209EE" w14:textId="77777777" w:rsidR="0088117C" w:rsidRPr="002138F3" w:rsidRDefault="0088117C" w:rsidP="0088117C">
            <w:pPr>
              <w:rPr>
                <w:rFonts w:cs="Arial"/>
                <w:b/>
                <w:szCs w:val="28"/>
                <w:u w:val="single"/>
              </w:rPr>
            </w:pPr>
            <w:r w:rsidRPr="002138F3">
              <w:rPr>
                <w:rFonts w:cs="Arial"/>
                <w:b/>
                <w:szCs w:val="28"/>
                <w:u w:val="single"/>
              </w:rPr>
              <w:t xml:space="preserve">Waste management services: </w:t>
            </w:r>
          </w:p>
          <w:p w14:paraId="04783096" w14:textId="77777777" w:rsidR="0088117C" w:rsidRPr="002138F3" w:rsidRDefault="0088117C" w:rsidP="0088117C">
            <w:pPr>
              <w:numPr>
                <w:ilvl w:val="0"/>
                <w:numId w:val="37"/>
              </w:numPr>
              <w:spacing w:after="0" w:line="240" w:lineRule="auto"/>
              <w:rPr>
                <w:rFonts w:cs="Arial"/>
                <w:b/>
                <w:szCs w:val="28"/>
                <w:u w:val="single"/>
              </w:rPr>
            </w:pPr>
            <w:r w:rsidRPr="002138F3">
              <w:rPr>
                <w:rFonts w:cs="Arial"/>
                <w:szCs w:val="28"/>
              </w:rPr>
              <w:t xml:space="preserve">Arrangements differ between localities and alternative arrangements may be in place for ICBs outside of South West London area. </w:t>
            </w:r>
          </w:p>
          <w:p w14:paraId="5AEE69EA" w14:textId="2DE9FC13" w:rsidR="0088117C" w:rsidRPr="002138F3" w:rsidRDefault="0088117C" w:rsidP="0088117C">
            <w:pPr>
              <w:numPr>
                <w:ilvl w:val="0"/>
                <w:numId w:val="37"/>
              </w:numPr>
              <w:spacing w:after="0" w:line="240" w:lineRule="auto"/>
              <w:rPr>
                <w:rFonts w:cs="Arial"/>
                <w:b/>
                <w:szCs w:val="28"/>
                <w:u w:val="single"/>
              </w:rPr>
            </w:pPr>
            <w:r w:rsidRPr="002138F3">
              <w:rPr>
                <w:rFonts w:cs="Arial"/>
                <w:szCs w:val="28"/>
              </w:rPr>
              <w:t>Waste collection services must be arranged before prescribing responsibility can be transferred.</w:t>
            </w:r>
          </w:p>
          <w:p w14:paraId="4E6D42BD" w14:textId="77777777" w:rsidR="004E36B9" w:rsidRDefault="004E36B9" w:rsidP="000978B8">
            <w:pPr>
              <w:spacing w:before="60" w:after="60" w:line="240" w:lineRule="auto"/>
              <w:rPr>
                <w:rFonts w:eastAsia="Times New Roman" w:cstheme="minorHAnsi"/>
                <w:szCs w:val="24"/>
                <w:lang w:eastAsia="en-GB"/>
              </w:rPr>
            </w:pPr>
          </w:p>
          <w:p w14:paraId="7F322732" w14:textId="2BFE4017" w:rsidR="00C76668" w:rsidRDefault="00C76668" w:rsidP="00C76668">
            <w:r>
              <w:t xml:space="preserve">Links to local borough </w:t>
            </w:r>
            <w:r w:rsidR="00ED19B3">
              <w:t>waste services:</w:t>
            </w:r>
          </w:p>
          <w:p w14:paraId="4216AED6" w14:textId="77777777" w:rsidR="00C76668" w:rsidRDefault="00C76668" w:rsidP="00C76668">
            <w:pPr>
              <w:pStyle w:val="ListParagraph"/>
              <w:numPr>
                <w:ilvl w:val="0"/>
                <w:numId w:val="42"/>
              </w:numPr>
              <w:spacing w:after="160" w:line="259" w:lineRule="auto"/>
              <w:contextualSpacing/>
            </w:pPr>
            <w:hyperlink r:id="rId49" w:history="1">
              <w:r w:rsidRPr="0092426A">
                <w:rPr>
                  <w:rStyle w:val="Hyperlink"/>
                </w:rPr>
                <w:t>Croydon</w:t>
              </w:r>
            </w:hyperlink>
          </w:p>
          <w:p w14:paraId="7B3E2360" w14:textId="77777777" w:rsidR="00C76668" w:rsidRDefault="00C76668" w:rsidP="00C76668">
            <w:pPr>
              <w:pStyle w:val="ListParagraph"/>
              <w:numPr>
                <w:ilvl w:val="0"/>
                <w:numId w:val="42"/>
              </w:numPr>
              <w:spacing w:after="160" w:line="259" w:lineRule="auto"/>
              <w:contextualSpacing/>
            </w:pPr>
            <w:hyperlink r:id="rId50" w:history="1">
              <w:r w:rsidRPr="00C3315E">
                <w:rPr>
                  <w:rStyle w:val="Hyperlink"/>
                </w:rPr>
                <w:t>Kingston</w:t>
              </w:r>
            </w:hyperlink>
          </w:p>
          <w:p w14:paraId="19E01FB3" w14:textId="77777777" w:rsidR="00C76668" w:rsidRDefault="00C76668" w:rsidP="00C76668">
            <w:pPr>
              <w:pStyle w:val="ListParagraph"/>
              <w:numPr>
                <w:ilvl w:val="0"/>
                <w:numId w:val="42"/>
              </w:numPr>
              <w:spacing w:after="160" w:line="259" w:lineRule="auto"/>
              <w:contextualSpacing/>
            </w:pPr>
            <w:hyperlink r:id="rId51" w:history="1">
              <w:r w:rsidRPr="00A21B10">
                <w:rPr>
                  <w:rStyle w:val="Hyperlink"/>
                </w:rPr>
                <w:t>Merton</w:t>
              </w:r>
            </w:hyperlink>
          </w:p>
          <w:p w14:paraId="462CD963" w14:textId="77777777" w:rsidR="00C76668" w:rsidRDefault="00C76668" w:rsidP="00C76668">
            <w:pPr>
              <w:pStyle w:val="ListParagraph"/>
              <w:numPr>
                <w:ilvl w:val="0"/>
                <w:numId w:val="42"/>
              </w:numPr>
              <w:spacing w:after="160" w:line="259" w:lineRule="auto"/>
              <w:contextualSpacing/>
            </w:pPr>
            <w:hyperlink r:id="rId52" w:history="1">
              <w:r w:rsidRPr="0032513A">
                <w:rPr>
                  <w:rStyle w:val="Hyperlink"/>
                </w:rPr>
                <w:t>Richmond</w:t>
              </w:r>
            </w:hyperlink>
          </w:p>
          <w:p w14:paraId="419C901E" w14:textId="77777777" w:rsidR="00C76668" w:rsidRDefault="00C76668" w:rsidP="00C76668">
            <w:pPr>
              <w:pStyle w:val="ListParagraph"/>
              <w:numPr>
                <w:ilvl w:val="0"/>
                <w:numId w:val="42"/>
              </w:numPr>
              <w:spacing w:after="160" w:line="259" w:lineRule="auto"/>
              <w:contextualSpacing/>
            </w:pPr>
            <w:hyperlink r:id="rId53" w:history="1">
              <w:r w:rsidRPr="00D81EA7">
                <w:rPr>
                  <w:rStyle w:val="Hyperlink"/>
                </w:rPr>
                <w:t>Sutton</w:t>
              </w:r>
            </w:hyperlink>
          </w:p>
          <w:p w14:paraId="0E83834C" w14:textId="0F3B4BF8" w:rsidR="00BB7C6E" w:rsidRPr="00ED19B3" w:rsidRDefault="00C76668" w:rsidP="00ED19B3">
            <w:pPr>
              <w:pStyle w:val="ListParagraph"/>
              <w:numPr>
                <w:ilvl w:val="0"/>
                <w:numId w:val="42"/>
              </w:numPr>
              <w:spacing w:after="160" w:line="259" w:lineRule="auto"/>
              <w:contextualSpacing/>
            </w:pPr>
            <w:hyperlink r:id="rId54" w:history="1">
              <w:r w:rsidRPr="00827B5E">
                <w:rPr>
                  <w:rStyle w:val="Hyperlink"/>
                </w:rPr>
                <w:t>Wandsworth</w:t>
              </w:r>
            </w:hyperlink>
          </w:p>
          <w:p w14:paraId="40BD4D75" w14:textId="77777777" w:rsidR="00BB7C6E" w:rsidRPr="002D255E" w:rsidRDefault="00BB7C6E" w:rsidP="000978B8">
            <w:pPr>
              <w:spacing w:before="60" w:after="60" w:line="240" w:lineRule="auto"/>
              <w:rPr>
                <w:rFonts w:eastAsia="Times New Roman" w:cstheme="minorHAnsi"/>
                <w:szCs w:val="24"/>
                <w:lang w:eastAsia="en-GB"/>
              </w:rPr>
            </w:pPr>
          </w:p>
          <w:p w14:paraId="6F1EA946" w14:textId="044FF586" w:rsidR="002C1756" w:rsidRPr="002D255E" w:rsidRDefault="000978B8" w:rsidP="000978B8">
            <w:pPr>
              <w:rPr>
                <w:lang w:eastAsia="en-GB"/>
              </w:rPr>
            </w:pPr>
            <w:r w:rsidRPr="002D255E">
              <w:rPr>
                <w:rFonts w:eastAsia="Times New Roman" w:cstheme="minorHAnsi"/>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2C1756" w:rsidRPr="002D255E" w14:paraId="40A4CE02" w14:textId="77777777" w:rsidTr="4718CE95">
        <w:trPr>
          <w:jc w:val="center"/>
        </w:trPr>
        <w:tc>
          <w:tcPr>
            <w:tcW w:w="10455" w:type="dxa"/>
            <w:tcBorders>
              <w:bottom w:val="nil"/>
            </w:tcBorders>
            <w:shd w:val="clear" w:color="auto" w:fill="F2F2F2" w:themeFill="background1" w:themeFillShade="F2"/>
          </w:tcPr>
          <w:p w14:paraId="469E4408" w14:textId="3AC79B0D" w:rsidR="002C1756" w:rsidRPr="002D255E" w:rsidRDefault="002C1756" w:rsidP="007F3977">
            <w:pPr>
              <w:pStyle w:val="Heading1"/>
              <w:tabs>
                <w:tab w:val="right" w:pos="10240"/>
              </w:tabs>
              <w:ind w:left="599" w:hanging="599"/>
              <w:rPr>
                <w:lang w:eastAsia="en-GB"/>
              </w:rPr>
            </w:pPr>
            <w:bookmarkStart w:id="22" w:name="Fifteen_references"/>
            <w:r w:rsidRPr="002D255E">
              <w:rPr>
                <w:lang w:eastAsia="en-GB"/>
              </w:rPr>
              <w:t>References</w:t>
            </w:r>
            <w:bookmarkEnd w:id="22"/>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tc>
      </w:tr>
      <w:tr w:rsidR="002C1756" w:rsidRPr="002D255E" w14:paraId="583AE708" w14:textId="77777777" w:rsidTr="4718CE95">
        <w:trPr>
          <w:jc w:val="center"/>
        </w:trPr>
        <w:tc>
          <w:tcPr>
            <w:tcW w:w="10455" w:type="dxa"/>
            <w:tcBorders>
              <w:top w:val="nil"/>
              <w:bottom w:val="single" w:sz="4" w:space="0" w:color="auto"/>
            </w:tcBorders>
          </w:tcPr>
          <w:p w14:paraId="192936B3" w14:textId="77777777" w:rsidR="000978B8" w:rsidRPr="002D255E" w:rsidRDefault="000978B8" w:rsidP="000978B8">
            <w:pPr>
              <w:pStyle w:val="ListParagraph"/>
              <w:numPr>
                <w:ilvl w:val="0"/>
                <w:numId w:val="1"/>
              </w:numPr>
              <w:spacing w:before="60" w:after="60" w:line="240" w:lineRule="auto"/>
              <w:contextualSpacing/>
              <w:rPr>
                <w:rFonts w:eastAsia="Times New Roman" w:cstheme="minorHAnsi"/>
                <w:lang w:eastAsia="en-GB"/>
              </w:rPr>
            </w:pPr>
            <w:r w:rsidRPr="002D255E">
              <w:rPr>
                <w:rFonts w:eastAsia="Times New Roman" w:cstheme="minorHAnsi"/>
                <w:lang w:eastAsia="en-GB"/>
              </w:rPr>
              <w:t xml:space="preserve">eBNF. Methotrexate. Accessed via </w:t>
            </w:r>
            <w:hyperlink r:id="rId55" w:history="1">
              <w:r w:rsidRPr="002D255E">
                <w:rPr>
                  <w:rStyle w:val="Hyperlink"/>
                  <w:rFonts w:eastAsia="Times New Roman" w:cstheme="minorHAnsi"/>
                  <w:lang w:eastAsia="en-GB"/>
                </w:rPr>
                <w:t>https://bnf.nice.org.uk/drug/methotrexate.html</w:t>
              </w:r>
            </w:hyperlink>
            <w:r w:rsidRPr="002D255E">
              <w:t xml:space="preserve"> on 13/08/2021</w:t>
            </w:r>
            <w:r w:rsidRPr="002D255E">
              <w:rPr>
                <w:rFonts w:eastAsia="Times New Roman" w:cstheme="minorHAnsi"/>
                <w:lang w:eastAsia="en-GB"/>
              </w:rPr>
              <w:t xml:space="preserve">. </w:t>
            </w:r>
          </w:p>
          <w:p w14:paraId="5D2434C3" w14:textId="77777777" w:rsidR="000978B8" w:rsidRPr="002D255E" w:rsidRDefault="000978B8" w:rsidP="000978B8">
            <w:pPr>
              <w:numPr>
                <w:ilvl w:val="0"/>
                <w:numId w:val="1"/>
              </w:numPr>
              <w:spacing w:before="60" w:after="60" w:line="240" w:lineRule="auto"/>
              <w:contextualSpacing/>
              <w:rPr>
                <w:rStyle w:val="Hyperlink"/>
                <w:rFonts w:eastAsia="Times New Roman" w:cstheme="minorHAnsi"/>
                <w:color w:val="000000"/>
                <w:u w:val="none"/>
                <w:lang w:eastAsia="en-GB"/>
              </w:rPr>
            </w:pPr>
            <w:r w:rsidRPr="002D255E">
              <w:rPr>
                <w:rFonts w:eastAsia="Times New Roman" w:cstheme="minorHAnsi"/>
                <w:color w:val="000000"/>
                <w:lang w:eastAsia="en-GB"/>
              </w:rPr>
              <w:t>Methotrexate 2.5 mg tablets (Maxtrex®). Date of revision of the text 12/2020. Accessed via</w:t>
            </w:r>
            <w:r w:rsidRPr="002D255E">
              <w:rPr>
                <w:rFonts w:eastAsia="Times New Roman" w:cstheme="minorHAnsi"/>
                <w:color w:val="FF0000"/>
                <w:lang w:eastAsia="en-GB"/>
              </w:rPr>
              <w:t xml:space="preserve"> </w:t>
            </w:r>
            <w:hyperlink r:id="rId56" w:history="1">
              <w:r w:rsidRPr="002D255E">
                <w:rPr>
                  <w:rStyle w:val="Hyperlink"/>
                </w:rPr>
                <w:t>https://www.medicines.org.uk/emc/product/1376/</w:t>
              </w:r>
            </w:hyperlink>
            <w:r w:rsidRPr="002D255E">
              <w:t xml:space="preserve"> </w:t>
            </w:r>
            <w:r w:rsidRPr="002D255E">
              <w:rPr>
                <w:rStyle w:val="Hyperlink"/>
                <w:rFonts w:eastAsia="Times New Roman" w:cstheme="minorHAnsi"/>
                <w:color w:val="000000"/>
                <w:u w:val="none"/>
                <w:lang w:eastAsia="en-GB"/>
              </w:rPr>
              <w:t>on 13/08/21.</w:t>
            </w:r>
          </w:p>
          <w:p w14:paraId="5108FE78" w14:textId="77777777" w:rsidR="000978B8" w:rsidRPr="002D255E" w:rsidRDefault="000978B8" w:rsidP="000978B8">
            <w:pPr>
              <w:numPr>
                <w:ilvl w:val="0"/>
                <w:numId w:val="1"/>
              </w:numPr>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lastRenderedPageBreak/>
              <w:t xml:space="preserve">Methotrexate 10 mg solution for injection in pre-filled injector (Methofill®). Date of revision of the text 01/03/21. Accessed via </w:t>
            </w:r>
            <w:hyperlink r:id="rId57" w:history="1">
              <w:r w:rsidRPr="002D255E">
                <w:rPr>
                  <w:rStyle w:val="Hyperlink"/>
                  <w:rFonts w:eastAsia="Times New Roman" w:cstheme="minorHAnsi"/>
                  <w:lang w:eastAsia="en-GB"/>
                </w:rPr>
                <w:t>https://www.medicines.org.uk/emc/product/9057/smpc</w:t>
              </w:r>
            </w:hyperlink>
            <w:r w:rsidRPr="002D255E">
              <w:rPr>
                <w:rFonts w:eastAsia="Times New Roman" w:cstheme="minorHAnsi"/>
                <w:color w:val="000000"/>
                <w:lang w:eastAsia="en-GB"/>
              </w:rPr>
              <w:t xml:space="preserve"> on 13/08/21. </w:t>
            </w:r>
          </w:p>
          <w:p w14:paraId="6117356E" w14:textId="77777777" w:rsidR="000978B8" w:rsidRPr="002D255E" w:rsidRDefault="000978B8" w:rsidP="000978B8">
            <w:pPr>
              <w:numPr>
                <w:ilvl w:val="0"/>
                <w:numId w:val="1"/>
              </w:numPr>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Methotrexate 10 mg solution for injection in pre-filled pen (Metoject®). Date of revision of the text 07/2020. Accessed via </w:t>
            </w:r>
            <w:hyperlink r:id="rId58" w:history="1">
              <w:r w:rsidRPr="002D255E">
                <w:rPr>
                  <w:rStyle w:val="Hyperlink"/>
                  <w:rFonts w:eastAsia="Times New Roman" w:cstheme="minorHAnsi"/>
                  <w:lang w:eastAsia="en-GB"/>
                </w:rPr>
                <w:t>https://www.medicines.org.uk/emc/product/11351/</w:t>
              </w:r>
            </w:hyperlink>
            <w:r w:rsidRPr="002D255E">
              <w:rPr>
                <w:rFonts w:eastAsia="Times New Roman" w:cstheme="minorHAnsi"/>
                <w:color w:val="000000"/>
                <w:lang w:eastAsia="en-GB"/>
              </w:rPr>
              <w:t xml:space="preserve"> on 13/08/21.</w:t>
            </w:r>
          </w:p>
          <w:p w14:paraId="5269B61F" w14:textId="77777777" w:rsidR="000978B8" w:rsidRPr="002D255E" w:rsidRDefault="000978B8" w:rsidP="000978B8">
            <w:pPr>
              <w:numPr>
                <w:ilvl w:val="0"/>
                <w:numId w:val="1"/>
              </w:numPr>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Methotrexate 10 mg solution for injection in pre-filled pen (Nordimet®). Date of revision of the text Dec 2020. Accessed via </w:t>
            </w:r>
            <w:hyperlink r:id="rId59" w:history="1">
              <w:r w:rsidRPr="002D255E">
                <w:rPr>
                  <w:rStyle w:val="Hyperlink"/>
                  <w:rFonts w:eastAsia="Times New Roman" w:cstheme="minorHAnsi"/>
                  <w:lang w:eastAsia="en-GB"/>
                </w:rPr>
                <w:t>https://www.medicines.org.uk/emc/product/7721/</w:t>
              </w:r>
            </w:hyperlink>
            <w:r w:rsidRPr="002D255E">
              <w:rPr>
                <w:rFonts w:eastAsia="Times New Roman" w:cstheme="minorHAnsi"/>
                <w:color w:val="000000"/>
                <w:lang w:eastAsia="en-GB"/>
              </w:rPr>
              <w:t xml:space="preserve"> on 13/08/21.</w:t>
            </w:r>
          </w:p>
          <w:p w14:paraId="3C7C9216" w14:textId="77777777" w:rsidR="000978B8" w:rsidRPr="002D255E" w:rsidRDefault="000978B8" w:rsidP="000978B8">
            <w:pPr>
              <w:numPr>
                <w:ilvl w:val="0"/>
                <w:numId w:val="1"/>
              </w:numPr>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Methotrexate 10 mg solution for injection in pre-filled pen (Zlatal®). Date of revision of the text 25/09/2020. Accessed via </w:t>
            </w:r>
            <w:hyperlink r:id="rId60" w:history="1">
              <w:r w:rsidRPr="002D255E">
                <w:rPr>
                  <w:rStyle w:val="Hyperlink"/>
                  <w:rFonts w:eastAsia="Times New Roman" w:cstheme="minorHAnsi"/>
                  <w:lang w:eastAsia="en-GB"/>
                </w:rPr>
                <w:t>https://www.medicines.org.uk/emc/product/7270/</w:t>
              </w:r>
            </w:hyperlink>
            <w:r w:rsidRPr="002D255E">
              <w:rPr>
                <w:rFonts w:eastAsia="Times New Roman" w:cstheme="minorHAnsi"/>
                <w:color w:val="000000"/>
                <w:lang w:eastAsia="en-GB"/>
              </w:rPr>
              <w:t xml:space="preserve"> on 13/08/21.</w:t>
            </w:r>
          </w:p>
          <w:p w14:paraId="11FD3322" w14:textId="77777777" w:rsidR="000978B8" w:rsidRPr="002D255E" w:rsidRDefault="000978B8" w:rsidP="000978B8">
            <w:pPr>
              <w:numPr>
                <w:ilvl w:val="0"/>
                <w:numId w:val="1"/>
              </w:numPr>
              <w:spacing w:before="60" w:after="60" w:line="240" w:lineRule="auto"/>
              <w:contextualSpacing/>
              <w:rPr>
                <w:rFonts w:eastAsia="Times New Roman" w:cstheme="minorHAnsi"/>
                <w:color w:val="000000"/>
                <w:lang w:eastAsia="en-GB"/>
              </w:rPr>
            </w:pPr>
            <w:r w:rsidRPr="002D255E">
              <w:rPr>
                <w:rFonts w:eastAsia="Times New Roman" w:cstheme="minorHAnsi"/>
                <w:color w:val="000000"/>
                <w:lang w:eastAsia="en-GB"/>
              </w:rPr>
              <w:t xml:space="preserve">Methotrexate 2 mg/mL oral solution (Jylamvo®). Date of r/evision of the text 01/01/2021. Accessed via </w:t>
            </w:r>
            <w:hyperlink r:id="rId61" w:history="1">
              <w:r w:rsidRPr="002D255E">
                <w:rPr>
                  <w:rStyle w:val="Hyperlink"/>
                  <w:rFonts w:eastAsia="Times New Roman" w:cstheme="minorHAnsi"/>
                  <w:lang w:eastAsia="en-GB"/>
                </w:rPr>
                <w:t>https://www.medicines.org.uk/emc/product/8599/</w:t>
              </w:r>
            </w:hyperlink>
            <w:r w:rsidRPr="002D255E">
              <w:rPr>
                <w:rFonts w:eastAsia="Times New Roman" w:cstheme="minorHAnsi"/>
                <w:color w:val="000000"/>
                <w:lang w:eastAsia="en-GB"/>
              </w:rPr>
              <w:t xml:space="preserve"> on 13/08/21.</w:t>
            </w:r>
          </w:p>
          <w:p w14:paraId="399F4A5C" w14:textId="77777777" w:rsidR="000978B8" w:rsidRPr="002D255E" w:rsidRDefault="000978B8" w:rsidP="000978B8">
            <w:pPr>
              <w:pStyle w:val="ListParagraph"/>
              <w:numPr>
                <w:ilvl w:val="0"/>
                <w:numId w:val="1"/>
              </w:numPr>
              <w:spacing w:before="60" w:after="60" w:line="240" w:lineRule="auto"/>
              <w:contextualSpacing/>
              <w:rPr>
                <w:rFonts w:eastAsia="Times New Roman" w:cstheme="minorHAnsi"/>
                <w:lang w:eastAsia="en-GB"/>
              </w:rPr>
            </w:pPr>
            <w:r w:rsidRPr="002D255E">
              <w:rPr>
                <w:rFonts w:eastAsia="Times New Roman" w:cstheme="minorHAnsi"/>
                <w:lang w:eastAsia="en-GB"/>
              </w:rPr>
              <w:t xml:space="preserve">British Society of Rheumatology and British Health Professionals in Rheumatology. 2017. Guidelines for the prescription and monitoring of non-biologic disease-modifying anti-rheumatic drugs. Accessed via </w:t>
            </w:r>
            <w:hyperlink r:id="rId62" w:history="1">
              <w:r w:rsidRPr="002D255E">
                <w:rPr>
                  <w:rStyle w:val="Hyperlink"/>
                  <w:rFonts w:eastAsia="Times New Roman" w:cstheme="minorHAnsi"/>
                  <w:lang w:eastAsia="en-GB"/>
                </w:rPr>
                <w:t>https://academic.oup.com/rheumatology/article/56/6/865/3053478</w:t>
              </w:r>
            </w:hyperlink>
            <w:r w:rsidRPr="002D255E">
              <w:rPr>
                <w:rFonts w:eastAsia="Times New Roman" w:cstheme="minorHAnsi"/>
                <w:lang w:eastAsia="en-GB"/>
              </w:rPr>
              <w:t xml:space="preserve">. </w:t>
            </w:r>
          </w:p>
          <w:p w14:paraId="2EF48F4D" w14:textId="77777777" w:rsidR="000978B8" w:rsidRPr="002D255E" w:rsidRDefault="000978B8" w:rsidP="000978B8">
            <w:pPr>
              <w:pStyle w:val="ListParagraph"/>
              <w:numPr>
                <w:ilvl w:val="0"/>
                <w:numId w:val="1"/>
              </w:numPr>
              <w:spacing w:before="60" w:after="60" w:line="240" w:lineRule="auto"/>
              <w:contextualSpacing/>
              <w:rPr>
                <w:rFonts w:eastAsia="Times New Roman" w:cstheme="minorHAnsi"/>
                <w:lang w:eastAsia="en-GB"/>
              </w:rPr>
            </w:pPr>
            <w:r w:rsidRPr="002D255E">
              <w:rPr>
                <w:rFonts w:eastAsia="Times New Roman" w:cstheme="minorHAnsi"/>
                <w:lang w:eastAsia="en-GB"/>
              </w:rPr>
              <w:t xml:space="preserve">British Society of Dermatologists’ guidelines for the safe and effective prescribing of methotrexate for skin disease 2016. Accessed via </w:t>
            </w:r>
            <w:hyperlink r:id="rId63" w:history="1">
              <w:r w:rsidRPr="002D255E">
                <w:rPr>
                  <w:rStyle w:val="Hyperlink"/>
                  <w:rFonts w:eastAsia="Times New Roman" w:cstheme="minorHAnsi"/>
                  <w:lang w:eastAsia="en-GB"/>
                </w:rPr>
                <w:t>https://onlinelibrary.wiley.com/doi/full/10.1111/bjd.14816</w:t>
              </w:r>
            </w:hyperlink>
            <w:r w:rsidRPr="002D255E">
              <w:rPr>
                <w:rFonts w:eastAsia="Times New Roman" w:cstheme="minorHAnsi"/>
                <w:lang w:eastAsia="en-GB"/>
              </w:rPr>
              <w:t xml:space="preserve">. </w:t>
            </w:r>
          </w:p>
          <w:p w14:paraId="772A5BAE" w14:textId="77777777" w:rsidR="000978B8" w:rsidRPr="002D255E" w:rsidRDefault="000978B8" w:rsidP="000978B8">
            <w:pPr>
              <w:pStyle w:val="ListParagraph"/>
              <w:numPr>
                <w:ilvl w:val="0"/>
                <w:numId w:val="1"/>
              </w:numPr>
              <w:spacing w:before="60" w:after="60" w:line="240" w:lineRule="auto"/>
              <w:contextualSpacing/>
              <w:rPr>
                <w:rFonts w:eastAsia="Times New Roman" w:cstheme="minorHAnsi"/>
                <w:lang w:eastAsia="en-GB"/>
              </w:rPr>
            </w:pPr>
            <w:r w:rsidRPr="002D255E">
              <w:rPr>
                <w:rFonts w:eastAsia="Times New Roman" w:cstheme="minorHAnsi"/>
                <w:lang w:eastAsia="en-GB"/>
              </w:rPr>
              <w:t xml:space="preserve">British Society of Rheumatology and British Health Professionals in Rheumatology. 2016. Guideline on prescribing drugs in pregnancy and breastfeeding – Part I: standard and biologic disease modifying anti-rheumatic drugs and corticosteroids. Accessed via </w:t>
            </w:r>
            <w:hyperlink r:id="rId64" w:history="1">
              <w:r w:rsidRPr="002D255E">
                <w:rPr>
                  <w:rStyle w:val="Hyperlink"/>
                  <w:rFonts w:eastAsia="Times New Roman" w:cstheme="minorHAnsi"/>
                  <w:lang w:eastAsia="en-GB"/>
                </w:rPr>
                <w:t>https://academic.oup.com/rheumatology/article/55/9/1693/1744535</w:t>
              </w:r>
            </w:hyperlink>
            <w:r w:rsidRPr="002D255E">
              <w:rPr>
                <w:rFonts w:eastAsia="Times New Roman" w:cstheme="minorHAnsi"/>
                <w:lang w:eastAsia="en-GB"/>
              </w:rPr>
              <w:t xml:space="preserve">. </w:t>
            </w:r>
          </w:p>
          <w:p w14:paraId="79414682" w14:textId="2F0C12D4" w:rsidR="001E3E2A" w:rsidRPr="002D255E" w:rsidRDefault="000978B8" w:rsidP="000978B8">
            <w:pPr>
              <w:pStyle w:val="ListParagraph"/>
              <w:spacing w:after="0"/>
              <w:ind w:left="360"/>
              <w:rPr>
                <w:rFonts w:eastAsia="Times New Roman" w:cs="Arial"/>
                <w:lang w:eastAsia="en-GB"/>
              </w:rPr>
            </w:pPr>
            <w:r w:rsidRPr="002D255E">
              <w:rPr>
                <w:rFonts w:eastAsia="Times New Roman" w:cstheme="minorHAnsi"/>
                <w:lang w:eastAsia="en-GB"/>
              </w:rPr>
              <w:t xml:space="preserve">MHRA Drug Safety Update. Methotrexate once-weekly for autoimmune diseases: new measures to reduce risk of fatal overdose due to inadvertent daily instead of weekly dosing. September 2020. Accessed via </w:t>
            </w:r>
            <w:hyperlink r:id="rId65" w:history="1">
              <w:r w:rsidRPr="002D255E">
                <w:rPr>
                  <w:rStyle w:val="Hyperlink"/>
                  <w:rFonts w:eastAsia="Times New Roman" w:cstheme="minorHAnsi"/>
                  <w:lang w:eastAsia="en-GB"/>
                </w:rPr>
                <w:t>https://www.gov.uk/drug-safety-update/methotrexate-once-weekly-for-autoimmune-diseases-new-measures-to-reduce-risk-of-fatal-overdose-due-to-inadvertent-daily-instead-of-weekly-dosing</w:t>
              </w:r>
            </w:hyperlink>
            <w:r w:rsidRPr="002D255E">
              <w:rPr>
                <w:rFonts w:eastAsia="Times New Roman" w:cstheme="minorHAnsi"/>
                <w:lang w:eastAsia="en-GB"/>
              </w:rPr>
              <w:t xml:space="preserve">.  </w:t>
            </w:r>
          </w:p>
        </w:tc>
      </w:tr>
      <w:tr w:rsidR="002C1756" w:rsidRPr="002D255E" w14:paraId="42F50346" w14:textId="77777777" w:rsidTr="4718CE95">
        <w:trPr>
          <w:jc w:val="center"/>
        </w:trPr>
        <w:tc>
          <w:tcPr>
            <w:tcW w:w="10455" w:type="dxa"/>
            <w:tcBorders>
              <w:bottom w:val="nil"/>
            </w:tcBorders>
            <w:shd w:val="clear" w:color="auto" w:fill="F2F2F2" w:themeFill="background1" w:themeFillShade="F2"/>
          </w:tcPr>
          <w:p w14:paraId="24F76BF3" w14:textId="4C261A28" w:rsidR="002C1756" w:rsidRPr="002D255E" w:rsidRDefault="002C1756" w:rsidP="007F3977">
            <w:pPr>
              <w:pStyle w:val="Heading1"/>
              <w:tabs>
                <w:tab w:val="right" w:pos="10240"/>
              </w:tabs>
              <w:ind w:left="599" w:hanging="599"/>
              <w:rPr>
                <w:lang w:eastAsia="en-GB"/>
              </w:rPr>
            </w:pPr>
            <w:bookmarkStart w:id="23" w:name="Sixteen_relevant_guidance"/>
            <w:r w:rsidRPr="002D255E">
              <w:rPr>
                <w:lang w:eastAsia="en-GB"/>
              </w:rPr>
              <w:lastRenderedPageBreak/>
              <w:t>Other relevant national guidance</w:t>
            </w:r>
            <w:bookmarkEnd w:id="23"/>
            <w:r w:rsidR="007F3977" w:rsidRPr="002D255E">
              <w:rPr>
                <w:lang w:eastAsia="en-GB"/>
              </w:rPr>
              <w:t xml:space="preserve"> </w:t>
            </w:r>
            <w:r w:rsidR="007F3977" w:rsidRPr="002D255E">
              <w:rPr>
                <w:lang w:eastAsia="en-GB"/>
              </w:rPr>
              <w:tab/>
            </w:r>
            <w:hyperlink w:anchor="Responsibilities" w:history="1">
              <w:r w:rsidR="007F3977" w:rsidRPr="002D255E">
                <w:rPr>
                  <w:rStyle w:val="Hyperlink"/>
                  <w:rFonts w:eastAsia="Times New Roman" w:cs="Arial"/>
                  <w:b w:val="0"/>
                  <w:bCs w:val="0"/>
                  <w:sz w:val="24"/>
                  <w:szCs w:val="24"/>
                  <w:lang w:eastAsia="en-GB"/>
                </w:rPr>
                <w:t>Back to top</w:t>
              </w:r>
            </w:hyperlink>
          </w:p>
        </w:tc>
      </w:tr>
      <w:tr w:rsidR="002C1756" w:rsidRPr="002D255E" w14:paraId="4CE5A668" w14:textId="77777777" w:rsidTr="4718CE95">
        <w:trPr>
          <w:jc w:val="center"/>
        </w:trPr>
        <w:tc>
          <w:tcPr>
            <w:tcW w:w="10455" w:type="dxa"/>
            <w:tcBorders>
              <w:top w:val="nil"/>
              <w:bottom w:val="single" w:sz="4" w:space="0" w:color="auto"/>
            </w:tcBorders>
          </w:tcPr>
          <w:p w14:paraId="724B9424" w14:textId="77777777" w:rsidR="000978B8" w:rsidRPr="002D255E" w:rsidRDefault="000978B8" w:rsidP="000978B8">
            <w:pPr>
              <w:pStyle w:val="ListParagraph"/>
              <w:numPr>
                <w:ilvl w:val="0"/>
                <w:numId w:val="2"/>
              </w:numPr>
              <w:spacing w:before="60" w:after="60" w:line="240" w:lineRule="auto"/>
              <w:ind w:left="357" w:hanging="357"/>
              <w:rPr>
                <w:rFonts w:eastAsia="Times New Roman" w:cstheme="minorHAnsi"/>
                <w:lang w:eastAsia="en-GB"/>
              </w:rPr>
            </w:pPr>
            <w:r w:rsidRPr="002D255E">
              <w:rPr>
                <w:rFonts w:eastAsia="Times New Roman" w:cstheme="minorHAnsi"/>
                <w:lang w:eastAsia="en-GB"/>
              </w:rPr>
              <w:t xml:space="preserve">Shared Care for Medicines Guidance – A Standard Approach (RMOC). Available from </w:t>
            </w:r>
            <w:hyperlink r:id="rId66" w:history="1">
              <w:r w:rsidRPr="002D255E">
                <w:rPr>
                  <w:rStyle w:val="Hyperlink"/>
                  <w:rFonts w:eastAsia="Times New Roman" w:cstheme="minorHAnsi"/>
                  <w:lang w:eastAsia="en-GB"/>
                </w:rPr>
                <w:t>https://www.sps.nhs.uk/articles/rmoc-shared-care-guidance/</w:t>
              </w:r>
            </w:hyperlink>
            <w:r w:rsidRPr="002D255E">
              <w:rPr>
                <w:rFonts w:eastAsia="Times New Roman" w:cstheme="minorHAnsi"/>
                <w:lang w:eastAsia="en-GB"/>
              </w:rPr>
              <w:t xml:space="preserve"> </w:t>
            </w:r>
          </w:p>
          <w:p w14:paraId="587F28D4" w14:textId="77777777" w:rsidR="000978B8" w:rsidRPr="002D255E" w:rsidRDefault="000978B8" w:rsidP="000978B8">
            <w:pPr>
              <w:pStyle w:val="ListParagraph"/>
              <w:numPr>
                <w:ilvl w:val="0"/>
                <w:numId w:val="2"/>
              </w:numPr>
              <w:spacing w:before="60" w:after="60" w:line="240" w:lineRule="auto"/>
              <w:ind w:left="357" w:hanging="357"/>
              <w:rPr>
                <w:rFonts w:eastAsia="Times New Roman" w:cstheme="minorHAnsi"/>
                <w:lang w:eastAsia="en-GB"/>
              </w:rPr>
            </w:pPr>
            <w:r w:rsidRPr="002D255E">
              <w:rPr>
                <w:rFonts w:eastAsia="Times New Roman" w:cstheme="minorHAnsi"/>
                <w:lang w:eastAsia="en-GB"/>
              </w:rPr>
              <w:t xml:space="preserve">NHSE guidance – </w:t>
            </w:r>
            <w:r w:rsidRPr="002D255E">
              <w:t xml:space="preserve">Responsibility for prescribing between primary &amp; secondary/tertiary care. Available from </w:t>
            </w:r>
            <w:hyperlink r:id="rId67" w:history="1">
              <w:r w:rsidRPr="002D255E">
                <w:rPr>
                  <w:rStyle w:val="Hyperlink"/>
                </w:rPr>
                <w:t>https://www.england.nhs.uk/publication/responsibility-for-prescribing-between-primary-and-secondary-tertiary-care/</w:t>
              </w:r>
            </w:hyperlink>
            <w:r w:rsidRPr="002D255E">
              <w:t xml:space="preserve"> </w:t>
            </w:r>
          </w:p>
          <w:p w14:paraId="1C33BDF3" w14:textId="77777777" w:rsidR="000978B8" w:rsidRPr="002D255E" w:rsidRDefault="000978B8" w:rsidP="000978B8">
            <w:pPr>
              <w:pStyle w:val="ListParagraph"/>
              <w:numPr>
                <w:ilvl w:val="0"/>
                <w:numId w:val="2"/>
              </w:numPr>
              <w:spacing w:before="60" w:after="60" w:line="240" w:lineRule="auto"/>
              <w:ind w:left="357" w:hanging="357"/>
              <w:rPr>
                <w:rFonts w:eastAsia="Times New Roman" w:cstheme="minorHAnsi"/>
                <w:lang w:eastAsia="en-GB"/>
              </w:rPr>
            </w:pPr>
            <w:r w:rsidRPr="002D255E">
              <w:rPr>
                <w:rFonts w:eastAsia="Times New Roman" w:cstheme="minorHAnsi"/>
                <w:lang w:eastAsia="en-GB"/>
              </w:rPr>
              <w:t xml:space="preserve">General Medical Council. Good practice in prescribing and managing medicines and devices. Shared care. Available from </w:t>
            </w:r>
            <w:hyperlink r:id="rId68" w:history="1">
              <w:r w:rsidRPr="002D255E">
                <w:rPr>
                  <w:rStyle w:val="Hyperlink"/>
                  <w:rFonts w:eastAsia="Times New Roman" w:cstheme="minorHAnsi"/>
                  <w:lang w:eastAsia="en-GB"/>
                </w:rPr>
                <w:t>https://www.gmc-uk.org/ethical-guidance/ethical-guidance-for-doctors/good-practice-in-prescribing-and-managing-medicines-and-devices/shared-care</w:t>
              </w:r>
            </w:hyperlink>
            <w:r w:rsidRPr="002D255E">
              <w:rPr>
                <w:rFonts w:eastAsia="Times New Roman" w:cstheme="minorHAnsi"/>
                <w:lang w:eastAsia="en-GB"/>
              </w:rPr>
              <w:t xml:space="preserve"> </w:t>
            </w:r>
          </w:p>
          <w:p w14:paraId="17D120D7" w14:textId="32B9C7D3" w:rsidR="002C1756" w:rsidRPr="002D255E" w:rsidRDefault="000978B8" w:rsidP="000978B8">
            <w:pPr>
              <w:pStyle w:val="ListParagraph"/>
              <w:numPr>
                <w:ilvl w:val="0"/>
                <w:numId w:val="2"/>
              </w:numPr>
              <w:spacing w:before="60" w:after="60" w:line="240" w:lineRule="auto"/>
              <w:ind w:left="357" w:hanging="357"/>
              <w:rPr>
                <w:rFonts w:eastAsia="Times New Roman" w:cstheme="minorHAnsi"/>
                <w:lang w:eastAsia="en-GB"/>
              </w:rPr>
            </w:pPr>
            <w:r w:rsidRPr="002D255E">
              <w:rPr>
                <w:rFonts w:eastAsia="Times New Roman" w:cstheme="minorHAnsi"/>
                <w:lang w:eastAsia="en-GB"/>
              </w:rPr>
              <w:t xml:space="preserve">NICE NG197: Shared decision making. Last updated June 2021. </w:t>
            </w:r>
            <w:hyperlink r:id="rId69" w:history="1">
              <w:r w:rsidRPr="002D255E">
                <w:rPr>
                  <w:rStyle w:val="Hyperlink"/>
                  <w:rFonts w:eastAsia="Times New Roman" w:cstheme="minorHAnsi"/>
                  <w:lang w:eastAsia="en-GB"/>
                </w:rPr>
                <w:t>https://www.nice.org.uk/guidance/ng197/</w:t>
              </w:r>
            </w:hyperlink>
            <w:r w:rsidRPr="002D255E">
              <w:rPr>
                <w:rFonts w:eastAsia="Times New Roman" w:cstheme="minorHAnsi"/>
                <w:lang w:eastAsia="en-GB"/>
              </w:rPr>
              <w:t>.</w:t>
            </w:r>
          </w:p>
        </w:tc>
      </w:tr>
      <w:tr w:rsidR="00B92DDF" w:rsidRPr="002D255E" w14:paraId="47C81485" w14:textId="77777777" w:rsidTr="4718CE95">
        <w:trPr>
          <w:jc w:val="center"/>
        </w:trPr>
        <w:tc>
          <w:tcPr>
            <w:tcW w:w="10455" w:type="dxa"/>
            <w:tcBorders>
              <w:bottom w:val="nil"/>
            </w:tcBorders>
            <w:shd w:val="clear" w:color="auto" w:fill="F2F2F2" w:themeFill="background1" w:themeFillShade="F2"/>
          </w:tcPr>
          <w:p w14:paraId="24773817" w14:textId="201B7BAE" w:rsidR="00B92DDF" w:rsidRPr="002D255E" w:rsidRDefault="00B92DDF" w:rsidP="00846A4A">
            <w:pPr>
              <w:pStyle w:val="Heading1"/>
              <w:tabs>
                <w:tab w:val="right" w:pos="10240"/>
              </w:tabs>
              <w:ind w:left="599" w:hanging="599"/>
              <w:rPr>
                <w:lang w:eastAsia="en-GB"/>
              </w:rPr>
            </w:pPr>
            <w:r w:rsidRPr="002D255E">
              <w:rPr>
                <w:lang w:eastAsia="en-GB"/>
              </w:rPr>
              <w:t xml:space="preserve">Local arrangements for referral </w:t>
            </w:r>
            <w:r w:rsidRPr="002D255E">
              <w:rPr>
                <w:lang w:eastAsia="en-GB"/>
              </w:rPr>
              <w:tab/>
            </w:r>
            <w:hyperlink w:anchor="Responsibilities" w:history="1">
              <w:r w:rsidRPr="002D255E">
                <w:rPr>
                  <w:rStyle w:val="Hyperlink"/>
                  <w:rFonts w:eastAsia="Times New Roman" w:cs="Arial"/>
                  <w:b w:val="0"/>
                  <w:bCs w:val="0"/>
                  <w:sz w:val="24"/>
                  <w:szCs w:val="24"/>
                  <w:lang w:eastAsia="en-GB"/>
                </w:rPr>
                <w:t>Back to top</w:t>
              </w:r>
            </w:hyperlink>
          </w:p>
          <w:p w14:paraId="0CAF9A88" w14:textId="77777777" w:rsidR="00B92DDF" w:rsidRPr="002D255E" w:rsidRDefault="00B92DDF" w:rsidP="00B92DDF">
            <w:pPr>
              <w:spacing w:before="60" w:after="60" w:line="240" w:lineRule="auto"/>
              <w:rPr>
                <w:rFonts w:eastAsia="Times New Roman" w:cs="Arial"/>
                <w:lang w:eastAsia="en-GB"/>
              </w:rPr>
            </w:pPr>
            <w:r w:rsidRPr="002D255E">
              <w:rPr>
                <w:rFonts w:eastAsia="Times New Roman" w:cs="Arial"/>
                <w:bCs/>
                <w:lang w:eastAsia="en-GB"/>
              </w:rPr>
              <w:t>Define the referral procedure from hospital to primary care prescriber &amp; route of return should the patient’s condition change.</w:t>
            </w:r>
          </w:p>
        </w:tc>
      </w:tr>
      <w:tr w:rsidR="00B92DDF" w:rsidRPr="002D255E" w14:paraId="1EFCF2EC" w14:textId="77777777" w:rsidTr="4718CE95">
        <w:trPr>
          <w:jc w:val="center"/>
        </w:trPr>
        <w:tc>
          <w:tcPr>
            <w:tcW w:w="10455" w:type="dxa"/>
            <w:tcBorders>
              <w:top w:val="nil"/>
            </w:tcBorders>
          </w:tcPr>
          <w:sdt>
            <w:sdtPr>
              <w:rPr>
                <w:rFonts w:eastAsia="Times New Roman" w:cs="Arial"/>
                <w:color w:val="000000"/>
                <w:lang w:val="en" w:eastAsia="en-GB"/>
              </w:rPr>
              <w:id w:val="-231777724"/>
            </w:sdtPr>
            <w:sdtContent>
              <w:p w14:paraId="51A4166B" w14:textId="26771944" w:rsidR="00B92DDF" w:rsidRPr="002D255E" w:rsidRDefault="646B1CA9" w:rsidP="00B92DDF">
                <w:pPr>
                  <w:spacing w:before="60" w:after="60" w:line="240" w:lineRule="auto"/>
                  <w:rPr>
                    <w:rFonts w:eastAsia="Times New Roman" w:cs="Arial"/>
                    <w:color w:val="000000"/>
                    <w:lang w:val="en" w:eastAsia="en-GB"/>
                  </w:rPr>
                </w:pPr>
                <w:r w:rsidRPr="00EF1639">
                  <w:rPr>
                    <w:rFonts w:eastAsia="Times New Roman" w:cs="Arial"/>
                    <w:lang w:eastAsia="en-GB"/>
                  </w:rPr>
                  <w:t>Follow Place based</w:t>
                </w:r>
                <w:r w:rsidR="006A7E6C" w:rsidRPr="00EF1639">
                  <w:rPr>
                    <w:rFonts w:eastAsia="Times New Roman" w:cs="Arial"/>
                    <w:lang w:eastAsia="en-GB"/>
                  </w:rPr>
                  <w:t xml:space="preserve"> processes. </w:t>
                </w:r>
              </w:p>
            </w:sdtContent>
          </w:sdt>
        </w:tc>
      </w:tr>
    </w:tbl>
    <w:p w14:paraId="592C80B3" w14:textId="50DD9684" w:rsidR="005F6358" w:rsidRPr="002D255E" w:rsidRDefault="005F6358" w:rsidP="00F13240">
      <w:pPr>
        <w:pStyle w:val="Heading1"/>
        <w:numPr>
          <w:ilvl w:val="0"/>
          <w:numId w:val="0"/>
        </w:numPr>
      </w:pPr>
      <w:bookmarkStart w:id="24" w:name="_Toc64632334"/>
      <w:r w:rsidRPr="002D255E">
        <w:lastRenderedPageBreak/>
        <w:t>Appendix 1: Shared Care Request letter (Specialist to Primary Care Prescriber)</w:t>
      </w:r>
      <w:bookmarkEnd w:id="24"/>
    </w:p>
    <w:p w14:paraId="167302C7" w14:textId="77777777" w:rsidR="00CD1225" w:rsidRPr="006C3BBB" w:rsidRDefault="00CD1225" w:rsidP="00CD1225">
      <w:pPr>
        <w:rPr>
          <w:rFonts w:eastAsia="Times New Roman" w:cs="Calibri"/>
          <w:szCs w:val="24"/>
        </w:rPr>
      </w:pPr>
      <w:bookmarkStart w:id="25" w:name="_Hlk193792059"/>
      <w:r w:rsidRPr="006C3BBB">
        <w:rPr>
          <w:rFonts w:eastAsia="Times New Roman" w:cs="Calibri"/>
          <w:szCs w:val="24"/>
        </w:rPr>
        <w:t xml:space="preserve">Dear </w:t>
      </w:r>
      <w:permStart w:id="659903707" w:edGrp="everyone"/>
      <w:r w:rsidRPr="006C3BBB">
        <w:rPr>
          <w:rFonts w:eastAsia="Times New Roman" w:cs="Calibri"/>
          <w:i/>
          <w:iCs/>
          <w:szCs w:val="24"/>
        </w:rPr>
        <w:t>insert Primary Care Prescriber's name</w:t>
      </w:r>
      <w:permEnd w:id="659903707"/>
    </w:p>
    <w:p w14:paraId="553E453D" w14:textId="77777777" w:rsidR="00CD1225" w:rsidRPr="006C3BBB" w:rsidRDefault="00CD1225" w:rsidP="00CD1225">
      <w:pPr>
        <w:spacing w:after="0"/>
        <w:rPr>
          <w:rFonts w:eastAsia="Times New Roman" w:cs="Calibri"/>
          <w:szCs w:val="24"/>
        </w:rPr>
      </w:pPr>
      <w:r w:rsidRPr="006C3BBB">
        <w:rPr>
          <w:rFonts w:eastAsia="Times New Roman" w:cs="Calibri"/>
          <w:szCs w:val="24"/>
        </w:rPr>
        <w:t>Patient name:</w:t>
      </w:r>
      <w:r>
        <w:rPr>
          <w:rFonts w:eastAsia="Times New Roman" w:cs="Calibri"/>
          <w:szCs w:val="24"/>
        </w:rPr>
        <w:t xml:space="preserve"> </w:t>
      </w:r>
      <w:permStart w:id="263789382" w:edGrp="everyone"/>
      <w:r w:rsidRPr="006C3BBB">
        <w:rPr>
          <w:rFonts w:eastAsia="Times New Roman" w:cs="Calibri"/>
          <w:i/>
          <w:iCs/>
          <w:szCs w:val="24"/>
        </w:rPr>
        <w:t>insert patient's name</w:t>
      </w:r>
      <w:permEnd w:id="263789382"/>
    </w:p>
    <w:p w14:paraId="50F310CC" w14:textId="205CDCA2" w:rsidR="00CD1225" w:rsidRPr="006C3BBB" w:rsidRDefault="00CD1225" w:rsidP="00CD1225">
      <w:pPr>
        <w:spacing w:after="0"/>
        <w:rPr>
          <w:rFonts w:eastAsia="Times New Roman" w:cs="Calibri"/>
          <w:i/>
          <w:szCs w:val="24"/>
        </w:rPr>
      </w:pPr>
      <w:r w:rsidRPr="006C3BBB">
        <w:rPr>
          <w:rFonts w:eastAsia="Times New Roman" w:cs="Calibri"/>
          <w:szCs w:val="24"/>
        </w:rPr>
        <w:t>Date of birth:</w:t>
      </w:r>
      <w:r w:rsidRPr="006C3BBB">
        <w:rPr>
          <w:rFonts w:eastAsia="Times New Roman" w:cs="Calibri"/>
          <w:szCs w:val="24"/>
        </w:rPr>
        <w:tab/>
      </w:r>
      <w:permStart w:id="1738698381" w:edGrp="everyone"/>
      <w:r w:rsidRPr="006C3BBB">
        <w:rPr>
          <w:rFonts w:eastAsia="Times New Roman" w:cs="Calibri"/>
          <w:i/>
          <w:iCs/>
          <w:szCs w:val="24"/>
        </w:rPr>
        <w:t>insert date</w:t>
      </w:r>
      <w:r w:rsidR="00DF09C5">
        <w:t xml:space="preserve"> </w:t>
      </w:r>
      <w:r w:rsidRPr="006C3BBB">
        <w:rPr>
          <w:rFonts w:eastAsia="Times New Roman" w:cs="Calibri"/>
          <w:i/>
          <w:iCs/>
          <w:szCs w:val="24"/>
        </w:rPr>
        <w:t>of birth</w:t>
      </w:r>
      <w:permEnd w:id="1738698381"/>
    </w:p>
    <w:p w14:paraId="17D84192" w14:textId="77777777" w:rsidR="00CD1225" w:rsidRPr="006C3BBB" w:rsidRDefault="00CD1225" w:rsidP="00CD1225">
      <w:pPr>
        <w:spacing w:after="0"/>
        <w:rPr>
          <w:rFonts w:eastAsia="Times New Roman" w:cs="Calibri"/>
          <w:szCs w:val="24"/>
        </w:rPr>
      </w:pPr>
      <w:r w:rsidRPr="006C3BBB">
        <w:rPr>
          <w:rFonts w:eastAsia="Times New Roman" w:cs="Calibri"/>
          <w:szCs w:val="24"/>
        </w:rPr>
        <w:t>NHS Number</w:t>
      </w:r>
      <w:r w:rsidRPr="006C3BBB">
        <w:rPr>
          <w:rFonts w:eastAsia="Times New Roman" w:cs="Calibri"/>
          <w:i/>
          <w:szCs w:val="24"/>
        </w:rPr>
        <w:t xml:space="preserve">: </w:t>
      </w:r>
      <w:permStart w:id="2073825780" w:edGrp="everyone"/>
      <w:r w:rsidRPr="006C3BBB">
        <w:rPr>
          <w:rFonts w:eastAsia="Times New Roman" w:cs="Calibri"/>
          <w:i/>
          <w:szCs w:val="24"/>
        </w:rPr>
        <w:t>insert NHS Number</w:t>
      </w:r>
      <w:permEnd w:id="2073825780"/>
    </w:p>
    <w:p w14:paraId="5E584140" w14:textId="77777777" w:rsidR="00CD1225" w:rsidRPr="006C3BBB" w:rsidRDefault="00CD1225" w:rsidP="00602218">
      <w:pPr>
        <w:spacing w:line="240" w:lineRule="auto"/>
        <w:rPr>
          <w:rFonts w:eastAsia="Times New Roman" w:cs="Calibri"/>
          <w:i/>
          <w:szCs w:val="24"/>
        </w:rPr>
      </w:pPr>
      <w:r w:rsidRPr="006C3BBB">
        <w:rPr>
          <w:rFonts w:eastAsia="Times New Roman" w:cs="Calibri"/>
          <w:szCs w:val="24"/>
        </w:rPr>
        <w:t xml:space="preserve">Diagnosis: </w:t>
      </w:r>
      <w:r w:rsidRPr="006C3BBB">
        <w:rPr>
          <w:rFonts w:eastAsia="Times New Roman" w:cs="Calibri"/>
          <w:i/>
          <w:iCs/>
          <w:szCs w:val="24"/>
        </w:rPr>
        <w:t>i</w:t>
      </w:r>
      <w:permStart w:id="1573415157" w:edGrp="everyone"/>
      <w:r w:rsidRPr="006C3BBB">
        <w:rPr>
          <w:rFonts w:eastAsia="Times New Roman" w:cs="Calibri"/>
          <w:i/>
          <w:iCs/>
          <w:szCs w:val="24"/>
        </w:rPr>
        <w:t>nsert diagnosis</w:t>
      </w:r>
      <w:permEnd w:id="1573415157"/>
    </w:p>
    <w:p w14:paraId="7ACC0B77" w14:textId="77777777" w:rsidR="00CD1225" w:rsidRDefault="00CD1225" w:rsidP="00602218">
      <w:pPr>
        <w:spacing w:after="0" w:line="240" w:lineRule="auto"/>
        <w:rPr>
          <w:rFonts w:eastAsia="Calibri" w:cs="Times New Roman"/>
          <w:szCs w:val="24"/>
        </w:rPr>
      </w:pPr>
    </w:p>
    <w:p w14:paraId="00E0BE8F" w14:textId="77777777" w:rsidR="00CD1225" w:rsidRPr="006C3BBB" w:rsidRDefault="00CD1225" w:rsidP="00602218">
      <w:pPr>
        <w:spacing w:line="240" w:lineRule="auto"/>
        <w:rPr>
          <w:rFonts w:eastAsia="Calibri" w:cs="Times New Roman"/>
          <w:i/>
          <w:iCs/>
          <w:szCs w:val="24"/>
        </w:rPr>
      </w:pPr>
      <w:r w:rsidRPr="006C3BBB">
        <w:rPr>
          <w:rFonts w:eastAsia="Calibri" w:cs="Times New Roman"/>
          <w:szCs w:val="24"/>
        </w:rPr>
        <w:t>As per the agreed</w:t>
      </w:r>
      <w:r>
        <w:rPr>
          <w:rFonts w:eastAsia="Calibri" w:cs="Times New Roman"/>
          <w:szCs w:val="24"/>
        </w:rPr>
        <w:t xml:space="preserve"> SWL s</w:t>
      </w:r>
      <w:r w:rsidRPr="006C3BBB">
        <w:rPr>
          <w:rFonts w:eastAsia="Calibri" w:cs="Times New Roman"/>
          <w:szCs w:val="24"/>
        </w:rPr>
        <w:t>hared care protocol for</w:t>
      </w:r>
      <w:r>
        <w:rPr>
          <w:rFonts w:eastAsia="Calibri" w:cs="Times New Roman"/>
          <w:szCs w:val="24"/>
        </w:rPr>
        <w:t xml:space="preserve"> </w:t>
      </w:r>
      <w:permStart w:id="515340750" w:edGrp="everyone"/>
      <w:r w:rsidRPr="006C3BBB">
        <w:rPr>
          <w:rFonts w:eastAsia="Calibri" w:cs="Times New Roman"/>
          <w:i/>
          <w:iCs/>
          <w:szCs w:val="24"/>
        </w:rPr>
        <w:t>insert medicine name</w:t>
      </w:r>
      <w:r>
        <w:rPr>
          <w:rFonts w:eastAsia="Calibri" w:cs="Times New Roman"/>
          <w:i/>
          <w:iCs/>
          <w:szCs w:val="24"/>
        </w:rPr>
        <w:t xml:space="preserve"> </w:t>
      </w:r>
      <w:permEnd w:id="515340750"/>
      <w:r w:rsidRPr="006C3BBB">
        <w:rPr>
          <w:rFonts w:eastAsia="Calibri" w:cs="Times New Roman"/>
          <w:szCs w:val="24"/>
        </w:rPr>
        <w:t xml:space="preserve">for the treatment of </w:t>
      </w:r>
      <w:permStart w:id="863141056" w:edGrp="everyone"/>
      <w:r w:rsidRPr="006C3BBB">
        <w:rPr>
          <w:rFonts w:eastAsia="Calibri" w:cs="Times New Roman"/>
          <w:i/>
          <w:iCs/>
          <w:szCs w:val="24"/>
        </w:rPr>
        <w:t>insert indication</w:t>
      </w:r>
      <w:permEnd w:id="863141056"/>
      <w:r w:rsidRPr="006C3BBB">
        <w:rPr>
          <w:rFonts w:eastAsia="Calibri" w:cs="Times New Roman"/>
          <w:i/>
          <w:szCs w:val="24"/>
        </w:rPr>
        <w:t xml:space="preserve">, </w:t>
      </w:r>
      <w:r w:rsidRPr="006C3BBB">
        <w:rPr>
          <w:rFonts w:eastAsia="Calibri" w:cs="Times New Roman"/>
          <w:szCs w:val="24"/>
        </w:rPr>
        <w:t>this patient is now suitable for prescribing to move to primary care.</w:t>
      </w:r>
    </w:p>
    <w:bookmarkEnd w:id="25"/>
    <w:p w14:paraId="48FB1DD5" w14:textId="77777777" w:rsidR="00CD1225" w:rsidRPr="009E33B5" w:rsidRDefault="00CD1225" w:rsidP="00602218">
      <w:pPr>
        <w:spacing w:after="0" w:line="240" w:lineRule="auto"/>
        <w:rPr>
          <w:rFonts w:eastAsia="Times New Roman" w:cs="Arial"/>
          <w:szCs w:val="24"/>
        </w:rPr>
      </w:pPr>
      <w:r w:rsidRPr="009E33B5">
        <w:rPr>
          <w:rFonts w:eastAsia="Times New Roman" w:cs="Arial"/>
          <w:szCs w:val="24"/>
        </w:rPr>
        <w:t xml:space="preserve"> </w:t>
      </w:r>
    </w:p>
    <w:p w14:paraId="64B462D3" w14:textId="77777777" w:rsidR="00CD1225" w:rsidRPr="009E33B5" w:rsidRDefault="00CD1225" w:rsidP="00602218">
      <w:pPr>
        <w:spacing w:after="0" w:line="240" w:lineRule="auto"/>
        <w:rPr>
          <w:rFonts w:eastAsia="Times New Roman" w:cs="Arial"/>
          <w:szCs w:val="24"/>
        </w:rPr>
      </w:pPr>
      <w:r w:rsidRPr="009E33B5">
        <w:rPr>
          <w:rFonts w:eastAsia="Times New Roman" w:cs="Arial"/>
          <w:szCs w:val="24"/>
        </w:rPr>
        <w:t>The patient fulfils criteria for shared care and I am therefore requesting your agreement to participate in shared care. Where baseline investigations are set out in the shared care protocol, I have carried these out.</w:t>
      </w:r>
    </w:p>
    <w:p w14:paraId="63FAAEC5" w14:textId="77777777" w:rsidR="005F6358" w:rsidRPr="002D255E" w:rsidRDefault="005F6358" w:rsidP="00F13240">
      <w:r w:rsidRPr="002D255E">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F6358" w:rsidRPr="002D255E" w14:paraId="0B8EECC0" w14:textId="77777777" w:rsidTr="00F13240">
        <w:tc>
          <w:tcPr>
            <w:tcW w:w="7650" w:type="dxa"/>
            <w:shd w:val="clear" w:color="auto" w:fill="D9D9D9" w:themeFill="background1" w:themeFillShade="D9"/>
            <w:vAlign w:val="center"/>
          </w:tcPr>
          <w:p w14:paraId="230FB15B" w14:textId="77777777" w:rsidR="005F6358" w:rsidRPr="002D255E" w:rsidRDefault="005F6358" w:rsidP="00F13240">
            <w:pPr>
              <w:spacing w:before="60" w:after="60" w:line="276" w:lineRule="auto"/>
              <w:jc w:val="center"/>
              <w:rPr>
                <w:rFonts w:eastAsia="Times New Roman" w:cstheme="minorHAnsi"/>
                <w:b/>
                <w:sz w:val="18"/>
              </w:rPr>
            </w:pPr>
          </w:p>
        </w:tc>
        <w:tc>
          <w:tcPr>
            <w:tcW w:w="2126" w:type="dxa"/>
            <w:shd w:val="clear" w:color="auto" w:fill="D9D9D9" w:themeFill="background1" w:themeFillShade="D9"/>
            <w:vAlign w:val="center"/>
          </w:tcPr>
          <w:p w14:paraId="2C13B837" w14:textId="77777777" w:rsidR="005F6358" w:rsidRPr="002D255E" w:rsidRDefault="005F6358" w:rsidP="00F13240">
            <w:pPr>
              <w:spacing w:before="60" w:after="60" w:line="276" w:lineRule="auto"/>
              <w:jc w:val="center"/>
              <w:rPr>
                <w:rFonts w:eastAsia="Times New Roman" w:cstheme="minorHAnsi"/>
                <w:b/>
                <w:sz w:val="18"/>
              </w:rPr>
            </w:pPr>
            <w:r w:rsidRPr="002D255E">
              <w:rPr>
                <w:rFonts w:eastAsia="Times New Roman" w:cstheme="minorHAnsi"/>
                <w:b/>
                <w:sz w:val="18"/>
              </w:rPr>
              <w:t>Specialist to complete</w:t>
            </w:r>
          </w:p>
        </w:tc>
      </w:tr>
      <w:tr w:rsidR="005F6358" w:rsidRPr="002D255E" w14:paraId="36312264" w14:textId="77777777" w:rsidTr="00F13240">
        <w:tc>
          <w:tcPr>
            <w:tcW w:w="7650" w:type="dxa"/>
            <w:vAlign w:val="center"/>
          </w:tcPr>
          <w:p w14:paraId="051D4244" w14:textId="77777777" w:rsidR="005F6358" w:rsidRPr="002D255E" w:rsidRDefault="005F6358" w:rsidP="00F13240">
            <w:pPr>
              <w:spacing w:before="60" w:after="60" w:line="276" w:lineRule="auto"/>
              <w:jc w:val="right"/>
              <w:rPr>
                <w:rFonts w:eastAsia="Times New Roman" w:cstheme="minorHAnsi"/>
                <w:i/>
                <w:sz w:val="18"/>
              </w:rPr>
            </w:pPr>
            <w:permStart w:id="319768827" w:edGrp="everyone" w:colFirst="1" w:colLast="1"/>
            <w:r w:rsidRPr="002D255E">
              <w:rPr>
                <w:rFonts w:eastAsia="Times New Roman" w:cstheme="minorHAnsi"/>
                <w:i/>
                <w:sz w:val="18"/>
              </w:rPr>
              <w:t>The patient has been initiated on this therapy and has been on an optimised dose for the following period of time:</w:t>
            </w:r>
          </w:p>
        </w:tc>
        <w:tc>
          <w:tcPr>
            <w:tcW w:w="2126" w:type="dxa"/>
          </w:tcPr>
          <w:p w14:paraId="4E83ED3D" w14:textId="77777777" w:rsidR="005F6358" w:rsidRPr="002D255E" w:rsidRDefault="005F6358" w:rsidP="00F13240">
            <w:pPr>
              <w:spacing w:before="60" w:after="60" w:line="276" w:lineRule="auto"/>
              <w:rPr>
                <w:rFonts w:eastAsia="Times New Roman" w:cstheme="minorHAnsi"/>
                <w:i/>
                <w:sz w:val="18"/>
              </w:rPr>
            </w:pPr>
          </w:p>
        </w:tc>
      </w:tr>
      <w:tr w:rsidR="005F6358" w:rsidRPr="002D255E" w14:paraId="296A4D6C" w14:textId="77777777" w:rsidTr="00F13240">
        <w:tc>
          <w:tcPr>
            <w:tcW w:w="7650" w:type="dxa"/>
            <w:vAlign w:val="center"/>
          </w:tcPr>
          <w:p w14:paraId="16011904" w14:textId="77777777" w:rsidR="005F6358" w:rsidRPr="002D255E" w:rsidRDefault="005F6358" w:rsidP="00F13240">
            <w:pPr>
              <w:spacing w:before="60" w:after="60" w:line="276" w:lineRule="auto"/>
              <w:jc w:val="right"/>
              <w:rPr>
                <w:rFonts w:eastAsia="Times New Roman" w:cstheme="minorHAnsi"/>
                <w:i/>
                <w:sz w:val="18"/>
              </w:rPr>
            </w:pPr>
            <w:permStart w:id="1466656369" w:edGrp="everyone" w:colFirst="1" w:colLast="1"/>
            <w:permEnd w:id="319768827"/>
            <w:r w:rsidRPr="002D255E">
              <w:rPr>
                <w:rFonts w:eastAsia="Times New Roman" w:cstheme="minorHAnsi"/>
                <w:i/>
                <w:sz w:val="18"/>
              </w:rPr>
              <w:t>Baseline investigation and monitoring as set out in the shared care documents have been completed and were satisfactory</w:t>
            </w:r>
          </w:p>
        </w:tc>
        <w:tc>
          <w:tcPr>
            <w:tcW w:w="2126" w:type="dxa"/>
            <w:vAlign w:val="center"/>
          </w:tcPr>
          <w:p w14:paraId="43297B41" w14:textId="77777777" w:rsidR="005F6358" w:rsidRPr="002D255E" w:rsidRDefault="005F6358" w:rsidP="00F13240">
            <w:pPr>
              <w:spacing w:before="60" w:after="60" w:line="276" w:lineRule="auto"/>
              <w:jc w:val="center"/>
              <w:rPr>
                <w:rFonts w:eastAsia="Times New Roman" w:cstheme="minorHAnsi"/>
                <w:i/>
                <w:sz w:val="18"/>
              </w:rPr>
            </w:pPr>
            <w:r w:rsidRPr="002D255E">
              <w:rPr>
                <w:rFonts w:eastAsia="Times New Roman" w:cstheme="minorHAnsi"/>
                <w:i/>
                <w:sz w:val="18"/>
              </w:rPr>
              <w:t>Yes  /  No</w:t>
            </w:r>
          </w:p>
        </w:tc>
      </w:tr>
      <w:tr w:rsidR="005F6358" w:rsidRPr="002D255E" w14:paraId="60A05EDF" w14:textId="77777777" w:rsidTr="00F13240">
        <w:tc>
          <w:tcPr>
            <w:tcW w:w="7650" w:type="dxa"/>
            <w:vAlign w:val="center"/>
          </w:tcPr>
          <w:p w14:paraId="6E28F5C8" w14:textId="77777777" w:rsidR="005F6358" w:rsidRPr="002D255E" w:rsidRDefault="005F6358" w:rsidP="00F13240">
            <w:pPr>
              <w:spacing w:before="60" w:after="60" w:line="276" w:lineRule="auto"/>
              <w:jc w:val="right"/>
              <w:rPr>
                <w:rFonts w:eastAsia="Times New Roman" w:cstheme="minorHAnsi"/>
                <w:i/>
                <w:sz w:val="18"/>
              </w:rPr>
            </w:pPr>
            <w:permStart w:id="644439220" w:edGrp="everyone" w:colFirst="1" w:colLast="1"/>
            <w:permEnd w:id="1466656369"/>
            <w:r w:rsidRPr="002D255E">
              <w:rPr>
                <w:rFonts w:eastAsia="Times New Roman" w:cstheme="minorHAnsi"/>
                <w:i/>
                <w:sz w:val="18"/>
              </w:rPr>
              <w:t>The condition being treated has a predictable course of progression and the patient can be suitably maintained by primary care</w:t>
            </w:r>
          </w:p>
        </w:tc>
        <w:tc>
          <w:tcPr>
            <w:tcW w:w="2126" w:type="dxa"/>
            <w:vAlign w:val="center"/>
          </w:tcPr>
          <w:p w14:paraId="3469F9C9" w14:textId="77777777" w:rsidR="005F6358" w:rsidRPr="002D255E" w:rsidRDefault="005F6358" w:rsidP="00F13240">
            <w:pPr>
              <w:spacing w:before="60" w:after="60" w:line="276" w:lineRule="auto"/>
              <w:jc w:val="center"/>
              <w:rPr>
                <w:rFonts w:eastAsia="Times New Roman" w:cstheme="minorHAnsi"/>
                <w:i/>
                <w:sz w:val="18"/>
              </w:rPr>
            </w:pPr>
            <w:r w:rsidRPr="002D255E">
              <w:rPr>
                <w:rFonts w:eastAsia="Times New Roman" w:cstheme="minorHAnsi"/>
                <w:i/>
                <w:sz w:val="18"/>
              </w:rPr>
              <w:t>Yes  /  No</w:t>
            </w:r>
          </w:p>
        </w:tc>
      </w:tr>
      <w:tr w:rsidR="005F6358" w:rsidRPr="002D255E" w14:paraId="57D89858" w14:textId="77777777" w:rsidTr="00F13240">
        <w:tc>
          <w:tcPr>
            <w:tcW w:w="7650" w:type="dxa"/>
            <w:vAlign w:val="center"/>
          </w:tcPr>
          <w:p w14:paraId="03647C77" w14:textId="77777777" w:rsidR="005F6358" w:rsidRPr="002D255E" w:rsidRDefault="005F6358" w:rsidP="00F13240">
            <w:pPr>
              <w:spacing w:before="60" w:after="60" w:line="276" w:lineRule="auto"/>
              <w:jc w:val="right"/>
              <w:rPr>
                <w:rFonts w:eastAsia="Times New Roman" w:cstheme="minorHAnsi"/>
                <w:i/>
                <w:sz w:val="18"/>
              </w:rPr>
            </w:pPr>
            <w:permStart w:id="881407273" w:edGrp="everyone" w:colFirst="1" w:colLast="1"/>
            <w:permEnd w:id="644439220"/>
            <w:r w:rsidRPr="002D255E">
              <w:rPr>
                <w:rFonts w:eastAsia="Times New Roman" w:cstheme="minorHAnsi"/>
                <w:i/>
                <w:sz w:val="18"/>
              </w:rPr>
              <w:t>The risks and benefits of treatment have been explained to the patient</w:t>
            </w:r>
          </w:p>
        </w:tc>
        <w:tc>
          <w:tcPr>
            <w:tcW w:w="2126" w:type="dxa"/>
            <w:vAlign w:val="center"/>
          </w:tcPr>
          <w:p w14:paraId="4107807A" w14:textId="77777777" w:rsidR="005F6358" w:rsidRPr="002D255E" w:rsidRDefault="005F6358" w:rsidP="00F13240">
            <w:pPr>
              <w:spacing w:before="60" w:after="60" w:line="276" w:lineRule="auto"/>
              <w:jc w:val="center"/>
              <w:rPr>
                <w:i/>
                <w:sz w:val="18"/>
              </w:rPr>
            </w:pPr>
            <w:r w:rsidRPr="002D255E">
              <w:rPr>
                <w:i/>
                <w:sz w:val="18"/>
              </w:rPr>
              <w:t>Yes  /  No</w:t>
            </w:r>
          </w:p>
        </w:tc>
      </w:tr>
      <w:tr w:rsidR="005F6358" w:rsidRPr="002D255E" w14:paraId="2FD663D7" w14:textId="77777777" w:rsidTr="00F13240">
        <w:tc>
          <w:tcPr>
            <w:tcW w:w="7650" w:type="dxa"/>
            <w:vAlign w:val="center"/>
          </w:tcPr>
          <w:p w14:paraId="2B594182" w14:textId="77777777" w:rsidR="005F6358" w:rsidRPr="002D255E" w:rsidRDefault="005F6358" w:rsidP="00F13240">
            <w:pPr>
              <w:spacing w:before="60" w:after="60" w:line="276" w:lineRule="auto"/>
              <w:jc w:val="right"/>
              <w:rPr>
                <w:rFonts w:eastAsia="Times New Roman" w:cstheme="minorHAnsi"/>
                <w:i/>
                <w:sz w:val="18"/>
              </w:rPr>
            </w:pPr>
            <w:permStart w:id="1344093306" w:edGrp="everyone" w:colFirst="1" w:colLast="1"/>
            <w:permEnd w:id="881407273"/>
            <w:r w:rsidRPr="002D255E">
              <w:rPr>
                <w:rFonts w:eastAsia="Times New Roman" w:cstheme="minorHAnsi"/>
                <w:i/>
                <w:sz w:val="18"/>
              </w:rPr>
              <w:t>The roles of the specialist/specialist team/</w:t>
            </w:r>
            <w:r w:rsidRPr="002D255E">
              <w:t xml:space="preserve"> </w:t>
            </w:r>
            <w:r w:rsidRPr="002D255E">
              <w:rPr>
                <w:rFonts w:eastAsia="Times New Roman" w:cstheme="minorHAnsi"/>
                <w:i/>
                <w:sz w:val="18"/>
              </w:rPr>
              <w:t>Primary Care Prescriber / Patient and pharmacist have been explained and agreed</w:t>
            </w:r>
          </w:p>
        </w:tc>
        <w:tc>
          <w:tcPr>
            <w:tcW w:w="2126" w:type="dxa"/>
            <w:vAlign w:val="center"/>
          </w:tcPr>
          <w:p w14:paraId="1A32F464" w14:textId="77777777" w:rsidR="005F6358" w:rsidRPr="002D255E" w:rsidRDefault="005F6358" w:rsidP="00F13240">
            <w:pPr>
              <w:spacing w:before="60" w:after="60" w:line="276" w:lineRule="auto"/>
              <w:jc w:val="center"/>
              <w:rPr>
                <w:i/>
                <w:sz w:val="18"/>
              </w:rPr>
            </w:pPr>
            <w:r w:rsidRPr="002D255E">
              <w:rPr>
                <w:i/>
                <w:sz w:val="18"/>
              </w:rPr>
              <w:t>Yes  /  No</w:t>
            </w:r>
          </w:p>
        </w:tc>
      </w:tr>
      <w:tr w:rsidR="005F6358" w:rsidRPr="002D255E" w14:paraId="336ADA04" w14:textId="77777777" w:rsidTr="00F13240">
        <w:tc>
          <w:tcPr>
            <w:tcW w:w="7650" w:type="dxa"/>
            <w:vAlign w:val="center"/>
          </w:tcPr>
          <w:p w14:paraId="4EC0FBD5" w14:textId="77777777" w:rsidR="005F6358" w:rsidRPr="002D255E" w:rsidRDefault="005F6358" w:rsidP="00F13240">
            <w:pPr>
              <w:spacing w:before="60" w:after="60" w:line="276" w:lineRule="auto"/>
              <w:jc w:val="right"/>
              <w:rPr>
                <w:rFonts w:eastAsia="Times New Roman" w:cstheme="minorHAnsi"/>
                <w:i/>
                <w:sz w:val="18"/>
              </w:rPr>
            </w:pPr>
            <w:permStart w:id="508306658" w:edGrp="everyone" w:colFirst="1" w:colLast="1"/>
            <w:permEnd w:id="1344093306"/>
            <w:r w:rsidRPr="002D255E">
              <w:rPr>
                <w:rFonts w:eastAsia="Times New Roman" w:cstheme="minorHAnsi"/>
                <w:i/>
                <w:sz w:val="18"/>
              </w:rPr>
              <w:t>The patient has agreed to this shared care arrangement, understands the need for ongoing monitoring, and has agreed to attend all necessary appointments</w:t>
            </w:r>
          </w:p>
        </w:tc>
        <w:tc>
          <w:tcPr>
            <w:tcW w:w="2126" w:type="dxa"/>
            <w:vAlign w:val="center"/>
          </w:tcPr>
          <w:p w14:paraId="5C89F437" w14:textId="77777777" w:rsidR="005F6358" w:rsidRPr="002D255E" w:rsidRDefault="005F6358" w:rsidP="00F13240">
            <w:pPr>
              <w:spacing w:before="60" w:after="60" w:line="276" w:lineRule="auto"/>
              <w:jc w:val="center"/>
              <w:rPr>
                <w:i/>
                <w:sz w:val="18"/>
              </w:rPr>
            </w:pPr>
            <w:r w:rsidRPr="002D255E">
              <w:rPr>
                <w:i/>
                <w:sz w:val="18"/>
              </w:rPr>
              <w:t>Yes  /  No</w:t>
            </w:r>
          </w:p>
        </w:tc>
      </w:tr>
      <w:tr w:rsidR="005F6358" w:rsidRPr="002D255E" w14:paraId="1137386B" w14:textId="77777777" w:rsidTr="00F13240">
        <w:tc>
          <w:tcPr>
            <w:tcW w:w="7650" w:type="dxa"/>
            <w:vAlign w:val="center"/>
          </w:tcPr>
          <w:p w14:paraId="253AA4D8" w14:textId="77777777" w:rsidR="005F6358" w:rsidRPr="002D255E" w:rsidRDefault="005F6358" w:rsidP="00F13240">
            <w:pPr>
              <w:spacing w:before="60" w:after="60" w:line="276" w:lineRule="auto"/>
              <w:jc w:val="right"/>
              <w:rPr>
                <w:rFonts w:eastAsia="Times New Roman" w:cstheme="minorHAnsi"/>
                <w:i/>
                <w:sz w:val="18"/>
              </w:rPr>
            </w:pPr>
            <w:permStart w:id="152638201" w:edGrp="everyone" w:colFirst="1" w:colLast="1"/>
            <w:permEnd w:id="508306658"/>
            <w:r w:rsidRPr="002D255E">
              <w:rPr>
                <w:rFonts w:eastAsia="Times New Roman" w:cstheme="minorHAnsi"/>
                <w:i/>
                <w:sz w:val="18"/>
              </w:rPr>
              <w:t>I have enclosed a copy of the shared care protocol  which covers this treatment/the SCP can be found here (</w:t>
            </w:r>
            <w:permStart w:id="605191867" w:edGrp="everyone"/>
            <w:r w:rsidRPr="002D255E">
              <w:rPr>
                <w:rFonts w:eastAsia="Times New Roman" w:cstheme="minorHAnsi"/>
                <w:i/>
                <w:sz w:val="18"/>
              </w:rPr>
              <w:t>insert electronic/ web link</w:t>
            </w:r>
            <w:permEnd w:id="605191867"/>
            <w:r w:rsidRPr="002D255E">
              <w:rPr>
                <w:rFonts w:eastAsia="Times New Roman" w:cstheme="minorHAnsi"/>
                <w:i/>
                <w:sz w:val="18"/>
              </w:rPr>
              <w:t>)</w:t>
            </w:r>
          </w:p>
        </w:tc>
        <w:tc>
          <w:tcPr>
            <w:tcW w:w="2126" w:type="dxa"/>
            <w:vAlign w:val="center"/>
          </w:tcPr>
          <w:p w14:paraId="55D2C0B1" w14:textId="77777777" w:rsidR="005F6358" w:rsidRPr="002D255E" w:rsidRDefault="005F6358" w:rsidP="00F13240">
            <w:pPr>
              <w:spacing w:before="60" w:after="60" w:line="276" w:lineRule="auto"/>
              <w:jc w:val="center"/>
              <w:rPr>
                <w:i/>
                <w:sz w:val="18"/>
              </w:rPr>
            </w:pPr>
            <w:r w:rsidRPr="002D255E">
              <w:rPr>
                <w:i/>
                <w:sz w:val="18"/>
              </w:rPr>
              <w:t>Yes  /  No</w:t>
            </w:r>
          </w:p>
        </w:tc>
      </w:tr>
      <w:tr w:rsidR="005F6358" w:rsidRPr="002D255E" w14:paraId="179E7E01" w14:textId="77777777" w:rsidTr="00F13240">
        <w:tc>
          <w:tcPr>
            <w:tcW w:w="7650" w:type="dxa"/>
            <w:vAlign w:val="center"/>
          </w:tcPr>
          <w:p w14:paraId="0E7C2CDA" w14:textId="77777777" w:rsidR="005F6358" w:rsidRPr="002D255E" w:rsidRDefault="005F6358" w:rsidP="00F13240">
            <w:pPr>
              <w:spacing w:before="60" w:after="60" w:line="276" w:lineRule="auto"/>
              <w:jc w:val="right"/>
              <w:rPr>
                <w:rFonts w:eastAsia="Times New Roman" w:cstheme="minorHAnsi"/>
                <w:i/>
                <w:sz w:val="18"/>
              </w:rPr>
            </w:pPr>
            <w:permStart w:id="1535917825" w:edGrp="everyone" w:colFirst="1" w:colLast="1"/>
            <w:permEnd w:id="152638201"/>
            <w:r w:rsidRPr="002D255E">
              <w:rPr>
                <w:rFonts w:eastAsia="Times New Roman" w:cstheme="minorHAnsi"/>
                <w:i/>
                <w:sz w:val="18"/>
              </w:rPr>
              <w:t>I have included with the letter copies of the information the patient has received</w:t>
            </w:r>
          </w:p>
        </w:tc>
        <w:tc>
          <w:tcPr>
            <w:tcW w:w="2126" w:type="dxa"/>
            <w:vAlign w:val="center"/>
          </w:tcPr>
          <w:p w14:paraId="4CD161B7" w14:textId="77777777" w:rsidR="005F6358" w:rsidRPr="002D255E" w:rsidRDefault="005F6358" w:rsidP="00F13240">
            <w:pPr>
              <w:spacing w:before="60" w:after="60" w:line="276" w:lineRule="auto"/>
              <w:jc w:val="center"/>
              <w:rPr>
                <w:i/>
                <w:sz w:val="18"/>
              </w:rPr>
            </w:pPr>
            <w:r w:rsidRPr="002D255E">
              <w:rPr>
                <w:i/>
                <w:sz w:val="18"/>
              </w:rPr>
              <w:t>Yes  /  No</w:t>
            </w:r>
          </w:p>
        </w:tc>
      </w:tr>
      <w:tr w:rsidR="005F6358" w:rsidRPr="002D255E" w14:paraId="4D499DCE" w14:textId="77777777" w:rsidTr="00F13240">
        <w:tc>
          <w:tcPr>
            <w:tcW w:w="7650" w:type="dxa"/>
            <w:vAlign w:val="center"/>
          </w:tcPr>
          <w:p w14:paraId="36549BA5" w14:textId="77777777" w:rsidR="005F6358" w:rsidRPr="002D255E" w:rsidRDefault="005F6358" w:rsidP="00F13240">
            <w:pPr>
              <w:spacing w:before="60" w:after="60" w:line="276" w:lineRule="auto"/>
              <w:jc w:val="right"/>
              <w:rPr>
                <w:rFonts w:eastAsia="Times New Roman" w:cstheme="minorHAnsi"/>
                <w:i/>
                <w:sz w:val="18"/>
              </w:rPr>
            </w:pPr>
            <w:permStart w:id="1820543680" w:edGrp="everyone" w:colFirst="1" w:colLast="1"/>
            <w:permEnd w:id="1535917825"/>
            <w:r w:rsidRPr="002D255E">
              <w:rPr>
                <w:rFonts w:eastAsia="Times New Roman" w:cstheme="minorHAnsi"/>
                <w:i/>
                <w:sz w:val="18"/>
              </w:rPr>
              <w:t>I have provided the patient with sufficient medication to last until</w:t>
            </w:r>
          </w:p>
        </w:tc>
        <w:tc>
          <w:tcPr>
            <w:tcW w:w="2126" w:type="dxa"/>
          </w:tcPr>
          <w:p w14:paraId="66E3D404" w14:textId="77777777" w:rsidR="005F6358" w:rsidRPr="002D255E" w:rsidRDefault="005F6358" w:rsidP="00F13240">
            <w:pPr>
              <w:spacing w:before="60" w:after="60" w:line="276" w:lineRule="auto"/>
              <w:rPr>
                <w:rFonts w:eastAsia="Times New Roman" w:cstheme="minorHAnsi"/>
                <w:i/>
                <w:sz w:val="18"/>
              </w:rPr>
            </w:pPr>
          </w:p>
        </w:tc>
      </w:tr>
      <w:tr w:rsidR="005F6358" w:rsidRPr="002D255E" w14:paraId="33D9304A" w14:textId="77777777" w:rsidTr="00F13240">
        <w:tc>
          <w:tcPr>
            <w:tcW w:w="7650" w:type="dxa"/>
            <w:vAlign w:val="center"/>
          </w:tcPr>
          <w:p w14:paraId="1C37C772" w14:textId="77777777" w:rsidR="005F6358" w:rsidRPr="002D255E" w:rsidRDefault="005F6358" w:rsidP="00F13240">
            <w:pPr>
              <w:spacing w:before="60" w:after="60" w:line="276" w:lineRule="auto"/>
              <w:jc w:val="right"/>
              <w:rPr>
                <w:rFonts w:eastAsia="Times New Roman" w:cstheme="minorHAnsi"/>
                <w:i/>
                <w:sz w:val="18"/>
              </w:rPr>
            </w:pPr>
            <w:permStart w:id="793845696" w:edGrp="everyone" w:colFirst="1" w:colLast="1"/>
            <w:permEnd w:id="1820543680"/>
            <w:r w:rsidRPr="002D255E">
              <w:rPr>
                <w:rFonts w:eastAsia="Times New Roman" w:cstheme="minorHAnsi"/>
                <w:i/>
                <w:sz w:val="18"/>
              </w:rPr>
              <w:t>I have arranged a follow up with this patient in the following timescale</w:t>
            </w:r>
          </w:p>
        </w:tc>
        <w:tc>
          <w:tcPr>
            <w:tcW w:w="2126" w:type="dxa"/>
          </w:tcPr>
          <w:p w14:paraId="22EB3190" w14:textId="77777777" w:rsidR="005F6358" w:rsidRPr="002D255E" w:rsidRDefault="005F6358" w:rsidP="00F13240">
            <w:pPr>
              <w:spacing w:before="60" w:after="60" w:line="276" w:lineRule="auto"/>
              <w:rPr>
                <w:rFonts w:eastAsia="Times New Roman" w:cstheme="minorHAnsi"/>
                <w:i/>
                <w:sz w:val="18"/>
              </w:rPr>
            </w:pPr>
          </w:p>
        </w:tc>
      </w:tr>
    </w:tbl>
    <w:permEnd w:id="793845696"/>
    <w:p w14:paraId="46EDB047" w14:textId="77777777" w:rsidR="00F30BB6" w:rsidRPr="006C3BBB" w:rsidRDefault="00F30BB6" w:rsidP="00F30BB6">
      <w:pPr>
        <w:spacing w:after="60"/>
        <w:rPr>
          <w:rFonts w:eastAsia="Calibri" w:cs="Times New Roman"/>
          <w:szCs w:val="24"/>
        </w:rPr>
      </w:pPr>
      <w:r w:rsidRPr="006C3BBB">
        <w:rPr>
          <w:rFonts w:eastAsia="Calibri" w:cs="Times New Roman"/>
          <w:szCs w:val="24"/>
        </w:rPr>
        <w:t xml:space="preserve">Treatment was started on </w:t>
      </w:r>
      <w:permStart w:id="79921100" w:edGrp="everyone"/>
      <w:r w:rsidRPr="006C3BBB">
        <w:rPr>
          <w:rFonts w:eastAsia="Calibri" w:cs="Times New Roman"/>
          <w:i/>
          <w:iCs/>
          <w:szCs w:val="24"/>
        </w:rPr>
        <w:t>insert date started</w:t>
      </w:r>
      <w:r w:rsidRPr="006C3BBB">
        <w:rPr>
          <w:rFonts w:eastAsia="Calibri" w:cs="Times New Roman"/>
          <w:szCs w:val="24"/>
        </w:rPr>
        <w:t xml:space="preserve"> </w:t>
      </w:r>
      <w:permEnd w:id="79921100"/>
      <w:r w:rsidRPr="006C3BBB">
        <w:rPr>
          <w:rFonts w:eastAsia="Calibri" w:cs="Times New Roman"/>
          <w:szCs w:val="24"/>
        </w:rPr>
        <w:t xml:space="preserve">and the current dose is </w:t>
      </w:r>
      <w:permStart w:id="1708097266" w:edGrp="everyone"/>
      <w:proofErr w:type="gramStart"/>
      <w:r w:rsidRPr="006C3BBB">
        <w:rPr>
          <w:rFonts w:eastAsia="Calibri" w:cs="Times New Roman"/>
          <w:i/>
          <w:iCs/>
          <w:szCs w:val="24"/>
        </w:rPr>
        <w:t>insert</w:t>
      </w:r>
      <w:proofErr w:type="gramEnd"/>
      <w:r w:rsidRPr="006C3BBB">
        <w:rPr>
          <w:rFonts w:eastAsia="Calibri" w:cs="Times New Roman"/>
          <w:i/>
          <w:iCs/>
          <w:szCs w:val="24"/>
        </w:rPr>
        <w:t xml:space="preserve"> dose and frequency</w:t>
      </w:r>
    </w:p>
    <w:permEnd w:id="1708097266"/>
    <w:p w14:paraId="27905D39" w14:textId="3E9F43AA" w:rsidR="00F30BB6" w:rsidRPr="006C3BBB" w:rsidRDefault="00F30BB6" w:rsidP="00602218">
      <w:pPr>
        <w:spacing w:after="60" w:line="240" w:lineRule="auto"/>
        <w:rPr>
          <w:rFonts w:eastAsia="Times New Roman" w:cs="Calibri"/>
          <w:szCs w:val="24"/>
        </w:rPr>
      </w:pPr>
      <w:r w:rsidRPr="006C3BBB">
        <w:rPr>
          <w:rFonts w:eastAsia="Times New Roman" w:cs="Calibri"/>
          <w:szCs w:val="24"/>
        </w:rPr>
        <w:t>If you are in agreement, please undertake monitoring and treatment from</w:t>
      </w:r>
      <w:r>
        <w:rPr>
          <w:rFonts w:eastAsia="Times New Roman" w:cs="Calibri"/>
          <w:szCs w:val="24"/>
        </w:rPr>
        <w:t xml:space="preserve"> </w:t>
      </w:r>
      <w:r w:rsidRPr="006C3BBB">
        <w:rPr>
          <w:rFonts w:eastAsia="Times New Roman" w:cs="Calibri"/>
          <w:i/>
          <w:iCs/>
          <w:szCs w:val="24"/>
        </w:rPr>
        <w:t>insert date</w:t>
      </w:r>
      <w:r>
        <w:rPr>
          <w:rFonts w:eastAsia="Times New Roman" w:cs="Calibri"/>
          <w:i/>
          <w:iCs/>
          <w:szCs w:val="24"/>
        </w:rPr>
        <w:t xml:space="preserve"> </w:t>
      </w:r>
      <w:r w:rsidRPr="006C3BBB">
        <w:rPr>
          <w:rFonts w:eastAsia="Times New Roman" w:cs="Calibri"/>
          <w:szCs w:val="24"/>
        </w:rPr>
        <w:t xml:space="preserve">NB: date must be at </w:t>
      </w:r>
      <w:r w:rsidRPr="004A0BB0">
        <w:rPr>
          <w:rFonts w:eastAsia="Times New Roman" w:cs="Calibri"/>
          <w:szCs w:val="24"/>
        </w:rPr>
        <w:t xml:space="preserve">least </w:t>
      </w:r>
      <w:r>
        <w:rPr>
          <w:rFonts w:eastAsia="Times New Roman" w:cs="Calibri"/>
          <w:szCs w:val="24"/>
        </w:rPr>
        <w:t>1</w:t>
      </w:r>
      <w:r w:rsidRPr="004A0BB0">
        <w:rPr>
          <w:rFonts w:eastAsia="Times New Roman" w:cs="Calibri"/>
          <w:szCs w:val="24"/>
        </w:rPr>
        <w:t xml:space="preserve"> month </w:t>
      </w:r>
      <w:r w:rsidRPr="006C3BBB">
        <w:rPr>
          <w:rFonts w:eastAsia="Times New Roman" w:cs="Calibri"/>
          <w:szCs w:val="24"/>
        </w:rPr>
        <w:t>from initiation of treatment.</w:t>
      </w:r>
    </w:p>
    <w:p w14:paraId="68552DD8" w14:textId="77777777" w:rsidR="00F30BB6" w:rsidRDefault="00F30BB6" w:rsidP="00602218">
      <w:pPr>
        <w:spacing w:after="0" w:line="240" w:lineRule="auto"/>
        <w:rPr>
          <w:rFonts w:eastAsia="Times New Roman" w:cs="Arial"/>
          <w:szCs w:val="24"/>
        </w:rPr>
      </w:pPr>
    </w:p>
    <w:p w14:paraId="52F719DD" w14:textId="062287CB" w:rsidR="00602218" w:rsidRDefault="00F30BB6" w:rsidP="00602218">
      <w:pPr>
        <w:spacing w:after="60" w:line="240" w:lineRule="auto"/>
        <w:rPr>
          <w:rFonts w:eastAsia="Times New Roman" w:cs="Calibri"/>
          <w:szCs w:val="24"/>
        </w:rPr>
      </w:pPr>
      <w:r w:rsidRPr="006C3BBB">
        <w:rPr>
          <w:rFonts w:eastAsia="Times New Roman" w:cs="Calibri"/>
          <w:szCs w:val="24"/>
        </w:rPr>
        <w:t xml:space="preserve">The next blood monitoring is due on </w:t>
      </w:r>
      <w:permStart w:id="1409115658" w:edGrp="everyone"/>
      <w:r w:rsidRPr="006C3BBB">
        <w:rPr>
          <w:rFonts w:eastAsia="Times New Roman" w:cs="Calibri"/>
          <w:i/>
          <w:iCs/>
          <w:szCs w:val="24"/>
        </w:rPr>
        <w:t>insert date</w:t>
      </w:r>
      <w:r w:rsidRPr="006C3BBB">
        <w:rPr>
          <w:rFonts w:eastAsia="Calibri" w:cs="Times New Roman"/>
          <w:i/>
          <w:szCs w:val="24"/>
        </w:rPr>
        <w:t xml:space="preserve"> </w:t>
      </w:r>
      <w:permEnd w:id="1409115658"/>
      <w:r w:rsidRPr="006C3BBB">
        <w:rPr>
          <w:rFonts w:eastAsia="Times New Roman" w:cs="Calibri"/>
          <w:szCs w:val="24"/>
        </w:rPr>
        <w:t>and should be continued in line with the shared care guideline.</w:t>
      </w:r>
    </w:p>
    <w:p w14:paraId="6954308A" w14:textId="77777777" w:rsidR="00602218" w:rsidRDefault="00602218" w:rsidP="00602218">
      <w:pPr>
        <w:spacing w:after="60" w:line="240" w:lineRule="auto"/>
        <w:rPr>
          <w:rFonts w:eastAsia="Times New Roman" w:cs="Calibri"/>
          <w:szCs w:val="24"/>
        </w:rPr>
      </w:pPr>
    </w:p>
    <w:p w14:paraId="7E7E76AC" w14:textId="4373F7D2" w:rsidR="005F6358" w:rsidRDefault="003F53C9" w:rsidP="00602218">
      <w:pPr>
        <w:spacing w:after="60" w:line="240" w:lineRule="auto"/>
        <w:rPr>
          <w:rFonts w:eastAsia="Times New Roman" w:cstheme="minorHAnsi"/>
        </w:rPr>
      </w:pPr>
      <w:r w:rsidRPr="002D255E">
        <w:rPr>
          <w:rFonts w:eastAsia="Times New Roman" w:cstheme="minorHAnsi"/>
        </w:rPr>
        <w:t>Please respond to this request for shared care, in writing, within 14 days of the request being made where possible.</w:t>
      </w:r>
    </w:p>
    <w:p w14:paraId="3F524EB0" w14:textId="1CE7FE72" w:rsidR="00602218" w:rsidRDefault="00602218" w:rsidP="00602218">
      <w:pPr>
        <w:spacing w:after="60"/>
        <w:rPr>
          <w:rFonts w:eastAsia="Times New Roman" w:cstheme="minorHAnsi"/>
        </w:rPr>
      </w:pPr>
      <w:r>
        <w:rPr>
          <w:rFonts w:eastAsia="Times New Roman" w:cstheme="minorHAnsi"/>
        </w:rPr>
        <w:br w:type="page"/>
      </w:r>
    </w:p>
    <w:p w14:paraId="319F6D99" w14:textId="77777777" w:rsidR="00200DB3" w:rsidRDefault="00200DB3" w:rsidP="005F6358">
      <w:pPr>
        <w:spacing w:after="60"/>
        <w:rPr>
          <w:rFonts w:eastAsia="Times New Roman" w:cstheme="minorHAnsi"/>
        </w:rPr>
      </w:pPr>
    </w:p>
    <w:p w14:paraId="41BD8DEF" w14:textId="77777777" w:rsidR="005F6358" w:rsidRPr="002D255E" w:rsidRDefault="005F6358" w:rsidP="00F13240">
      <w:pPr>
        <w:pStyle w:val="Heading1"/>
        <w:numPr>
          <w:ilvl w:val="0"/>
          <w:numId w:val="0"/>
        </w:numPr>
      </w:pPr>
      <w:bookmarkStart w:id="26" w:name="_Appendix_3"/>
      <w:bookmarkStart w:id="27" w:name="_Toc28084478"/>
      <w:bookmarkStart w:id="28" w:name="_Toc64632335"/>
      <w:bookmarkEnd w:id="26"/>
      <w:r w:rsidRPr="002D255E">
        <w:t xml:space="preserve">Appendix </w:t>
      </w:r>
      <w:bookmarkEnd w:id="27"/>
      <w:r w:rsidRPr="002D255E">
        <w:t>2: Shared Care Agreement Letter (Primary Care Prescriber to Specialist)</w:t>
      </w:r>
      <w:bookmarkEnd w:id="28"/>
    </w:p>
    <w:p w14:paraId="1FFAE8B0" w14:textId="77777777" w:rsidR="005F6358" w:rsidRPr="002D255E" w:rsidRDefault="005F6358" w:rsidP="005F6358">
      <w:pPr>
        <w:spacing w:after="0"/>
        <w:rPr>
          <w:rFonts w:eastAsia="Times New Roman" w:cs="Arial"/>
          <w:b/>
          <w:bCs/>
          <w:sz w:val="32"/>
          <w:szCs w:val="20"/>
        </w:rPr>
      </w:pPr>
    </w:p>
    <w:p w14:paraId="77BD59C3" w14:textId="77777777" w:rsidR="005F6358" w:rsidRPr="002D255E" w:rsidRDefault="005F6358" w:rsidP="005F6358">
      <w:pPr>
        <w:rPr>
          <w:rFonts w:cs="Arial"/>
          <w:b/>
        </w:rPr>
      </w:pPr>
      <w:r w:rsidRPr="002D255E">
        <w:rPr>
          <w:rFonts w:cs="Arial"/>
          <w:b/>
        </w:rPr>
        <w:t>Primary Care Prescriber Response</w:t>
      </w:r>
    </w:p>
    <w:p w14:paraId="6F82A013" w14:textId="77777777" w:rsidR="00175D6D" w:rsidRPr="006C3BBB" w:rsidRDefault="00175D6D" w:rsidP="00175D6D">
      <w:pPr>
        <w:spacing w:after="0"/>
        <w:rPr>
          <w:rFonts w:eastAsia="Times New Roman" w:cs="Arial"/>
          <w:szCs w:val="24"/>
        </w:rPr>
      </w:pPr>
      <w:r w:rsidRPr="006C3BBB">
        <w:rPr>
          <w:rFonts w:eastAsia="Times New Roman" w:cs="Arial"/>
          <w:szCs w:val="24"/>
        </w:rPr>
        <w:t>Dear</w:t>
      </w:r>
      <w:r>
        <w:rPr>
          <w:rFonts w:eastAsia="Times New Roman" w:cs="Arial"/>
          <w:szCs w:val="24"/>
        </w:rPr>
        <w:t xml:space="preserve"> </w:t>
      </w:r>
      <w:permStart w:id="1010640746" w:edGrp="everyone"/>
      <w:r w:rsidRPr="006C3BBB">
        <w:rPr>
          <w:rFonts w:eastAsia="Times New Roman" w:cs="Arial"/>
          <w:i/>
          <w:iCs/>
          <w:szCs w:val="24"/>
        </w:rPr>
        <w:t>insert Doctor's name</w:t>
      </w:r>
      <w:permEnd w:id="1010640746"/>
    </w:p>
    <w:p w14:paraId="0143DF7C" w14:textId="77777777" w:rsidR="00175D6D" w:rsidRPr="006C3BBB" w:rsidRDefault="00175D6D" w:rsidP="00175D6D">
      <w:pPr>
        <w:spacing w:after="0"/>
        <w:rPr>
          <w:rFonts w:eastAsia="Times New Roman" w:cs="Arial"/>
          <w:i/>
          <w:szCs w:val="24"/>
        </w:rPr>
      </w:pPr>
      <w:r w:rsidRPr="006C3BBB">
        <w:rPr>
          <w:rFonts w:eastAsia="Times New Roman" w:cs="Arial"/>
          <w:szCs w:val="24"/>
        </w:rPr>
        <w:t xml:space="preserve">Patient: </w:t>
      </w:r>
      <w:permStart w:id="117516420" w:edGrp="everyone"/>
      <w:r w:rsidRPr="006C3BBB">
        <w:rPr>
          <w:rFonts w:eastAsia="Times New Roman" w:cs="Arial"/>
          <w:i/>
          <w:iCs/>
          <w:szCs w:val="24"/>
        </w:rPr>
        <w:t>insert Patient's name</w:t>
      </w:r>
      <w:permEnd w:id="117516420"/>
    </w:p>
    <w:p w14:paraId="23E155B7" w14:textId="14DB5DEF" w:rsidR="00175D6D" w:rsidRPr="006C3BBB" w:rsidRDefault="00175D6D" w:rsidP="00175D6D">
      <w:pPr>
        <w:spacing w:after="0"/>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121528816" w:edGrp="everyone"/>
      <w:r w:rsidRPr="006C3BBB">
        <w:rPr>
          <w:rFonts w:eastAsia="Times New Roman" w:cs="Arial"/>
          <w:i/>
          <w:iCs/>
          <w:szCs w:val="24"/>
        </w:rPr>
        <w:t>insert NHS</w:t>
      </w:r>
      <w:r w:rsidR="00DF09C5">
        <w:t xml:space="preserve"> </w:t>
      </w:r>
      <w:r w:rsidRPr="006C3BBB">
        <w:rPr>
          <w:rFonts w:eastAsia="Times New Roman" w:cs="Arial"/>
          <w:i/>
          <w:iCs/>
          <w:szCs w:val="24"/>
        </w:rPr>
        <w:t>Number</w:t>
      </w:r>
      <w:permEnd w:id="121528816"/>
    </w:p>
    <w:p w14:paraId="16A213C4" w14:textId="77777777" w:rsidR="00175D6D" w:rsidRPr="006C3BBB" w:rsidRDefault="00175D6D" w:rsidP="00175D6D">
      <w:pPr>
        <w:spacing w:after="0"/>
        <w:rPr>
          <w:rFonts w:eastAsia="Times New Roman" w:cs="Arial"/>
          <w:i/>
          <w:iCs/>
          <w:szCs w:val="24"/>
        </w:rPr>
      </w:pPr>
      <w:r w:rsidRPr="006C3BBB">
        <w:rPr>
          <w:rFonts w:eastAsia="Times New Roman" w:cs="Arial"/>
          <w:szCs w:val="24"/>
        </w:rPr>
        <w:t xml:space="preserve">Identifier:  </w:t>
      </w:r>
      <w:permStart w:id="900102540" w:edGrp="everyone"/>
      <w:r w:rsidRPr="006C3BBB">
        <w:rPr>
          <w:rFonts w:eastAsia="Times New Roman" w:cs="Arial"/>
          <w:i/>
          <w:iCs/>
          <w:szCs w:val="24"/>
        </w:rPr>
        <w:t>insert patient's date of birth and/or address</w:t>
      </w:r>
      <w:permEnd w:id="900102540"/>
    </w:p>
    <w:p w14:paraId="1462A147" w14:textId="77777777" w:rsidR="005F6358" w:rsidRPr="002D255E" w:rsidRDefault="005F6358" w:rsidP="005F6358">
      <w:pPr>
        <w:spacing w:after="0"/>
        <w:rPr>
          <w:rFonts w:eastAsia="Times New Roman" w:cs="Arial"/>
          <w:i/>
          <w:iCs/>
        </w:rPr>
      </w:pPr>
    </w:p>
    <w:p w14:paraId="5BC3417C" w14:textId="77777777" w:rsidR="005F6358" w:rsidRPr="002D255E" w:rsidRDefault="005F6358" w:rsidP="005F6358">
      <w:pPr>
        <w:spacing w:after="0"/>
        <w:rPr>
          <w:rFonts w:eastAsia="Times New Roman" w:cs="Arial"/>
        </w:rPr>
      </w:pPr>
      <w:r w:rsidRPr="002D255E">
        <w:rPr>
          <w:rFonts w:eastAsia="Times New Roman" w:cs="Arial"/>
        </w:rPr>
        <w:t>Thank you for your request for me to accept prescribing responsibility for this patient under a shared care agreement and to provide the following treatment</w:t>
      </w:r>
    </w:p>
    <w:p w14:paraId="6CB42489" w14:textId="77777777" w:rsidR="005F6358" w:rsidRPr="002D255E" w:rsidRDefault="005F6358" w:rsidP="005F6358">
      <w:pPr>
        <w:spacing w:after="0"/>
        <w:rPr>
          <w:rFonts w:eastAsia="Times New Roman" w:cs="Arial"/>
        </w:rPr>
      </w:pPr>
    </w:p>
    <w:tbl>
      <w:tblPr>
        <w:tblStyle w:val="TableGrid1"/>
        <w:tblW w:w="0" w:type="auto"/>
        <w:tblLook w:val="04A0" w:firstRow="1" w:lastRow="0" w:firstColumn="1" w:lastColumn="0" w:noHBand="0" w:noVBand="1"/>
      </w:tblPr>
      <w:tblGrid>
        <w:gridCol w:w="3030"/>
        <w:gridCol w:w="2987"/>
        <w:gridCol w:w="3043"/>
      </w:tblGrid>
      <w:tr w:rsidR="005F6358" w:rsidRPr="002D255E" w14:paraId="78F58A4F" w14:textId="77777777" w:rsidTr="00E3221B">
        <w:tc>
          <w:tcPr>
            <w:tcW w:w="3320" w:type="dxa"/>
            <w:shd w:val="clear" w:color="auto" w:fill="D9D9D9" w:themeFill="background1" w:themeFillShade="D9"/>
          </w:tcPr>
          <w:p w14:paraId="55EA8A96" w14:textId="77777777" w:rsidR="005F6358" w:rsidRPr="002D255E" w:rsidRDefault="005F6358" w:rsidP="00E3221B">
            <w:pPr>
              <w:jc w:val="center"/>
              <w:rPr>
                <w:rFonts w:eastAsia="Times New Roman" w:cs="Arial"/>
              </w:rPr>
            </w:pPr>
            <w:r w:rsidRPr="002D255E">
              <w:rPr>
                <w:rFonts w:eastAsia="Times New Roman" w:cs="Arial"/>
              </w:rPr>
              <w:t>Medicine</w:t>
            </w:r>
          </w:p>
        </w:tc>
        <w:tc>
          <w:tcPr>
            <w:tcW w:w="3321" w:type="dxa"/>
            <w:shd w:val="clear" w:color="auto" w:fill="D9D9D9" w:themeFill="background1" w:themeFillShade="D9"/>
          </w:tcPr>
          <w:p w14:paraId="21D38F36" w14:textId="77777777" w:rsidR="005F6358" w:rsidRPr="002D255E" w:rsidRDefault="005F6358" w:rsidP="00E3221B">
            <w:pPr>
              <w:jc w:val="center"/>
              <w:rPr>
                <w:rFonts w:eastAsia="Times New Roman" w:cs="Arial"/>
              </w:rPr>
            </w:pPr>
            <w:r w:rsidRPr="002D255E">
              <w:rPr>
                <w:rFonts w:eastAsia="Times New Roman" w:cs="Arial"/>
              </w:rPr>
              <w:t>Route</w:t>
            </w:r>
          </w:p>
        </w:tc>
        <w:tc>
          <w:tcPr>
            <w:tcW w:w="3321" w:type="dxa"/>
            <w:shd w:val="clear" w:color="auto" w:fill="D9D9D9" w:themeFill="background1" w:themeFillShade="D9"/>
          </w:tcPr>
          <w:p w14:paraId="4C29C19D" w14:textId="77777777" w:rsidR="005F6358" w:rsidRPr="002D255E" w:rsidRDefault="005F6358" w:rsidP="00E3221B">
            <w:pPr>
              <w:jc w:val="center"/>
              <w:rPr>
                <w:rFonts w:eastAsia="Times New Roman" w:cs="Arial"/>
              </w:rPr>
            </w:pPr>
            <w:r w:rsidRPr="002D255E">
              <w:rPr>
                <w:rFonts w:eastAsia="Times New Roman" w:cs="Arial"/>
              </w:rPr>
              <w:t>Dose &amp; frequency</w:t>
            </w:r>
          </w:p>
        </w:tc>
      </w:tr>
      <w:tr w:rsidR="005F6358" w:rsidRPr="002D255E" w14:paraId="1EB3B9B3" w14:textId="77777777" w:rsidTr="00E3221B">
        <w:tc>
          <w:tcPr>
            <w:tcW w:w="3320" w:type="dxa"/>
          </w:tcPr>
          <w:p w14:paraId="7EC7F693" w14:textId="77777777" w:rsidR="005F6358" w:rsidRPr="002D255E" w:rsidRDefault="005F6358" w:rsidP="00E3221B">
            <w:pPr>
              <w:rPr>
                <w:rFonts w:eastAsia="Times New Roman" w:cs="Arial"/>
              </w:rPr>
            </w:pPr>
            <w:permStart w:id="1909811846" w:edGrp="everyone" w:colFirst="0" w:colLast="0"/>
            <w:permStart w:id="366229374" w:edGrp="everyone" w:colFirst="1" w:colLast="1"/>
            <w:permStart w:id="551882606" w:edGrp="everyone" w:colFirst="2" w:colLast="2"/>
          </w:p>
        </w:tc>
        <w:tc>
          <w:tcPr>
            <w:tcW w:w="3321" w:type="dxa"/>
          </w:tcPr>
          <w:p w14:paraId="584B6B99" w14:textId="77777777" w:rsidR="005F6358" w:rsidRPr="002D255E" w:rsidRDefault="005F6358" w:rsidP="00E3221B">
            <w:pPr>
              <w:rPr>
                <w:rFonts w:eastAsia="Times New Roman" w:cs="Arial"/>
              </w:rPr>
            </w:pPr>
          </w:p>
        </w:tc>
        <w:tc>
          <w:tcPr>
            <w:tcW w:w="3321" w:type="dxa"/>
          </w:tcPr>
          <w:p w14:paraId="606BB2B5" w14:textId="77777777" w:rsidR="005F6358" w:rsidRPr="002D255E" w:rsidRDefault="005F6358" w:rsidP="00E3221B">
            <w:pPr>
              <w:rPr>
                <w:rFonts w:eastAsia="Times New Roman" w:cs="Arial"/>
              </w:rPr>
            </w:pPr>
          </w:p>
        </w:tc>
      </w:tr>
      <w:permEnd w:id="1909811846"/>
      <w:permEnd w:id="366229374"/>
      <w:permEnd w:id="551882606"/>
    </w:tbl>
    <w:p w14:paraId="6FE7C9BD" w14:textId="77777777" w:rsidR="005F6358" w:rsidRPr="002D255E" w:rsidRDefault="005F6358" w:rsidP="005F6358">
      <w:pPr>
        <w:spacing w:after="0"/>
        <w:rPr>
          <w:rFonts w:eastAsia="Times New Roman" w:cs="Arial"/>
        </w:rPr>
      </w:pPr>
    </w:p>
    <w:p w14:paraId="0AB69963" w14:textId="02D388B0" w:rsidR="005F6358" w:rsidRPr="002D255E" w:rsidRDefault="005F6358" w:rsidP="005F6358">
      <w:pPr>
        <w:spacing w:after="0"/>
        <w:rPr>
          <w:rFonts w:eastAsia="Times New Roman" w:cs="Arial"/>
          <w:bCs/>
        </w:rPr>
      </w:pPr>
      <w:r w:rsidRPr="002D255E">
        <w:rPr>
          <w:rFonts w:eastAsia="Times New Roman" w:cs="Arial"/>
          <w:bCs/>
        </w:rPr>
        <w:t xml:space="preserve">I can confirm that I am willing to take on this responsibility from </w:t>
      </w:r>
      <w:permStart w:id="515770415" w:edGrp="everyone"/>
      <w:r w:rsidR="00175D6D">
        <w:rPr>
          <w:rFonts w:cs="Arial"/>
          <w:i/>
        </w:rPr>
        <w:t>insert date</w:t>
      </w:r>
      <w:r w:rsidRPr="002D255E">
        <w:rPr>
          <w:rFonts w:cs="Arial"/>
          <w:i/>
        </w:rPr>
        <w:t xml:space="preserve"> </w:t>
      </w:r>
      <w:permEnd w:id="515770415"/>
      <w:r w:rsidRPr="002D255E">
        <w:rPr>
          <w:rFonts w:eastAsia="Times New Roman" w:cs="Arial"/>
          <w:bCs/>
        </w:rPr>
        <w:t>and will complete the monitoring as set out in the shared care protocol for this medicine/condition.</w:t>
      </w:r>
    </w:p>
    <w:p w14:paraId="1A2733A6" w14:textId="77777777" w:rsidR="005F6358" w:rsidRPr="002D255E" w:rsidRDefault="005F6358" w:rsidP="005F6358">
      <w:pPr>
        <w:spacing w:after="0"/>
        <w:ind w:left="720"/>
        <w:rPr>
          <w:rFonts w:eastAsia="Times New Roman" w:cs="Arial"/>
          <w:bCs/>
        </w:rPr>
      </w:pPr>
    </w:p>
    <w:p w14:paraId="248D3F22" w14:textId="77777777" w:rsidR="00175D6D" w:rsidRDefault="005F6358" w:rsidP="005F6358">
      <w:pPr>
        <w:spacing w:after="0"/>
        <w:rPr>
          <w:rFonts w:eastAsia="Times New Roman" w:cs="Arial"/>
          <w:bCs/>
        </w:rPr>
      </w:pPr>
      <w:r w:rsidRPr="002D255E">
        <w:rPr>
          <w:rFonts w:eastAsia="Times New Roman" w:cs="Arial"/>
          <w:bCs/>
        </w:rPr>
        <w:t>Primary Care Prescriber signature: _______________________________</w:t>
      </w:r>
      <w:r w:rsidRPr="002D255E">
        <w:rPr>
          <w:rFonts w:eastAsia="Times New Roman" w:cs="Arial"/>
          <w:bCs/>
        </w:rPr>
        <w:tab/>
      </w:r>
    </w:p>
    <w:p w14:paraId="6CF5221F" w14:textId="0760B85B" w:rsidR="005F6358" w:rsidRPr="002D255E" w:rsidRDefault="005F6358" w:rsidP="005F6358">
      <w:pPr>
        <w:spacing w:after="0"/>
        <w:rPr>
          <w:rFonts w:eastAsia="Times New Roman" w:cs="Arial"/>
          <w:bCs/>
        </w:rPr>
      </w:pPr>
      <w:r w:rsidRPr="002D255E">
        <w:rPr>
          <w:rFonts w:eastAsia="Times New Roman" w:cs="Arial"/>
          <w:bCs/>
        </w:rPr>
        <w:t xml:space="preserve">Date: ____________ </w:t>
      </w:r>
    </w:p>
    <w:p w14:paraId="132AEFA8" w14:textId="77777777" w:rsidR="005F6358" w:rsidRPr="002D255E" w:rsidRDefault="005F6358" w:rsidP="005F6358">
      <w:pPr>
        <w:spacing w:after="0"/>
        <w:ind w:left="720"/>
        <w:rPr>
          <w:rFonts w:eastAsia="Times New Roman" w:cs="Arial"/>
          <w:bCs/>
        </w:rPr>
      </w:pPr>
    </w:p>
    <w:p w14:paraId="7138C530" w14:textId="77777777" w:rsidR="005F6358" w:rsidRPr="002D255E" w:rsidRDefault="005F6358" w:rsidP="005F6358">
      <w:pPr>
        <w:spacing w:after="0"/>
        <w:ind w:left="720"/>
        <w:rPr>
          <w:rFonts w:eastAsia="Times New Roman" w:cs="Arial"/>
          <w:bCs/>
        </w:rPr>
      </w:pPr>
    </w:p>
    <w:p w14:paraId="29F1B561" w14:textId="77777777" w:rsidR="005F6358" w:rsidRPr="002D255E" w:rsidRDefault="005F6358" w:rsidP="005F6358">
      <w:pPr>
        <w:spacing w:after="0"/>
        <w:ind w:left="720"/>
        <w:rPr>
          <w:rFonts w:eastAsia="Times New Roman" w:cs="Arial"/>
          <w:bCs/>
        </w:rPr>
      </w:pPr>
    </w:p>
    <w:p w14:paraId="38C8164B" w14:textId="77777777" w:rsidR="005F6358" w:rsidRPr="002D255E" w:rsidRDefault="005F6358" w:rsidP="005F6358">
      <w:pPr>
        <w:spacing w:after="0"/>
        <w:rPr>
          <w:rFonts w:eastAsia="Times New Roman" w:cs="Arial"/>
          <w:bCs/>
        </w:rPr>
      </w:pPr>
      <w:r w:rsidRPr="002D255E">
        <w:rPr>
          <w:rFonts w:eastAsia="Times New Roman" w:cs="Arial"/>
          <w:bCs/>
        </w:rPr>
        <w:t>Primary Care Prescriber address/practice stamp</w:t>
      </w:r>
    </w:p>
    <w:p w14:paraId="6F0BFCBB" w14:textId="77777777" w:rsidR="005F6358" w:rsidRPr="002D255E" w:rsidRDefault="005F6358" w:rsidP="005F6358">
      <w:pPr>
        <w:rPr>
          <w:rFonts w:eastAsia="Times New Roman" w:cs="Arial"/>
          <w:bCs/>
        </w:rPr>
      </w:pPr>
      <w:r w:rsidRPr="002D255E">
        <w:rPr>
          <w:rFonts w:eastAsia="Times New Roman" w:cs="Arial"/>
          <w:bCs/>
        </w:rPr>
        <w:br w:type="page"/>
      </w:r>
    </w:p>
    <w:p w14:paraId="39EB88B2" w14:textId="77777777" w:rsidR="005F6358" w:rsidRPr="002D255E" w:rsidRDefault="005F6358" w:rsidP="00F13240">
      <w:pPr>
        <w:pStyle w:val="Heading1"/>
        <w:numPr>
          <w:ilvl w:val="0"/>
          <w:numId w:val="0"/>
        </w:numPr>
      </w:pPr>
      <w:bookmarkStart w:id="29" w:name="_Appendix_4"/>
      <w:bookmarkStart w:id="30" w:name="_Toc28084479"/>
      <w:bookmarkStart w:id="31" w:name="_Toc64632336"/>
      <w:bookmarkEnd w:id="29"/>
      <w:r w:rsidRPr="002D255E">
        <w:lastRenderedPageBreak/>
        <w:t xml:space="preserve">Appendix </w:t>
      </w:r>
      <w:bookmarkEnd w:id="30"/>
      <w:r w:rsidRPr="002D255E">
        <w:t>3: Shared Care Refusal Letter (Primary Care Prescriber to Specialist)</w:t>
      </w:r>
      <w:bookmarkEnd w:id="31"/>
    </w:p>
    <w:p w14:paraId="1BE7EAC2" w14:textId="77777777" w:rsidR="005F6358" w:rsidRPr="002D255E" w:rsidRDefault="005F6358" w:rsidP="005F6358">
      <w:pPr>
        <w:autoSpaceDE w:val="0"/>
        <w:autoSpaceDN w:val="0"/>
        <w:adjustRightInd w:val="0"/>
        <w:spacing w:after="0"/>
        <w:rPr>
          <w:rFonts w:eastAsia="Times New Roman" w:cs="Arial"/>
          <w:lang w:eastAsia="en-GB"/>
        </w:rPr>
      </w:pPr>
    </w:p>
    <w:p w14:paraId="72CD8803" w14:textId="77777777" w:rsidR="003F0CF0" w:rsidRPr="006C3BBB" w:rsidRDefault="003F0CF0" w:rsidP="003F0CF0">
      <w:pPr>
        <w:spacing w:after="0"/>
        <w:rPr>
          <w:rFonts w:eastAsia="Times New Roman" w:cs="Arial"/>
          <w:i/>
          <w:szCs w:val="24"/>
        </w:rPr>
      </w:pPr>
      <w:r w:rsidRPr="006C3BBB">
        <w:rPr>
          <w:rFonts w:eastAsia="Times New Roman" w:cs="Arial"/>
          <w:szCs w:val="24"/>
        </w:rPr>
        <w:t xml:space="preserve">Patient:  </w:t>
      </w:r>
      <w:permStart w:id="615017566" w:edGrp="everyone"/>
      <w:r w:rsidRPr="006C3BBB">
        <w:rPr>
          <w:rFonts w:eastAsia="Times New Roman" w:cs="Arial"/>
          <w:i/>
          <w:iCs/>
          <w:szCs w:val="24"/>
        </w:rPr>
        <w:t>insert Patient's name</w:t>
      </w:r>
    </w:p>
    <w:permEnd w:id="615017566"/>
    <w:p w14:paraId="51E7C064" w14:textId="77777777" w:rsidR="003F0CF0" w:rsidRPr="006C3BBB" w:rsidRDefault="003F0CF0" w:rsidP="003F0CF0">
      <w:pPr>
        <w:spacing w:after="0"/>
        <w:rPr>
          <w:rFonts w:eastAsia="Times New Roman" w:cs="Arial"/>
          <w:iCs/>
          <w:szCs w:val="24"/>
        </w:rPr>
      </w:pPr>
      <w:r w:rsidRPr="006C3BBB">
        <w:rPr>
          <w:rFonts w:eastAsia="Times New Roman" w:cs="Arial"/>
          <w:szCs w:val="24"/>
        </w:rPr>
        <w:t>NHS Number</w:t>
      </w:r>
      <w:r w:rsidRPr="006C3BBB">
        <w:rPr>
          <w:rFonts w:eastAsia="Times New Roman" w:cs="Arial"/>
          <w:szCs w:val="24"/>
        </w:rPr>
        <w:tab/>
        <w:t xml:space="preserve">:  </w:t>
      </w:r>
      <w:permStart w:id="690191212" w:edGrp="everyone"/>
      <w:r w:rsidRPr="006C3BBB">
        <w:rPr>
          <w:rFonts w:eastAsia="Times New Roman" w:cs="Arial"/>
          <w:i/>
          <w:iCs/>
          <w:szCs w:val="24"/>
        </w:rPr>
        <w:t>insert NHS Number</w:t>
      </w:r>
      <w:permEnd w:id="690191212"/>
    </w:p>
    <w:p w14:paraId="42CCAC59" w14:textId="67B3A371" w:rsidR="003F0CF0" w:rsidRPr="006C3BBB" w:rsidRDefault="003F0CF0" w:rsidP="003F0CF0">
      <w:pPr>
        <w:spacing w:after="0"/>
        <w:rPr>
          <w:rFonts w:eastAsia="Times New Roman" w:cs="Arial"/>
          <w:i/>
          <w:szCs w:val="24"/>
        </w:rPr>
      </w:pPr>
      <w:r w:rsidRPr="006C3BBB">
        <w:rPr>
          <w:rFonts w:eastAsia="Times New Roman" w:cs="Arial"/>
          <w:szCs w:val="24"/>
        </w:rPr>
        <w:t xml:space="preserve">Identifier:  </w:t>
      </w:r>
      <w:r w:rsidRPr="006C3BBB">
        <w:rPr>
          <w:rFonts w:eastAsia="Times New Roman" w:cs="Arial"/>
          <w:i/>
          <w:iCs/>
          <w:szCs w:val="24"/>
        </w:rPr>
        <w:t>i</w:t>
      </w:r>
      <w:permStart w:id="1411346588" w:edGrp="everyone"/>
      <w:r w:rsidRPr="006C3BBB">
        <w:rPr>
          <w:rFonts w:eastAsia="Times New Roman" w:cs="Arial"/>
          <w:i/>
          <w:iCs/>
          <w:szCs w:val="24"/>
        </w:rPr>
        <w:t>nsert patient's date of</w:t>
      </w:r>
      <w:r w:rsidR="00DF09C5">
        <w:t xml:space="preserve"> </w:t>
      </w:r>
      <w:r w:rsidRPr="006C3BBB">
        <w:rPr>
          <w:rFonts w:eastAsia="Times New Roman" w:cs="Arial"/>
          <w:i/>
          <w:iCs/>
          <w:szCs w:val="24"/>
        </w:rPr>
        <w:t>birth and/or address</w:t>
      </w:r>
      <w:r w:rsidRPr="006C3BBB">
        <w:rPr>
          <w:rFonts w:eastAsia="Times New Roman" w:cs="Arial"/>
          <w:i/>
          <w:szCs w:val="24"/>
        </w:rPr>
        <w:t xml:space="preserve"> </w:t>
      </w:r>
      <w:permEnd w:id="1411346588"/>
    </w:p>
    <w:p w14:paraId="40FC9B03" w14:textId="77777777" w:rsidR="003F0CF0" w:rsidRPr="006C3BBB" w:rsidRDefault="003F0CF0" w:rsidP="003F0CF0">
      <w:pPr>
        <w:spacing w:after="0"/>
        <w:rPr>
          <w:rFonts w:eastAsia="Times New Roman" w:cs="Arial"/>
          <w:i/>
          <w:iCs/>
          <w:szCs w:val="24"/>
        </w:rPr>
      </w:pPr>
    </w:p>
    <w:p w14:paraId="35D3A346" w14:textId="77777777" w:rsidR="003F0CF0" w:rsidRPr="006C3BBB" w:rsidRDefault="003F0CF0" w:rsidP="003F0CF0">
      <w:pPr>
        <w:autoSpaceDE w:val="0"/>
        <w:autoSpaceDN w:val="0"/>
        <w:adjustRightInd w:val="0"/>
        <w:spacing w:after="240"/>
        <w:rPr>
          <w:rFonts w:eastAsia="Times New Roman" w:cs="Arial"/>
          <w:b/>
          <w:bCs/>
          <w:szCs w:val="24"/>
          <w:lang w:eastAsia="en-GB"/>
        </w:rPr>
      </w:pPr>
      <w:r w:rsidRPr="006C3BBB">
        <w:rPr>
          <w:rFonts w:eastAsia="Times New Roman" w:cs="Arial"/>
          <w:szCs w:val="24"/>
          <w:lang w:eastAsia="en-GB"/>
        </w:rPr>
        <w:t>Thank you for your request for me to accept prescribing responsibility for this patient.</w:t>
      </w:r>
    </w:p>
    <w:p w14:paraId="132B7E76" w14:textId="77777777" w:rsidR="003F0CF0" w:rsidRPr="009E33B5" w:rsidRDefault="003F0CF0" w:rsidP="003F0CF0">
      <w:pPr>
        <w:autoSpaceDE w:val="0"/>
        <w:autoSpaceDN w:val="0"/>
        <w:adjustRightInd w:val="0"/>
        <w:spacing w:after="0"/>
        <w:rPr>
          <w:rFonts w:eastAsia="Times New Roman" w:cs="Arial"/>
          <w:b/>
          <w:lang w:eastAsia="en-GB"/>
        </w:rPr>
      </w:pPr>
      <w:r w:rsidRPr="006C3BBB">
        <w:rPr>
          <w:rFonts w:eastAsia="Times New Roman" w:cs="Arial"/>
          <w:szCs w:val="24"/>
          <w:lang w:eastAsia="en-GB"/>
        </w:rPr>
        <w:t>In the interest of patient safety NHS</w:t>
      </w:r>
      <w:r>
        <w:rPr>
          <w:rFonts w:eastAsia="Times New Roman" w:cs="Arial"/>
          <w:szCs w:val="24"/>
          <w:lang w:eastAsia="en-GB"/>
        </w:rPr>
        <w:t xml:space="preserve"> SWL ICB,</w:t>
      </w:r>
      <w:r w:rsidRPr="006C3BBB">
        <w:rPr>
          <w:rFonts w:eastAsia="Times New Roman" w:cs="Arial"/>
          <w:szCs w:val="24"/>
          <w:lang w:eastAsia="en-GB"/>
        </w:rPr>
        <w:t xml:space="preserve"> in conjunction with local acute trusts have classified </w:t>
      </w:r>
      <w:permStart w:id="948006480" w:edGrp="everyone"/>
      <w:r w:rsidRPr="006C3BBB">
        <w:rPr>
          <w:rFonts w:eastAsia="Times New Roman" w:cs="Arial"/>
          <w:i/>
          <w:iCs/>
          <w:szCs w:val="24"/>
          <w:lang w:eastAsia="en-GB"/>
        </w:rPr>
        <w:t>insert medicine nam</w:t>
      </w:r>
      <w:r>
        <w:rPr>
          <w:rFonts w:eastAsia="Times New Roman" w:cs="Arial"/>
          <w:i/>
          <w:iCs/>
          <w:szCs w:val="24"/>
          <w:lang w:eastAsia="en-GB"/>
        </w:rPr>
        <w:t>e</w:t>
      </w:r>
      <w:r w:rsidRPr="006C3BBB">
        <w:rPr>
          <w:rFonts w:eastAsia="Times New Roman" w:cs="Arial"/>
          <w:bCs/>
          <w:szCs w:val="24"/>
          <w:lang w:eastAsia="en-GB"/>
        </w:rPr>
        <w:t xml:space="preserve"> </w:t>
      </w:r>
      <w:permEnd w:id="948006480"/>
      <w:r w:rsidRPr="006C3BBB">
        <w:rPr>
          <w:rFonts w:eastAsia="Times New Roman" w:cs="Arial"/>
          <w:bCs/>
          <w:szCs w:val="24"/>
          <w:lang w:eastAsia="en-GB"/>
        </w:rPr>
        <w:t xml:space="preserve">as a Shared Care drug and requires </w:t>
      </w:r>
      <w:proofErr w:type="gramStart"/>
      <w:r w:rsidRPr="006C3BBB">
        <w:rPr>
          <w:rFonts w:eastAsia="Times New Roman" w:cs="Arial"/>
          <w:bCs/>
          <w:szCs w:val="24"/>
          <w:lang w:eastAsia="en-GB"/>
        </w:rPr>
        <w:t>a number of</w:t>
      </w:r>
      <w:proofErr w:type="gramEnd"/>
      <w:r w:rsidRPr="006C3BBB">
        <w:rPr>
          <w:rFonts w:eastAsia="Times New Roman" w:cs="Arial"/>
          <w:bCs/>
          <w:szCs w:val="24"/>
          <w:lang w:eastAsia="en-GB"/>
        </w:rPr>
        <w:t xml:space="preserve"> conditions to be met before transfer can be made to primary care</w:t>
      </w:r>
    </w:p>
    <w:p w14:paraId="442D194A" w14:textId="77777777" w:rsidR="005F6358" w:rsidRPr="002D255E" w:rsidRDefault="005F6358" w:rsidP="007835D2">
      <w:pPr>
        <w:autoSpaceDE w:val="0"/>
        <w:autoSpaceDN w:val="0"/>
        <w:adjustRightInd w:val="0"/>
        <w:spacing w:after="0"/>
        <w:rPr>
          <w:rFonts w:eastAsia="Times New Roman" w:cs="Arial"/>
          <w:b/>
          <w:bCs/>
          <w:sz w:val="20"/>
          <w:szCs w:val="20"/>
          <w:lang w:eastAsia="en-GB"/>
        </w:rPr>
      </w:pPr>
      <w:r w:rsidRPr="002D255E">
        <w:rPr>
          <w:rFonts w:eastAsia="Times New Roman" w:cs="Arial"/>
          <w:b/>
          <w:bCs/>
          <w:lang w:eastAsia="en-GB"/>
        </w:rPr>
        <w:t>I regret to inform you that in this instance I am unable to take on responsibility due to the following:</w:t>
      </w:r>
    </w:p>
    <w:tbl>
      <w:tblPr>
        <w:tblStyle w:val="TableGrid1"/>
        <w:tblW w:w="5082" w:type="pct"/>
        <w:tblCellMar>
          <w:top w:w="113" w:type="dxa"/>
          <w:bottom w:w="113" w:type="dxa"/>
        </w:tblCellMar>
        <w:tblLook w:val="04A0" w:firstRow="1" w:lastRow="0" w:firstColumn="1" w:lastColumn="0" w:noHBand="0" w:noVBand="1"/>
      </w:tblPr>
      <w:tblGrid>
        <w:gridCol w:w="417"/>
        <w:gridCol w:w="7562"/>
        <w:gridCol w:w="1230"/>
      </w:tblGrid>
      <w:tr w:rsidR="005F6358" w:rsidRPr="004515D1" w14:paraId="65190CF4" w14:textId="77777777" w:rsidTr="007D4E5A">
        <w:trPr>
          <w:cantSplit/>
        </w:trPr>
        <w:tc>
          <w:tcPr>
            <w:tcW w:w="226" w:type="pct"/>
          </w:tcPr>
          <w:p w14:paraId="1130104A" w14:textId="77777777" w:rsidR="005F6358" w:rsidRPr="004515D1" w:rsidRDefault="005F6358" w:rsidP="00A22643">
            <w:pPr>
              <w:autoSpaceDE w:val="0"/>
              <w:autoSpaceDN w:val="0"/>
              <w:adjustRightInd w:val="0"/>
              <w:contextualSpacing/>
              <w:jc w:val="center"/>
              <w:rPr>
                <w:rFonts w:eastAsia="Times New Roman" w:cs="Arial"/>
                <w:b/>
                <w:bCs/>
                <w:szCs w:val="24"/>
                <w:lang w:eastAsia="en-GB"/>
              </w:rPr>
            </w:pPr>
            <w:r w:rsidRPr="004515D1">
              <w:rPr>
                <w:rFonts w:eastAsia="Times New Roman" w:cs="Arial"/>
                <w:b/>
                <w:bCs/>
                <w:szCs w:val="24"/>
                <w:lang w:eastAsia="en-GB"/>
              </w:rPr>
              <w:t xml:space="preserve">   </w:t>
            </w:r>
          </w:p>
        </w:tc>
        <w:tc>
          <w:tcPr>
            <w:tcW w:w="4106" w:type="pct"/>
          </w:tcPr>
          <w:p w14:paraId="7BEDA9A4" w14:textId="77777777" w:rsidR="005F6358" w:rsidRPr="004515D1" w:rsidRDefault="005F6358" w:rsidP="00A22643">
            <w:pPr>
              <w:autoSpaceDE w:val="0"/>
              <w:autoSpaceDN w:val="0"/>
              <w:adjustRightInd w:val="0"/>
              <w:spacing w:after="120"/>
              <w:contextualSpacing/>
              <w:jc w:val="center"/>
              <w:rPr>
                <w:rFonts w:eastAsia="Times New Roman" w:cs="Arial"/>
                <w:b/>
                <w:bCs/>
                <w:szCs w:val="24"/>
                <w:lang w:eastAsia="en-GB"/>
              </w:rPr>
            </w:pPr>
          </w:p>
        </w:tc>
        <w:tc>
          <w:tcPr>
            <w:tcW w:w="668" w:type="pct"/>
          </w:tcPr>
          <w:p w14:paraId="6791F2B6" w14:textId="77777777" w:rsidR="005F6358" w:rsidRPr="004515D1" w:rsidRDefault="005F6358" w:rsidP="00A22643">
            <w:pPr>
              <w:autoSpaceDE w:val="0"/>
              <w:autoSpaceDN w:val="0"/>
              <w:adjustRightInd w:val="0"/>
              <w:contextualSpacing/>
              <w:jc w:val="center"/>
              <w:rPr>
                <w:rFonts w:eastAsia="Times New Roman" w:cs="Arial"/>
                <w:b/>
                <w:bCs/>
                <w:szCs w:val="24"/>
                <w:lang w:eastAsia="en-GB"/>
              </w:rPr>
            </w:pPr>
            <w:r w:rsidRPr="004515D1">
              <w:rPr>
                <w:rFonts w:eastAsia="Times New Roman" w:cs="Arial"/>
                <w:b/>
                <w:bCs/>
                <w:szCs w:val="24"/>
                <w:lang w:eastAsia="en-GB"/>
              </w:rPr>
              <w:t>Tick which apply</w:t>
            </w:r>
          </w:p>
        </w:tc>
      </w:tr>
      <w:tr w:rsidR="005F6358" w:rsidRPr="004515D1" w14:paraId="06E31781" w14:textId="77777777" w:rsidTr="00B047AC">
        <w:tc>
          <w:tcPr>
            <w:tcW w:w="226" w:type="pct"/>
          </w:tcPr>
          <w:p w14:paraId="0D12C882" w14:textId="77777777" w:rsidR="005F6358" w:rsidRPr="004515D1" w:rsidRDefault="005F6358" w:rsidP="00A22643">
            <w:pPr>
              <w:autoSpaceDE w:val="0"/>
              <w:autoSpaceDN w:val="0"/>
              <w:adjustRightInd w:val="0"/>
              <w:contextualSpacing/>
              <w:rPr>
                <w:rFonts w:eastAsia="Times New Roman" w:cs="Arial"/>
                <w:b/>
                <w:bCs/>
                <w:szCs w:val="24"/>
                <w:lang w:eastAsia="en-GB"/>
              </w:rPr>
            </w:pPr>
            <w:permStart w:id="1616804334" w:edGrp="everyone" w:colFirst="2" w:colLast="2"/>
            <w:r w:rsidRPr="004515D1">
              <w:rPr>
                <w:rFonts w:eastAsia="Times New Roman" w:cs="Arial"/>
                <w:b/>
                <w:bCs/>
                <w:szCs w:val="24"/>
                <w:lang w:eastAsia="en-GB"/>
              </w:rPr>
              <w:t>1.</w:t>
            </w:r>
          </w:p>
        </w:tc>
        <w:tc>
          <w:tcPr>
            <w:tcW w:w="4106" w:type="pct"/>
          </w:tcPr>
          <w:p w14:paraId="24A2CADE" w14:textId="77777777" w:rsidR="005F6358" w:rsidRPr="004515D1" w:rsidRDefault="005F6358" w:rsidP="00A22643">
            <w:pPr>
              <w:autoSpaceDE w:val="0"/>
              <w:autoSpaceDN w:val="0"/>
              <w:adjustRightInd w:val="0"/>
              <w:spacing w:after="120"/>
              <w:contextualSpacing/>
              <w:rPr>
                <w:rFonts w:eastAsia="Times New Roman" w:cs="Arial"/>
                <w:b/>
                <w:bCs/>
                <w:szCs w:val="24"/>
                <w:lang w:eastAsia="en-GB"/>
              </w:rPr>
            </w:pPr>
            <w:r w:rsidRPr="004515D1">
              <w:rPr>
                <w:rFonts w:eastAsia="Times New Roman" w:cs="Arial"/>
                <w:b/>
                <w:bCs/>
                <w:szCs w:val="24"/>
                <w:lang w:eastAsia="en-GB"/>
              </w:rPr>
              <w:t>The prescriber does not feel clinically confident in managing this individual patient’s condition, and there is a sound clinical basis for refusing to accept shared care</w:t>
            </w:r>
          </w:p>
          <w:p w14:paraId="144D5D80" w14:textId="4C6A752D" w:rsidR="005F6358" w:rsidRPr="004515D1" w:rsidRDefault="005F6358" w:rsidP="00A22643">
            <w:pPr>
              <w:autoSpaceDE w:val="0"/>
              <w:autoSpaceDN w:val="0"/>
              <w:adjustRightInd w:val="0"/>
              <w:spacing w:after="120"/>
              <w:contextualSpacing/>
              <w:rPr>
                <w:rFonts w:eastAsia="Times New Roman" w:cs="Arial"/>
                <w:bCs/>
                <w:szCs w:val="24"/>
                <w:lang w:eastAsia="en-GB"/>
              </w:rPr>
            </w:pPr>
            <w:r w:rsidRPr="004515D1">
              <w:rPr>
                <w:rFonts w:eastAsia="Times New Roman" w:cs="Arial"/>
                <w:bCs/>
                <w:szCs w:val="24"/>
                <w:lang w:eastAsia="en-GB"/>
              </w:rPr>
              <w:t>As the patients primary care prescriber I do not feel clinically confident to manage this patient’s condition because</w:t>
            </w:r>
            <w:r w:rsidR="003F0CF0">
              <w:rPr>
                <w:rFonts w:eastAsia="Times New Roman" w:cs="Arial"/>
                <w:i/>
                <w:szCs w:val="24"/>
              </w:rPr>
              <w:t xml:space="preserve"> </w:t>
            </w:r>
            <w:permStart w:id="1008544541" w:edGrp="everyone"/>
            <w:r w:rsidR="003F0CF0">
              <w:rPr>
                <w:rFonts w:eastAsia="Times New Roman" w:cs="Arial"/>
                <w:i/>
                <w:szCs w:val="24"/>
              </w:rPr>
              <w:t>insert reason</w:t>
            </w:r>
            <w:permEnd w:id="1008544541"/>
            <w:r w:rsidRPr="004515D1">
              <w:rPr>
                <w:rFonts w:eastAsia="Times New Roman" w:cs="Arial"/>
                <w:bCs/>
                <w:szCs w:val="24"/>
                <w:lang w:eastAsia="en-GB"/>
              </w:rPr>
              <w:t>. I have consulted with other primary care prescribers in my practice who support my decision. This is not an issue which would be resolved through adequate and appropriate training of prescribers within my practice.</w:t>
            </w:r>
          </w:p>
          <w:p w14:paraId="7708A979" w14:textId="77777777" w:rsidR="005F6358" w:rsidRPr="004515D1" w:rsidRDefault="005F6358" w:rsidP="00A22643">
            <w:pPr>
              <w:autoSpaceDE w:val="0"/>
              <w:autoSpaceDN w:val="0"/>
              <w:adjustRightInd w:val="0"/>
              <w:spacing w:after="120"/>
              <w:contextualSpacing/>
              <w:rPr>
                <w:rFonts w:eastAsia="Times New Roman" w:cs="Arial"/>
                <w:b/>
                <w:bCs/>
                <w:szCs w:val="24"/>
                <w:lang w:eastAsia="en-GB"/>
              </w:rPr>
            </w:pPr>
            <w:r w:rsidRPr="004515D1">
              <w:rPr>
                <w:rFonts w:eastAsia="Times New Roman" w:cs="Arial"/>
                <w:b/>
                <w:bCs/>
                <w:szCs w:val="24"/>
                <w:lang w:eastAsia="en-GB"/>
              </w:rPr>
              <w:t>I have discussed my decision with the patient and request that prescribing for this individual remain with you as the specialist, due to the sound clinical basis given above.</w:t>
            </w:r>
          </w:p>
        </w:tc>
        <w:tc>
          <w:tcPr>
            <w:tcW w:w="668" w:type="pct"/>
          </w:tcPr>
          <w:p w14:paraId="225A8D15" w14:textId="77777777" w:rsidR="005F6358" w:rsidRPr="004515D1" w:rsidRDefault="005F6358" w:rsidP="00A22643">
            <w:pPr>
              <w:autoSpaceDE w:val="0"/>
              <w:autoSpaceDN w:val="0"/>
              <w:adjustRightInd w:val="0"/>
              <w:contextualSpacing/>
              <w:rPr>
                <w:rFonts w:eastAsia="Times New Roman" w:cs="Arial"/>
                <w:b/>
                <w:bCs/>
                <w:szCs w:val="24"/>
                <w:lang w:eastAsia="en-GB"/>
              </w:rPr>
            </w:pPr>
          </w:p>
        </w:tc>
      </w:tr>
      <w:tr w:rsidR="005F6358" w:rsidRPr="004515D1" w14:paraId="6095A7DF" w14:textId="77777777" w:rsidTr="00B047AC">
        <w:tc>
          <w:tcPr>
            <w:tcW w:w="226" w:type="pct"/>
          </w:tcPr>
          <w:p w14:paraId="51095E2B" w14:textId="77777777" w:rsidR="005F6358" w:rsidRPr="004515D1" w:rsidRDefault="005F6358" w:rsidP="00A22643">
            <w:pPr>
              <w:autoSpaceDE w:val="0"/>
              <w:autoSpaceDN w:val="0"/>
              <w:adjustRightInd w:val="0"/>
              <w:contextualSpacing/>
              <w:rPr>
                <w:rFonts w:eastAsia="Times New Roman" w:cs="Arial"/>
                <w:b/>
                <w:bCs/>
                <w:szCs w:val="24"/>
                <w:lang w:eastAsia="en-GB"/>
              </w:rPr>
            </w:pPr>
            <w:permStart w:id="1745961406" w:edGrp="everyone" w:colFirst="2" w:colLast="2"/>
            <w:permEnd w:id="1616804334"/>
            <w:r w:rsidRPr="004515D1">
              <w:rPr>
                <w:rFonts w:eastAsia="Times New Roman" w:cs="Arial"/>
                <w:b/>
                <w:bCs/>
                <w:szCs w:val="24"/>
                <w:lang w:eastAsia="en-GB"/>
              </w:rPr>
              <w:t>2.</w:t>
            </w:r>
          </w:p>
        </w:tc>
        <w:tc>
          <w:tcPr>
            <w:tcW w:w="4106" w:type="pct"/>
          </w:tcPr>
          <w:p w14:paraId="6F6E7B33" w14:textId="77777777" w:rsidR="005F6358" w:rsidRPr="004515D1" w:rsidRDefault="005F6358" w:rsidP="00A22643">
            <w:pPr>
              <w:autoSpaceDE w:val="0"/>
              <w:autoSpaceDN w:val="0"/>
              <w:adjustRightInd w:val="0"/>
              <w:spacing w:after="120"/>
              <w:contextualSpacing/>
              <w:rPr>
                <w:rFonts w:eastAsia="Times New Roman" w:cs="Arial"/>
                <w:b/>
                <w:bCs/>
                <w:szCs w:val="24"/>
                <w:lang w:eastAsia="en-GB"/>
              </w:rPr>
            </w:pPr>
            <w:r w:rsidRPr="004515D1">
              <w:rPr>
                <w:rFonts w:eastAsia="Times New Roman" w:cs="Arial"/>
                <w:b/>
                <w:bCs/>
                <w:szCs w:val="24"/>
                <w:lang w:eastAsia="en-GB"/>
              </w:rPr>
              <w:t>The medicine or condition does not fall within the criteria defining suitability for inclusion in a shared care arrangement</w:t>
            </w:r>
          </w:p>
          <w:p w14:paraId="7C793CB9" w14:textId="77777777" w:rsidR="005F6358" w:rsidRPr="004515D1" w:rsidRDefault="005F6358" w:rsidP="00A22643">
            <w:pPr>
              <w:autoSpaceDE w:val="0"/>
              <w:autoSpaceDN w:val="0"/>
              <w:adjustRightInd w:val="0"/>
              <w:spacing w:after="120"/>
              <w:contextualSpacing/>
              <w:rPr>
                <w:rFonts w:eastAsia="Times New Roman" w:cs="Arial"/>
                <w:bCs/>
                <w:szCs w:val="24"/>
                <w:lang w:eastAsia="en-GB"/>
              </w:rPr>
            </w:pPr>
            <w:r w:rsidRPr="004515D1">
              <w:rPr>
                <w:rFonts w:eastAsia="Times New Roman" w:cs="Arial"/>
                <w:bCs/>
                <w:szCs w:val="24"/>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21B864F" w14:textId="77777777" w:rsidR="005F6358" w:rsidRPr="004515D1" w:rsidRDefault="005F6358" w:rsidP="00A22643">
            <w:pPr>
              <w:autoSpaceDE w:val="0"/>
              <w:autoSpaceDN w:val="0"/>
              <w:adjustRightInd w:val="0"/>
              <w:spacing w:after="120"/>
              <w:contextualSpacing/>
              <w:rPr>
                <w:rFonts w:eastAsia="Times New Roman" w:cs="Arial"/>
                <w:b/>
                <w:bCs/>
                <w:szCs w:val="24"/>
                <w:lang w:eastAsia="en-GB"/>
              </w:rPr>
            </w:pPr>
            <w:r w:rsidRPr="004515D1">
              <w:rPr>
                <w:rFonts w:eastAsia="Times New Roman" w:cs="Arial"/>
                <w:b/>
                <w:bCs/>
                <w:szCs w:val="24"/>
                <w:lang w:eastAsia="en-GB"/>
              </w:rPr>
              <w:t xml:space="preserve">Until this medicine is identified either nationally or locally as requiring shared care the responsibility for providing this patient with their medication remains with you </w:t>
            </w:r>
          </w:p>
        </w:tc>
        <w:tc>
          <w:tcPr>
            <w:tcW w:w="668" w:type="pct"/>
          </w:tcPr>
          <w:p w14:paraId="04FC5D58" w14:textId="77777777" w:rsidR="005F6358" w:rsidRPr="004515D1" w:rsidRDefault="005F6358" w:rsidP="00A22643">
            <w:pPr>
              <w:autoSpaceDE w:val="0"/>
              <w:autoSpaceDN w:val="0"/>
              <w:adjustRightInd w:val="0"/>
              <w:contextualSpacing/>
              <w:rPr>
                <w:rFonts w:eastAsia="Times New Roman" w:cs="Arial"/>
                <w:b/>
                <w:bCs/>
                <w:szCs w:val="24"/>
                <w:lang w:eastAsia="en-GB"/>
              </w:rPr>
            </w:pPr>
          </w:p>
        </w:tc>
      </w:tr>
      <w:tr w:rsidR="005F6358" w:rsidRPr="004515D1" w14:paraId="51D5B5F5" w14:textId="77777777" w:rsidTr="00B047AC">
        <w:tc>
          <w:tcPr>
            <w:tcW w:w="226" w:type="pct"/>
          </w:tcPr>
          <w:p w14:paraId="68560AF9" w14:textId="77777777" w:rsidR="005F6358" w:rsidRPr="004515D1" w:rsidRDefault="005F6358" w:rsidP="00A22643">
            <w:pPr>
              <w:autoSpaceDE w:val="0"/>
              <w:autoSpaceDN w:val="0"/>
              <w:adjustRightInd w:val="0"/>
              <w:contextualSpacing/>
              <w:rPr>
                <w:rFonts w:eastAsia="Times New Roman" w:cs="Arial"/>
                <w:b/>
                <w:bCs/>
                <w:szCs w:val="24"/>
                <w:lang w:eastAsia="en-GB"/>
              </w:rPr>
            </w:pPr>
            <w:permStart w:id="953495612" w:edGrp="everyone" w:colFirst="2" w:colLast="2"/>
            <w:permEnd w:id="1745961406"/>
            <w:r w:rsidRPr="004515D1">
              <w:rPr>
                <w:rFonts w:eastAsia="Times New Roman" w:cs="Arial"/>
                <w:b/>
                <w:bCs/>
                <w:szCs w:val="24"/>
                <w:lang w:eastAsia="en-GB"/>
              </w:rPr>
              <w:t>3.</w:t>
            </w:r>
          </w:p>
        </w:tc>
        <w:tc>
          <w:tcPr>
            <w:tcW w:w="4106" w:type="pct"/>
          </w:tcPr>
          <w:p w14:paraId="47EFE10D" w14:textId="77777777" w:rsidR="005F6358" w:rsidRPr="004515D1" w:rsidRDefault="005F6358" w:rsidP="00A22643">
            <w:pPr>
              <w:autoSpaceDE w:val="0"/>
              <w:autoSpaceDN w:val="0"/>
              <w:adjustRightInd w:val="0"/>
              <w:spacing w:after="120"/>
              <w:contextualSpacing/>
              <w:rPr>
                <w:rFonts w:eastAsia="Times New Roman" w:cs="Arial"/>
                <w:b/>
                <w:bCs/>
                <w:szCs w:val="24"/>
                <w:lang w:eastAsia="en-GB"/>
              </w:rPr>
            </w:pPr>
            <w:r w:rsidRPr="004515D1">
              <w:rPr>
                <w:rFonts w:eastAsia="Times New Roman" w:cs="Arial"/>
                <w:b/>
                <w:bCs/>
                <w:szCs w:val="24"/>
                <w:lang w:eastAsia="en-GB"/>
              </w:rPr>
              <w:t>A minimum duration of supply by the initiating clinician</w:t>
            </w:r>
          </w:p>
          <w:p w14:paraId="58998D75" w14:textId="77777777" w:rsidR="005F6358" w:rsidRPr="004515D1" w:rsidRDefault="005F6358" w:rsidP="00A22643">
            <w:pPr>
              <w:autoSpaceDE w:val="0"/>
              <w:autoSpaceDN w:val="0"/>
              <w:adjustRightInd w:val="0"/>
              <w:spacing w:after="120"/>
              <w:contextualSpacing/>
              <w:rPr>
                <w:rFonts w:eastAsia="Times New Roman" w:cs="Arial"/>
                <w:b/>
                <w:i/>
                <w:szCs w:val="24"/>
                <w:lang w:eastAsia="en-GB"/>
              </w:rPr>
            </w:pPr>
            <w:r w:rsidRPr="004515D1">
              <w:rPr>
                <w:rFonts w:eastAsia="Times New Roman" w:cs="Arial"/>
                <w:szCs w:val="24"/>
                <w:lang w:eastAsia="en-GB"/>
              </w:rPr>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15D4A443" w14:textId="77777777" w:rsidR="005F6358" w:rsidRPr="004515D1" w:rsidRDefault="005F6358" w:rsidP="00A22643">
            <w:pPr>
              <w:autoSpaceDE w:val="0"/>
              <w:autoSpaceDN w:val="0"/>
              <w:adjustRightInd w:val="0"/>
              <w:spacing w:after="120"/>
              <w:contextualSpacing/>
              <w:rPr>
                <w:rFonts w:eastAsia="Times New Roman" w:cs="Arial"/>
                <w:szCs w:val="24"/>
                <w:lang w:eastAsia="en-GB"/>
              </w:rPr>
            </w:pPr>
            <w:r w:rsidRPr="004515D1">
              <w:rPr>
                <w:rFonts w:eastAsia="Times New Roman" w:cs="Arial"/>
                <w:b/>
                <w:i/>
                <w:szCs w:val="24"/>
                <w:lang w:eastAsia="en-GB"/>
              </w:rPr>
              <w:lastRenderedPageBreak/>
              <w:t>Until the patient has had the appropriate length of supply the responsibility for providing the patient with their medication remains with you</w:t>
            </w:r>
            <w:r w:rsidRPr="004515D1">
              <w:rPr>
                <w:rFonts w:eastAsia="Times New Roman" w:cs="Arial"/>
                <w:b/>
                <w:bCs/>
                <w:i/>
                <w:szCs w:val="24"/>
                <w:lang w:eastAsia="en-GB"/>
              </w:rPr>
              <w:t>.</w:t>
            </w:r>
          </w:p>
        </w:tc>
        <w:tc>
          <w:tcPr>
            <w:tcW w:w="668" w:type="pct"/>
          </w:tcPr>
          <w:p w14:paraId="19AE6141" w14:textId="77777777" w:rsidR="005F6358" w:rsidRPr="004515D1" w:rsidRDefault="005F6358" w:rsidP="00A22643">
            <w:pPr>
              <w:autoSpaceDE w:val="0"/>
              <w:autoSpaceDN w:val="0"/>
              <w:adjustRightInd w:val="0"/>
              <w:contextualSpacing/>
              <w:rPr>
                <w:rFonts w:eastAsia="Times New Roman" w:cs="Arial"/>
                <w:b/>
                <w:bCs/>
                <w:szCs w:val="24"/>
                <w:lang w:eastAsia="en-GB"/>
              </w:rPr>
            </w:pPr>
          </w:p>
        </w:tc>
      </w:tr>
      <w:tr w:rsidR="005F6358" w:rsidRPr="004515D1" w14:paraId="089988B7" w14:textId="77777777" w:rsidTr="00B047AC">
        <w:tc>
          <w:tcPr>
            <w:tcW w:w="226" w:type="pct"/>
          </w:tcPr>
          <w:p w14:paraId="0EB24C74" w14:textId="77777777" w:rsidR="005F6358" w:rsidRPr="004515D1" w:rsidRDefault="005F6358" w:rsidP="00A22643">
            <w:pPr>
              <w:autoSpaceDE w:val="0"/>
              <w:autoSpaceDN w:val="0"/>
              <w:adjustRightInd w:val="0"/>
              <w:contextualSpacing/>
              <w:rPr>
                <w:rFonts w:eastAsia="Times New Roman" w:cs="Arial"/>
                <w:b/>
                <w:bCs/>
                <w:szCs w:val="24"/>
                <w:lang w:eastAsia="en-GB"/>
              </w:rPr>
            </w:pPr>
            <w:permStart w:id="181041380" w:edGrp="everyone" w:colFirst="2" w:colLast="2"/>
            <w:permEnd w:id="953495612"/>
            <w:r w:rsidRPr="004515D1">
              <w:rPr>
                <w:rFonts w:eastAsia="Times New Roman" w:cs="Arial"/>
                <w:b/>
                <w:bCs/>
                <w:szCs w:val="24"/>
                <w:lang w:eastAsia="en-GB"/>
              </w:rPr>
              <w:t>4.</w:t>
            </w:r>
          </w:p>
        </w:tc>
        <w:tc>
          <w:tcPr>
            <w:tcW w:w="4106" w:type="pct"/>
          </w:tcPr>
          <w:p w14:paraId="692BA673" w14:textId="77777777" w:rsidR="005F6358" w:rsidRPr="004515D1" w:rsidRDefault="005F6358" w:rsidP="00A22643">
            <w:pPr>
              <w:autoSpaceDE w:val="0"/>
              <w:autoSpaceDN w:val="0"/>
              <w:adjustRightInd w:val="0"/>
              <w:spacing w:after="120"/>
              <w:contextualSpacing/>
              <w:rPr>
                <w:rFonts w:eastAsia="Times New Roman" w:cs="Arial"/>
                <w:b/>
                <w:szCs w:val="24"/>
                <w:lang w:eastAsia="en-GB"/>
              </w:rPr>
            </w:pPr>
            <w:r w:rsidRPr="004515D1">
              <w:rPr>
                <w:rFonts w:eastAsia="Times New Roman" w:cs="Arial"/>
                <w:b/>
                <w:szCs w:val="24"/>
                <w:lang w:eastAsia="en-GB"/>
              </w:rPr>
              <w:t>Initiation and optimisation by the initiating specialist</w:t>
            </w:r>
          </w:p>
          <w:p w14:paraId="4A9D7F57" w14:textId="77777777" w:rsidR="005F6358" w:rsidRPr="004515D1" w:rsidRDefault="005F6358" w:rsidP="00A22643">
            <w:pPr>
              <w:autoSpaceDE w:val="0"/>
              <w:autoSpaceDN w:val="0"/>
              <w:adjustRightInd w:val="0"/>
              <w:spacing w:after="120"/>
              <w:contextualSpacing/>
              <w:rPr>
                <w:rFonts w:eastAsia="Times New Roman" w:cs="Arial"/>
                <w:b/>
                <w:i/>
                <w:szCs w:val="24"/>
                <w:lang w:eastAsia="en-GB"/>
              </w:rPr>
            </w:pPr>
            <w:r w:rsidRPr="004515D1">
              <w:rPr>
                <w:rFonts w:eastAsia="Times New Roman" w:cs="Arial"/>
                <w:szCs w:val="24"/>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172B0639" w14:textId="77777777" w:rsidR="005F6358" w:rsidRPr="004515D1" w:rsidRDefault="005F6358" w:rsidP="00A22643">
            <w:pPr>
              <w:autoSpaceDE w:val="0"/>
              <w:autoSpaceDN w:val="0"/>
              <w:adjustRightInd w:val="0"/>
              <w:spacing w:after="120"/>
              <w:contextualSpacing/>
              <w:rPr>
                <w:rFonts w:eastAsia="Times New Roman" w:cs="Arial"/>
                <w:b/>
                <w:i/>
                <w:szCs w:val="24"/>
                <w:lang w:eastAsia="en-GB"/>
              </w:rPr>
            </w:pPr>
            <w:r w:rsidRPr="004515D1">
              <w:rPr>
                <w:rFonts w:eastAsia="Times New Roman" w:cs="Arial"/>
                <w:b/>
                <w:i/>
                <w:szCs w:val="24"/>
                <w:lang w:eastAsia="en-GB"/>
              </w:rPr>
              <w:t>Until the patient is optimised on this medication the responsibility for providing the patient with their medication remains with you.</w:t>
            </w:r>
          </w:p>
        </w:tc>
        <w:tc>
          <w:tcPr>
            <w:tcW w:w="668" w:type="pct"/>
          </w:tcPr>
          <w:p w14:paraId="689A7579" w14:textId="77777777" w:rsidR="005F6358" w:rsidRPr="004515D1" w:rsidRDefault="005F6358" w:rsidP="00A22643">
            <w:pPr>
              <w:autoSpaceDE w:val="0"/>
              <w:autoSpaceDN w:val="0"/>
              <w:adjustRightInd w:val="0"/>
              <w:contextualSpacing/>
              <w:rPr>
                <w:rFonts w:eastAsia="Times New Roman" w:cs="Arial"/>
                <w:b/>
                <w:bCs/>
                <w:szCs w:val="24"/>
                <w:lang w:eastAsia="en-GB"/>
              </w:rPr>
            </w:pPr>
          </w:p>
        </w:tc>
      </w:tr>
      <w:tr w:rsidR="005F6358" w:rsidRPr="004515D1" w14:paraId="2013151E" w14:textId="77777777" w:rsidTr="00B047AC">
        <w:tc>
          <w:tcPr>
            <w:tcW w:w="226" w:type="pct"/>
          </w:tcPr>
          <w:p w14:paraId="051E7B39" w14:textId="77777777" w:rsidR="005F6358" w:rsidRPr="004515D1" w:rsidRDefault="005F6358" w:rsidP="00A22643">
            <w:pPr>
              <w:autoSpaceDE w:val="0"/>
              <w:autoSpaceDN w:val="0"/>
              <w:adjustRightInd w:val="0"/>
              <w:contextualSpacing/>
              <w:rPr>
                <w:rFonts w:eastAsia="Times New Roman" w:cs="Arial"/>
                <w:b/>
                <w:bCs/>
                <w:szCs w:val="24"/>
                <w:lang w:eastAsia="en-GB"/>
              </w:rPr>
            </w:pPr>
            <w:permStart w:id="513809737" w:edGrp="everyone" w:colFirst="2" w:colLast="2"/>
            <w:permEnd w:id="181041380"/>
            <w:r w:rsidRPr="004515D1">
              <w:rPr>
                <w:rFonts w:eastAsia="Times New Roman" w:cs="Arial"/>
                <w:b/>
                <w:bCs/>
                <w:szCs w:val="24"/>
                <w:lang w:eastAsia="en-GB"/>
              </w:rPr>
              <w:t>5.</w:t>
            </w:r>
          </w:p>
        </w:tc>
        <w:tc>
          <w:tcPr>
            <w:tcW w:w="4106" w:type="pct"/>
          </w:tcPr>
          <w:p w14:paraId="7D69E9A8" w14:textId="77777777" w:rsidR="005F6358" w:rsidRPr="004515D1" w:rsidRDefault="005F6358" w:rsidP="00A22643">
            <w:pPr>
              <w:autoSpaceDE w:val="0"/>
              <w:autoSpaceDN w:val="0"/>
              <w:adjustRightInd w:val="0"/>
              <w:spacing w:after="120"/>
              <w:contextualSpacing/>
              <w:rPr>
                <w:rFonts w:eastAsia="Times New Roman" w:cs="Arial"/>
                <w:b/>
                <w:szCs w:val="24"/>
                <w:lang w:eastAsia="en-GB"/>
              </w:rPr>
            </w:pPr>
            <w:r w:rsidRPr="004515D1">
              <w:rPr>
                <w:rFonts w:eastAsia="Times New Roman" w:cs="Arial"/>
                <w:b/>
                <w:szCs w:val="24"/>
                <w:lang w:eastAsia="en-GB"/>
              </w:rPr>
              <w:t>Shared Care Protocol not received</w:t>
            </w:r>
          </w:p>
          <w:p w14:paraId="6335DBD3" w14:textId="77777777" w:rsidR="005F6358" w:rsidRPr="004515D1" w:rsidRDefault="005F6358" w:rsidP="00A22643">
            <w:pPr>
              <w:autoSpaceDE w:val="0"/>
              <w:autoSpaceDN w:val="0"/>
              <w:adjustRightInd w:val="0"/>
              <w:spacing w:after="120"/>
              <w:contextualSpacing/>
              <w:rPr>
                <w:rFonts w:eastAsia="Times New Roman" w:cs="Arial"/>
                <w:b/>
                <w:i/>
                <w:szCs w:val="24"/>
                <w:lang w:eastAsia="en-GB"/>
              </w:rPr>
            </w:pPr>
            <w:r w:rsidRPr="004515D1">
              <w:rPr>
                <w:rFonts w:eastAsia="Times New Roman" w:cs="Arial"/>
                <w:szCs w:val="24"/>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4515D1">
              <w:rPr>
                <w:rFonts w:eastAsia="Times New Roman" w:cs="Arial"/>
                <w:b/>
                <w:i/>
                <w:szCs w:val="24"/>
                <w:lang w:eastAsia="en-GB"/>
              </w:rPr>
              <w:t>.</w:t>
            </w:r>
          </w:p>
          <w:p w14:paraId="243F08FE" w14:textId="77777777" w:rsidR="005F6358" w:rsidRPr="004515D1" w:rsidRDefault="005F6358" w:rsidP="00A22643">
            <w:pPr>
              <w:autoSpaceDE w:val="0"/>
              <w:autoSpaceDN w:val="0"/>
              <w:adjustRightInd w:val="0"/>
              <w:spacing w:after="120"/>
              <w:contextualSpacing/>
              <w:rPr>
                <w:rFonts w:eastAsia="Times New Roman" w:cs="Arial"/>
                <w:b/>
                <w:i/>
                <w:szCs w:val="24"/>
                <w:lang w:eastAsia="en-GB"/>
              </w:rPr>
            </w:pPr>
            <w:r w:rsidRPr="004515D1">
              <w:rPr>
                <w:rFonts w:eastAsia="Times New Roman" w:cs="Arial"/>
                <w:szCs w:val="24"/>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4515D1">
              <w:rPr>
                <w:rFonts w:eastAsia="Times New Roman" w:cs="Arial"/>
                <w:b/>
                <w:i/>
                <w:szCs w:val="24"/>
                <w:lang w:eastAsia="en-GB"/>
              </w:rPr>
              <w:t xml:space="preserve">  </w:t>
            </w:r>
          </w:p>
          <w:p w14:paraId="2148BBDC" w14:textId="77777777" w:rsidR="005F6358" w:rsidRPr="004515D1" w:rsidRDefault="005F6358" w:rsidP="00A22643">
            <w:pPr>
              <w:autoSpaceDE w:val="0"/>
              <w:autoSpaceDN w:val="0"/>
              <w:adjustRightInd w:val="0"/>
              <w:spacing w:after="120"/>
              <w:contextualSpacing/>
              <w:rPr>
                <w:rFonts w:eastAsia="Times New Roman" w:cs="Arial"/>
                <w:szCs w:val="24"/>
                <w:lang w:eastAsia="en-GB"/>
              </w:rPr>
            </w:pPr>
            <w:r w:rsidRPr="004515D1">
              <w:rPr>
                <w:rFonts w:eastAsia="Times New Roman" w:cs="Arial"/>
                <w:b/>
                <w:i/>
                <w:szCs w:val="24"/>
                <w:lang w:eastAsia="en-GB"/>
              </w:rPr>
              <w:t>Until I receive the appropriate SCP, responsibility for providing the patient with their medication remains with you</w:t>
            </w:r>
            <w:r w:rsidRPr="004515D1">
              <w:rPr>
                <w:rFonts w:eastAsia="Times New Roman" w:cs="Arial"/>
                <w:b/>
                <w:bCs/>
                <w:i/>
                <w:szCs w:val="24"/>
                <w:lang w:eastAsia="en-GB"/>
              </w:rPr>
              <w:t>.</w:t>
            </w:r>
          </w:p>
        </w:tc>
        <w:tc>
          <w:tcPr>
            <w:tcW w:w="668" w:type="pct"/>
          </w:tcPr>
          <w:p w14:paraId="7E5BBA9D" w14:textId="77777777" w:rsidR="005F6358" w:rsidRPr="004515D1" w:rsidRDefault="005F6358" w:rsidP="00A22643">
            <w:pPr>
              <w:autoSpaceDE w:val="0"/>
              <w:autoSpaceDN w:val="0"/>
              <w:adjustRightInd w:val="0"/>
              <w:contextualSpacing/>
              <w:rPr>
                <w:rFonts w:eastAsia="Times New Roman" w:cs="Arial"/>
                <w:b/>
                <w:bCs/>
                <w:szCs w:val="24"/>
                <w:lang w:eastAsia="en-GB"/>
              </w:rPr>
            </w:pPr>
          </w:p>
        </w:tc>
      </w:tr>
      <w:tr w:rsidR="005F6358" w:rsidRPr="004515D1" w14:paraId="2B399447" w14:textId="77777777" w:rsidTr="00B047AC">
        <w:tc>
          <w:tcPr>
            <w:tcW w:w="226" w:type="pct"/>
          </w:tcPr>
          <w:p w14:paraId="171DF1F3" w14:textId="77777777" w:rsidR="005F6358" w:rsidRPr="004515D1" w:rsidRDefault="005F6358" w:rsidP="00A22643">
            <w:pPr>
              <w:autoSpaceDE w:val="0"/>
              <w:autoSpaceDN w:val="0"/>
              <w:adjustRightInd w:val="0"/>
              <w:contextualSpacing/>
              <w:rPr>
                <w:rFonts w:eastAsia="Times New Roman" w:cs="Arial"/>
                <w:b/>
                <w:bCs/>
                <w:szCs w:val="24"/>
                <w:lang w:eastAsia="en-GB"/>
              </w:rPr>
            </w:pPr>
            <w:permStart w:id="1237460992" w:edGrp="everyone" w:colFirst="2" w:colLast="2"/>
            <w:permEnd w:id="513809737"/>
            <w:r w:rsidRPr="004515D1">
              <w:rPr>
                <w:rFonts w:eastAsia="Times New Roman" w:cs="Arial"/>
                <w:b/>
                <w:bCs/>
                <w:szCs w:val="24"/>
                <w:lang w:eastAsia="en-GB"/>
              </w:rPr>
              <w:t>6.</w:t>
            </w:r>
          </w:p>
        </w:tc>
        <w:tc>
          <w:tcPr>
            <w:tcW w:w="4106" w:type="pct"/>
          </w:tcPr>
          <w:p w14:paraId="72D7A6C7" w14:textId="77777777" w:rsidR="005F6358" w:rsidRPr="004515D1" w:rsidRDefault="005F6358" w:rsidP="00A22643">
            <w:pPr>
              <w:autoSpaceDE w:val="0"/>
              <w:autoSpaceDN w:val="0"/>
              <w:adjustRightInd w:val="0"/>
              <w:spacing w:after="120"/>
              <w:contextualSpacing/>
              <w:rPr>
                <w:rFonts w:eastAsia="Times New Roman" w:cs="Arial"/>
                <w:b/>
                <w:szCs w:val="24"/>
                <w:lang w:eastAsia="en-GB"/>
              </w:rPr>
            </w:pPr>
            <w:r w:rsidRPr="004515D1">
              <w:rPr>
                <w:rFonts w:eastAsia="Times New Roman" w:cs="Arial"/>
                <w:b/>
                <w:szCs w:val="24"/>
                <w:lang w:eastAsia="en-GB"/>
              </w:rPr>
              <w:t>Other (</w:t>
            </w:r>
            <w:permStart w:id="897334360" w:edGrp="everyone"/>
            <w:r w:rsidRPr="004515D1">
              <w:rPr>
                <w:rFonts w:eastAsia="Times New Roman" w:cs="Arial"/>
                <w:b/>
                <w:szCs w:val="24"/>
                <w:lang w:eastAsia="en-GB"/>
              </w:rPr>
              <w:t>Primary Care Prescriber to complete if there are other reasons why shared care cannot be accepted</w:t>
            </w:r>
            <w:permEnd w:id="897334360"/>
            <w:r w:rsidRPr="004515D1">
              <w:rPr>
                <w:rFonts w:eastAsia="Times New Roman" w:cs="Arial"/>
                <w:b/>
                <w:szCs w:val="24"/>
                <w:lang w:eastAsia="en-GB"/>
              </w:rPr>
              <w:t>)</w:t>
            </w:r>
          </w:p>
          <w:p w14:paraId="2C139E7F" w14:textId="77777777" w:rsidR="005F6358" w:rsidRPr="004515D1" w:rsidRDefault="005F6358" w:rsidP="00A22643">
            <w:pPr>
              <w:autoSpaceDE w:val="0"/>
              <w:autoSpaceDN w:val="0"/>
              <w:adjustRightInd w:val="0"/>
              <w:spacing w:after="120"/>
              <w:contextualSpacing/>
              <w:rPr>
                <w:rFonts w:eastAsia="Times New Roman" w:cs="Arial"/>
                <w:b/>
                <w:szCs w:val="24"/>
                <w:lang w:eastAsia="en-GB"/>
              </w:rPr>
            </w:pPr>
          </w:p>
          <w:p w14:paraId="07B4309A" w14:textId="77777777" w:rsidR="005F6358" w:rsidRPr="004515D1" w:rsidRDefault="005F6358" w:rsidP="00A22643">
            <w:pPr>
              <w:autoSpaceDE w:val="0"/>
              <w:autoSpaceDN w:val="0"/>
              <w:adjustRightInd w:val="0"/>
              <w:spacing w:after="120"/>
              <w:contextualSpacing/>
              <w:rPr>
                <w:rFonts w:eastAsia="Times New Roman" w:cs="Arial"/>
                <w:b/>
                <w:szCs w:val="24"/>
                <w:lang w:eastAsia="en-GB"/>
              </w:rPr>
            </w:pPr>
          </w:p>
        </w:tc>
        <w:tc>
          <w:tcPr>
            <w:tcW w:w="668" w:type="pct"/>
          </w:tcPr>
          <w:p w14:paraId="26B93BD8" w14:textId="77777777" w:rsidR="005F6358" w:rsidRPr="004515D1" w:rsidRDefault="005F6358" w:rsidP="00A22643">
            <w:pPr>
              <w:autoSpaceDE w:val="0"/>
              <w:autoSpaceDN w:val="0"/>
              <w:adjustRightInd w:val="0"/>
              <w:contextualSpacing/>
              <w:rPr>
                <w:rFonts w:eastAsia="Times New Roman" w:cs="Arial"/>
                <w:b/>
                <w:bCs/>
                <w:szCs w:val="24"/>
                <w:lang w:eastAsia="en-GB"/>
              </w:rPr>
            </w:pPr>
          </w:p>
        </w:tc>
      </w:tr>
      <w:permEnd w:id="1237460992"/>
    </w:tbl>
    <w:p w14:paraId="5AFA3438" w14:textId="77777777" w:rsidR="005F6358" w:rsidRPr="002D255E" w:rsidRDefault="005F6358" w:rsidP="005F6358">
      <w:pPr>
        <w:autoSpaceDE w:val="0"/>
        <w:autoSpaceDN w:val="0"/>
        <w:adjustRightInd w:val="0"/>
        <w:spacing w:after="0"/>
        <w:rPr>
          <w:rFonts w:eastAsia="Times New Roman" w:cs="Arial"/>
          <w:b/>
          <w:bCs/>
          <w:lang w:eastAsia="en-GB"/>
        </w:rPr>
      </w:pPr>
    </w:p>
    <w:p w14:paraId="4BB22CAC" w14:textId="77777777" w:rsidR="005F6358" w:rsidRPr="002D255E" w:rsidRDefault="005F6358" w:rsidP="005F6358">
      <w:pPr>
        <w:autoSpaceDE w:val="0"/>
        <w:autoSpaceDN w:val="0"/>
        <w:adjustRightInd w:val="0"/>
        <w:spacing w:after="0"/>
        <w:rPr>
          <w:rFonts w:eastAsia="Times New Roman" w:cs="Arial"/>
          <w:bCs/>
          <w:lang w:eastAsia="en-GB"/>
        </w:rPr>
      </w:pPr>
      <w:r w:rsidRPr="002D255E">
        <w:rPr>
          <w:rFonts w:eastAsia="Times New Roman" w:cs="Arial"/>
          <w:bCs/>
          <w:lang w:eastAsia="en-GB"/>
        </w:rPr>
        <w:t xml:space="preserve">I would be willing to consider prescribing for this patient once the above criteria have been met for this treatment.  </w:t>
      </w:r>
    </w:p>
    <w:p w14:paraId="0D68A4A5" w14:textId="77777777" w:rsidR="005F6358" w:rsidRPr="002D255E" w:rsidRDefault="005F6358" w:rsidP="005F6358">
      <w:pPr>
        <w:autoSpaceDE w:val="0"/>
        <w:autoSpaceDN w:val="0"/>
        <w:adjustRightInd w:val="0"/>
        <w:spacing w:after="0"/>
        <w:rPr>
          <w:rFonts w:eastAsia="Times New Roman" w:cs="Arial"/>
          <w:bCs/>
          <w:lang w:eastAsia="en-GB"/>
        </w:rPr>
      </w:pPr>
    </w:p>
    <w:p w14:paraId="0280FF79" w14:textId="77777777" w:rsidR="005F6358" w:rsidRPr="002D255E" w:rsidRDefault="005F6358" w:rsidP="005F6358">
      <w:pPr>
        <w:autoSpaceDE w:val="0"/>
        <w:autoSpaceDN w:val="0"/>
        <w:adjustRightInd w:val="0"/>
        <w:spacing w:after="0"/>
        <w:rPr>
          <w:rFonts w:eastAsia="Times New Roman" w:cs="Arial"/>
          <w:lang w:eastAsia="en-GB"/>
        </w:rPr>
      </w:pPr>
      <w:r w:rsidRPr="002D255E">
        <w:rPr>
          <w:rFonts w:eastAsia="Times New Roman" w:cs="Arial"/>
          <w:lang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29D57AE8" w14:textId="77777777" w:rsidR="005F6358" w:rsidRPr="002D255E" w:rsidRDefault="005F6358" w:rsidP="005F6358">
      <w:pPr>
        <w:autoSpaceDE w:val="0"/>
        <w:autoSpaceDN w:val="0"/>
        <w:adjustRightInd w:val="0"/>
        <w:spacing w:after="0"/>
        <w:rPr>
          <w:rFonts w:eastAsia="Times New Roman" w:cs="Arial"/>
          <w:lang w:eastAsia="en-GB"/>
        </w:rPr>
      </w:pPr>
    </w:p>
    <w:p w14:paraId="7DD8E7BA" w14:textId="77777777" w:rsidR="005F6358" w:rsidRPr="002D255E" w:rsidRDefault="005F6358" w:rsidP="005F6358">
      <w:pPr>
        <w:autoSpaceDE w:val="0"/>
        <w:autoSpaceDN w:val="0"/>
        <w:adjustRightInd w:val="0"/>
        <w:spacing w:after="0"/>
        <w:rPr>
          <w:rFonts w:eastAsia="Times New Roman" w:cs="Arial"/>
          <w:lang w:eastAsia="en-GB"/>
        </w:rPr>
      </w:pPr>
      <w:r w:rsidRPr="002D255E">
        <w:rPr>
          <w:rFonts w:eastAsia="Times New Roman" w:cs="Arial"/>
          <w:lang w:eastAsia="en-GB"/>
        </w:rPr>
        <w:t>Please do not hesitate to contact me if you wish to discuss any aspect of my letter in more detail and I hope to receive more information regarding this shared care agreement as soon as possible</w:t>
      </w:r>
    </w:p>
    <w:p w14:paraId="053ECC6D" w14:textId="77777777" w:rsidR="005F6358" w:rsidRPr="002D255E" w:rsidRDefault="005F6358" w:rsidP="005F6358">
      <w:pPr>
        <w:autoSpaceDE w:val="0"/>
        <w:autoSpaceDN w:val="0"/>
        <w:adjustRightInd w:val="0"/>
        <w:spacing w:after="0"/>
        <w:rPr>
          <w:rFonts w:eastAsia="Times New Roman" w:cs="Arial"/>
          <w:lang w:eastAsia="en-GB"/>
        </w:rPr>
      </w:pPr>
    </w:p>
    <w:p w14:paraId="55351CD5" w14:textId="77777777" w:rsidR="005F6358" w:rsidRPr="002D255E" w:rsidRDefault="005F6358" w:rsidP="005F6358">
      <w:pPr>
        <w:spacing w:after="0"/>
        <w:rPr>
          <w:rFonts w:eastAsia="Times New Roman" w:cs="Arial"/>
          <w:lang w:eastAsia="en-GB"/>
        </w:rPr>
      </w:pPr>
      <w:r w:rsidRPr="002D255E">
        <w:rPr>
          <w:rFonts w:eastAsia="Times New Roman" w:cs="Arial"/>
          <w:lang w:eastAsia="en-GB"/>
        </w:rPr>
        <w:lastRenderedPageBreak/>
        <w:t>Yours sincerely</w:t>
      </w:r>
    </w:p>
    <w:p w14:paraId="719FE9CC" w14:textId="77777777" w:rsidR="005F6358" w:rsidRPr="002D255E" w:rsidRDefault="005F6358" w:rsidP="005F6358">
      <w:pPr>
        <w:spacing w:after="0" w:line="240" w:lineRule="auto"/>
        <w:rPr>
          <w:rFonts w:eastAsia="Times New Roman" w:cs="Arial"/>
          <w:lang w:eastAsia="en-GB"/>
        </w:rPr>
      </w:pPr>
    </w:p>
    <w:p w14:paraId="1ED92FD2" w14:textId="77777777" w:rsidR="005F6358" w:rsidRPr="002D255E" w:rsidRDefault="005F6358" w:rsidP="005F6358">
      <w:pPr>
        <w:spacing w:after="0" w:line="240" w:lineRule="auto"/>
        <w:rPr>
          <w:rFonts w:eastAsia="Times New Roman" w:cs="Arial"/>
          <w:lang w:eastAsia="en-GB"/>
        </w:rPr>
      </w:pPr>
    </w:p>
    <w:p w14:paraId="771EA5C7" w14:textId="77777777" w:rsidR="000978B8" w:rsidRPr="002D255E" w:rsidRDefault="005F6358" w:rsidP="005F6358">
      <w:pPr>
        <w:autoSpaceDE w:val="0"/>
        <w:autoSpaceDN w:val="0"/>
        <w:adjustRightInd w:val="0"/>
        <w:spacing w:after="0" w:line="240" w:lineRule="auto"/>
        <w:rPr>
          <w:rFonts w:eastAsia="Times New Roman" w:cs="Arial"/>
          <w:b/>
          <w:bCs/>
        </w:rPr>
      </w:pPr>
      <w:r w:rsidRPr="002D255E">
        <w:rPr>
          <w:rFonts w:eastAsia="Times New Roman" w:cs="Arial"/>
          <w:b/>
          <w:bCs/>
        </w:rPr>
        <w:t>Primary Care Prescriber signature: _______________________________</w:t>
      </w:r>
    </w:p>
    <w:p w14:paraId="4EB75742" w14:textId="77777777" w:rsidR="000978B8" w:rsidRPr="002D255E" w:rsidRDefault="000978B8" w:rsidP="005F6358">
      <w:pPr>
        <w:autoSpaceDE w:val="0"/>
        <w:autoSpaceDN w:val="0"/>
        <w:adjustRightInd w:val="0"/>
        <w:spacing w:after="0" w:line="240" w:lineRule="auto"/>
        <w:rPr>
          <w:rFonts w:eastAsia="Times New Roman" w:cs="Arial"/>
          <w:b/>
          <w:bCs/>
        </w:rPr>
      </w:pPr>
    </w:p>
    <w:p w14:paraId="0D0C56BF" w14:textId="00FEEC2E" w:rsidR="005F6358" w:rsidRPr="002D255E" w:rsidRDefault="005F6358" w:rsidP="005F6358">
      <w:pPr>
        <w:autoSpaceDE w:val="0"/>
        <w:autoSpaceDN w:val="0"/>
        <w:adjustRightInd w:val="0"/>
        <w:spacing w:after="0" w:line="240" w:lineRule="auto"/>
        <w:rPr>
          <w:rFonts w:eastAsia="Times New Roman" w:cs="Arial"/>
          <w:b/>
          <w:bCs/>
        </w:rPr>
      </w:pPr>
      <w:r w:rsidRPr="002D255E">
        <w:rPr>
          <w:rFonts w:eastAsia="Times New Roman" w:cs="Arial"/>
          <w:b/>
          <w:bCs/>
        </w:rPr>
        <w:t xml:space="preserve">Date: ____________ </w:t>
      </w:r>
    </w:p>
    <w:p w14:paraId="2D688D7E" w14:textId="77777777" w:rsidR="005F6358" w:rsidRPr="002D255E" w:rsidRDefault="005F6358" w:rsidP="005F6358">
      <w:pPr>
        <w:autoSpaceDE w:val="0"/>
        <w:autoSpaceDN w:val="0"/>
        <w:adjustRightInd w:val="0"/>
        <w:spacing w:after="0" w:line="240" w:lineRule="auto"/>
        <w:rPr>
          <w:rFonts w:eastAsia="Times New Roman" w:cs="Arial"/>
          <w:b/>
          <w:bCs/>
        </w:rPr>
      </w:pPr>
    </w:p>
    <w:p w14:paraId="1F08E5C7" w14:textId="77777777" w:rsidR="005F6358" w:rsidRPr="002D255E" w:rsidRDefault="005F6358" w:rsidP="005F6358">
      <w:pPr>
        <w:autoSpaceDE w:val="0"/>
        <w:autoSpaceDN w:val="0"/>
        <w:adjustRightInd w:val="0"/>
        <w:spacing w:after="0" w:line="240" w:lineRule="auto"/>
        <w:rPr>
          <w:rFonts w:eastAsia="Times New Roman" w:cs="Arial"/>
          <w:b/>
          <w:bCs/>
        </w:rPr>
      </w:pPr>
    </w:p>
    <w:p w14:paraId="3363D651" w14:textId="77777777" w:rsidR="005F6358" w:rsidRPr="002D255E" w:rsidRDefault="005F6358" w:rsidP="005F6358">
      <w:pPr>
        <w:autoSpaceDE w:val="0"/>
        <w:autoSpaceDN w:val="0"/>
        <w:adjustRightInd w:val="0"/>
        <w:spacing w:after="0" w:line="240" w:lineRule="auto"/>
        <w:rPr>
          <w:rFonts w:eastAsia="Times New Roman" w:cs="Arial"/>
          <w:b/>
          <w:bCs/>
        </w:rPr>
      </w:pPr>
    </w:p>
    <w:p w14:paraId="18219ECB" w14:textId="77777777" w:rsidR="005F6358" w:rsidRPr="00F13240" w:rsidRDefault="005F6358" w:rsidP="005F6358">
      <w:pPr>
        <w:autoSpaceDE w:val="0"/>
        <w:autoSpaceDN w:val="0"/>
        <w:adjustRightInd w:val="0"/>
        <w:spacing w:after="0" w:line="240" w:lineRule="auto"/>
        <w:rPr>
          <w:rFonts w:eastAsia="Times New Roman" w:cs="Arial"/>
          <w:sz w:val="20"/>
          <w:szCs w:val="20"/>
          <w:lang w:eastAsia="en-GB"/>
        </w:rPr>
      </w:pPr>
      <w:r w:rsidRPr="002D255E">
        <w:rPr>
          <w:rFonts w:eastAsia="Times New Roman" w:cs="Arial"/>
          <w:b/>
          <w:bCs/>
        </w:rPr>
        <w:t>Primary Care Prescriber address/practice stamp</w:t>
      </w:r>
    </w:p>
    <w:p w14:paraId="5CD5A284" w14:textId="77777777" w:rsidR="005F6358" w:rsidRPr="00F13240" w:rsidRDefault="005F6358" w:rsidP="005F6358">
      <w:pPr>
        <w:autoSpaceDE w:val="0"/>
        <w:autoSpaceDN w:val="0"/>
        <w:adjustRightInd w:val="0"/>
        <w:spacing w:after="0" w:line="240" w:lineRule="auto"/>
        <w:rPr>
          <w:rFonts w:eastAsia="Times New Roman" w:cs="Arial"/>
          <w:lang w:eastAsia="en-GB"/>
        </w:rPr>
      </w:pPr>
    </w:p>
    <w:p w14:paraId="45E2BB9B" w14:textId="77777777" w:rsidR="00877E1D" w:rsidRPr="00F13240" w:rsidRDefault="00877E1D" w:rsidP="00877E1D">
      <w:pPr>
        <w:rPr>
          <w:rFonts w:cs="Arial"/>
        </w:rPr>
      </w:pPr>
    </w:p>
    <w:sectPr w:rsidR="00877E1D" w:rsidRPr="00F13240" w:rsidSect="007C7494">
      <w:type w:val="continuous"/>
      <w:pgSz w:w="11906" w:h="16838"/>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48AFB" w14:textId="77777777" w:rsidR="008F4915" w:rsidRDefault="008F4915" w:rsidP="0087662D">
      <w:pPr>
        <w:spacing w:after="0" w:line="240" w:lineRule="auto"/>
      </w:pPr>
      <w:r>
        <w:separator/>
      </w:r>
    </w:p>
  </w:endnote>
  <w:endnote w:type="continuationSeparator" w:id="0">
    <w:p w14:paraId="1F658F20" w14:textId="77777777" w:rsidR="008F4915" w:rsidRDefault="008F4915" w:rsidP="0087662D">
      <w:pPr>
        <w:spacing w:after="0" w:line="240" w:lineRule="auto"/>
      </w:pPr>
      <w:r>
        <w:continuationSeparator/>
      </w:r>
    </w:p>
  </w:endnote>
  <w:endnote w:type="continuationNotice" w:id="1">
    <w:p w14:paraId="5E33E2FC" w14:textId="77777777" w:rsidR="008F4915" w:rsidRDefault="008F4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5"/>
        <w:szCs w:val="25"/>
      </w:rPr>
      <w:id w:val="1482272530"/>
      <w:docPartObj>
        <w:docPartGallery w:val="Page Numbers (Bottom of Page)"/>
        <w:docPartUnique/>
      </w:docPartObj>
    </w:sdtPr>
    <w:sdtEndPr>
      <w:rPr>
        <w:noProof/>
        <w:sz w:val="24"/>
        <w:szCs w:val="22"/>
      </w:rPr>
    </w:sdtEndPr>
    <w:sdtContent>
      <w:p w14:paraId="610F42C1" w14:textId="05425331" w:rsidR="008D5964" w:rsidRPr="00EF4D31" w:rsidRDefault="008D5964" w:rsidP="00EF4D31">
        <w:pPr>
          <w:pStyle w:val="Footer"/>
          <w:tabs>
            <w:tab w:val="clear" w:pos="9026"/>
            <w:tab w:val="right" w:pos="9781"/>
          </w:tabs>
          <w:ind w:left="-907" w:right="-711"/>
          <w:rPr>
            <w:sz w:val="25"/>
            <w:szCs w:val="25"/>
          </w:rPr>
        </w:pPr>
        <w:r w:rsidRPr="000978B8">
          <w:rPr>
            <w:noProof/>
            <w:color w:val="808080" w:themeColor="background1" w:themeShade="80"/>
            <w:sz w:val="25"/>
            <w:szCs w:val="25"/>
          </w:rPr>
          <mc:AlternateContent>
            <mc:Choice Requires="wps">
              <w:drawing>
                <wp:anchor distT="0" distB="0" distL="114300" distR="114300" simplePos="0" relativeHeight="251658241" behindDoc="1" locked="0" layoutInCell="1" allowOverlap="1" wp14:anchorId="65E8C770" wp14:editId="2E37F432">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F28F03" id="Straight Connector 4"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" strokecolor="#005eb8" strokeweight="1pt">
                  <w10:wrap anchorx="page" anchory="page"/>
                </v:line>
              </w:pict>
            </mc:Fallback>
          </mc:AlternateContent>
        </w:r>
        <w:r w:rsidRPr="000978B8">
          <w:rPr>
            <w:color w:val="808080" w:themeColor="background1" w:themeShade="80"/>
            <w:sz w:val="25"/>
            <w:szCs w:val="25"/>
          </w:rPr>
          <w:fldChar w:fldCharType="begin"/>
        </w:r>
        <w:r w:rsidRPr="000978B8">
          <w:rPr>
            <w:color w:val="808080" w:themeColor="background1" w:themeShade="80"/>
            <w:sz w:val="25"/>
            <w:szCs w:val="25"/>
          </w:rPr>
          <w:instrText xml:space="preserve"> page </w:instrText>
        </w:r>
        <w:r w:rsidRPr="000978B8">
          <w:rPr>
            <w:color w:val="808080" w:themeColor="background1" w:themeShade="80"/>
            <w:sz w:val="25"/>
            <w:szCs w:val="25"/>
          </w:rPr>
          <w:fldChar w:fldCharType="separate"/>
        </w:r>
        <w:r w:rsidRPr="000978B8">
          <w:rPr>
            <w:color w:val="808080" w:themeColor="background1" w:themeShade="80"/>
            <w:sz w:val="25"/>
            <w:szCs w:val="25"/>
          </w:rPr>
          <w:t>2</w:t>
        </w:r>
        <w:r w:rsidRPr="000978B8">
          <w:rPr>
            <w:color w:val="808080" w:themeColor="background1" w:themeShade="80"/>
            <w:sz w:val="25"/>
            <w:szCs w:val="25"/>
          </w:rPr>
          <w:fldChar w:fldCharType="end"/>
        </w:r>
        <w:r w:rsidRPr="00EF4D31">
          <w:rPr>
            <w:color w:val="768692"/>
            <w:sz w:val="25"/>
            <w:szCs w:val="25"/>
          </w:rPr>
          <w:t xml:space="preserve"> </w:t>
        </w:r>
        <w:r w:rsidRPr="00EF4D31">
          <w:rPr>
            <w:sz w:val="25"/>
            <w:szCs w:val="25"/>
          </w:rPr>
          <w:t xml:space="preserve"> </w:t>
        </w:r>
        <w:r w:rsidRPr="00EF4D31">
          <w:rPr>
            <w:rStyle w:val="FooterPipe"/>
            <w:sz w:val="25"/>
            <w:szCs w:val="25"/>
          </w:rPr>
          <w:t>|</w:t>
        </w:r>
        <w:r w:rsidRPr="00EF4D31">
          <w:rPr>
            <w:color w:val="768692"/>
            <w:sz w:val="25"/>
            <w:szCs w:val="25"/>
          </w:rPr>
          <w:t xml:space="preserve">  </w:t>
        </w:r>
        <w:r w:rsidRPr="000978B8">
          <w:rPr>
            <w:color w:val="808080" w:themeColor="background1" w:themeShade="80"/>
            <w:sz w:val="25"/>
            <w:szCs w:val="25"/>
          </w:rPr>
          <w:t xml:space="preserve">National shared care protocol: </w:t>
        </w:r>
        <w:r w:rsidR="000978B8" w:rsidRPr="000978B8">
          <w:rPr>
            <w:color w:val="808080" w:themeColor="background1" w:themeShade="80"/>
          </w:rPr>
          <w:t>Methotrexate for patients in adult services</w:t>
        </w:r>
      </w:p>
      <w:p w14:paraId="4994ED65" w14:textId="1269D3F0" w:rsidR="008D5964" w:rsidRDefault="00000000" w:rsidP="0063726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B611" w14:textId="77777777" w:rsidR="008F4915" w:rsidRDefault="008F4915" w:rsidP="0087662D">
      <w:pPr>
        <w:spacing w:after="0" w:line="240" w:lineRule="auto"/>
      </w:pPr>
      <w:r>
        <w:separator/>
      </w:r>
    </w:p>
  </w:footnote>
  <w:footnote w:type="continuationSeparator" w:id="0">
    <w:p w14:paraId="405DCD18" w14:textId="77777777" w:rsidR="008F4915" w:rsidRDefault="008F4915" w:rsidP="0087662D">
      <w:pPr>
        <w:spacing w:after="0" w:line="240" w:lineRule="auto"/>
      </w:pPr>
      <w:r>
        <w:continuationSeparator/>
      </w:r>
    </w:p>
  </w:footnote>
  <w:footnote w:type="continuationNotice" w:id="1">
    <w:p w14:paraId="1EC735F5" w14:textId="77777777" w:rsidR="008F4915" w:rsidRDefault="008F49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704" w:tblpY="2269"/>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8D5964" w14:paraId="1C1E5E03" w14:textId="77777777" w:rsidTr="00C3089D">
      <w:trPr>
        <w:trHeight w:val="642"/>
      </w:trPr>
      <w:tc>
        <w:tcPr>
          <w:tcW w:w="6727" w:type="dxa"/>
        </w:tcPr>
        <w:p w14:paraId="6411F7C8" w14:textId="69AB313E" w:rsidR="0071745B" w:rsidRDefault="00000000" w:rsidP="0071745B">
          <w:pPr>
            <w:pStyle w:val="Classification"/>
            <w:tabs>
              <w:tab w:val="left" w:pos="4710"/>
            </w:tabs>
            <w:spacing w:line="276" w:lineRule="auto"/>
          </w:pPr>
          <w:sdt>
            <w:sdtPr>
              <w:alias w:val="Protective Marking"/>
              <w:tag w:val="Protective Marking"/>
              <w:id w:val="-1097942897"/>
              <w:placeholder>
                <w:docPart w:val="7EF48D3E909B47A192EC1B24CF5DFF7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Content>
              <w:r w:rsidR="008D5964">
                <w:t>Classification: Official</w:t>
              </w:r>
            </w:sdtContent>
          </w:sdt>
          <w:r w:rsidR="0071745B">
            <w:tab/>
          </w:r>
        </w:p>
        <w:p w14:paraId="78BC7457" w14:textId="0ABACD24" w:rsidR="0071745B" w:rsidRDefault="0071745B" w:rsidP="0071745B">
          <w:pPr>
            <w:pStyle w:val="Classification"/>
            <w:tabs>
              <w:tab w:val="left" w:pos="4710"/>
            </w:tabs>
            <w:spacing w:line="276" w:lineRule="auto"/>
          </w:pPr>
          <w:r>
            <w:t>Publication approval reference:</w:t>
          </w:r>
          <w:r w:rsidRPr="00BB6B53">
            <w:rPr>
              <w:color w:val="808080" w:themeColor="background1" w:themeShade="80"/>
            </w:rPr>
            <w:t xml:space="preserve"> </w:t>
          </w:r>
          <w:r w:rsidRPr="00BB6B53">
            <w:rPr>
              <w:color w:val="D9D9D9" w:themeColor="background1" w:themeShade="D9"/>
            </w:rPr>
            <w:t>PAR1621</w:t>
          </w:r>
          <w:r>
            <w:rPr>
              <w:color w:val="D9D9D9" w:themeColor="background1" w:themeShade="D9"/>
            </w:rPr>
            <w:t>_xvii</w:t>
          </w:r>
        </w:p>
        <w:p w14:paraId="1C379A12" w14:textId="0E35D07F" w:rsidR="0071745B" w:rsidRDefault="0071745B" w:rsidP="0071745B">
          <w:pPr>
            <w:pStyle w:val="Classification"/>
            <w:tabs>
              <w:tab w:val="left" w:pos="4710"/>
            </w:tabs>
            <w:spacing w:line="276" w:lineRule="auto"/>
          </w:pPr>
        </w:p>
      </w:tc>
    </w:tr>
  </w:tbl>
  <w:p w14:paraId="6C9D6A08" w14:textId="5F0FD446" w:rsidR="008D5964" w:rsidRDefault="002D255E" w:rsidP="0071745B">
    <w:pPr>
      <w:pStyle w:val="Header"/>
    </w:pPr>
    <w:r>
      <w:rPr>
        <w:noProof/>
      </w:rPr>
      <w:drawing>
        <wp:anchor distT="0" distB="0" distL="114300" distR="114300" simplePos="0" relativeHeight="251658242" behindDoc="1" locked="0" layoutInCell="1" allowOverlap="1" wp14:anchorId="1DCD5302" wp14:editId="210D6D24">
          <wp:simplePos x="0" y="0"/>
          <wp:positionH relativeFrom="page">
            <wp:posOffset>5929630</wp:posOffset>
          </wp:positionH>
          <wp:positionV relativeFrom="page">
            <wp:posOffset>525780</wp:posOffset>
          </wp:positionV>
          <wp:extent cx="1098000" cy="828000"/>
          <wp:effectExtent l="0" t="0" r="6985" b="0"/>
          <wp:wrapNone/>
          <wp:docPr id="259388824" name="Picture 259388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5964">
      <w:rPr>
        <w:noProof/>
      </w:rPr>
      <w:drawing>
        <wp:anchor distT="0" distB="0" distL="114300" distR="114300" simplePos="0" relativeHeight="251658240" behindDoc="1" locked="0" layoutInCell="1" allowOverlap="1" wp14:anchorId="1B143649" wp14:editId="3313D033">
          <wp:simplePos x="0" y="0"/>
          <wp:positionH relativeFrom="column">
            <wp:posOffset>-381445</wp:posOffset>
          </wp:positionH>
          <wp:positionV relativeFrom="page">
            <wp:posOffset>583565</wp:posOffset>
          </wp:positionV>
          <wp:extent cx="1760400" cy="583200"/>
          <wp:effectExtent l="0" t="0" r="0" b="7620"/>
          <wp:wrapNone/>
          <wp:docPr id="202371157" name="Picture 20237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770" t="27182" r="3609" b="23546"/>
                  <a:stretch/>
                </pic:blipFill>
                <pic:spPr bwMode="auto">
                  <a:xfrm>
                    <a:off x="0" y="0"/>
                    <a:ext cx="1760400" cy="5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D6D"/>
    <w:multiLevelType w:val="hybridMultilevel"/>
    <w:tmpl w:val="A2308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804E64"/>
    <w:multiLevelType w:val="hybridMultilevel"/>
    <w:tmpl w:val="5120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FD133B"/>
    <w:multiLevelType w:val="hybridMultilevel"/>
    <w:tmpl w:val="FAA2B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143111"/>
    <w:multiLevelType w:val="hybridMultilevel"/>
    <w:tmpl w:val="0CEADD82"/>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5" w15:restartNumberingAfterBreak="0">
    <w:nsid w:val="16AE4ACA"/>
    <w:multiLevelType w:val="hybridMultilevel"/>
    <w:tmpl w:val="F37EF23E"/>
    <w:lvl w:ilvl="0" w:tplc="F0FC779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6" w15:restartNumberingAfterBreak="0">
    <w:nsid w:val="191452BF"/>
    <w:multiLevelType w:val="hybridMultilevel"/>
    <w:tmpl w:val="58DA04F0"/>
    <w:lvl w:ilvl="0" w:tplc="08090001">
      <w:start w:val="1"/>
      <w:numFmt w:val="bullet"/>
      <w:lvlText w:val=""/>
      <w:lvlJc w:val="left"/>
      <w:pPr>
        <w:ind w:left="360" w:hanging="360"/>
      </w:pPr>
      <w:rPr>
        <w:rFonts w:ascii="Symbol" w:hAnsi="Symbol" w:hint="default"/>
      </w:rPr>
    </w:lvl>
    <w:lvl w:ilvl="1" w:tplc="21F06148">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BC64F5"/>
    <w:multiLevelType w:val="hybridMultilevel"/>
    <w:tmpl w:val="92D80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F85885"/>
    <w:multiLevelType w:val="hybridMultilevel"/>
    <w:tmpl w:val="58FC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B4532"/>
    <w:multiLevelType w:val="hybridMultilevel"/>
    <w:tmpl w:val="34B45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235805"/>
    <w:multiLevelType w:val="hybridMultilevel"/>
    <w:tmpl w:val="6B4E0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C07334"/>
    <w:multiLevelType w:val="hybridMultilevel"/>
    <w:tmpl w:val="D7D4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514878"/>
    <w:multiLevelType w:val="hybridMultilevel"/>
    <w:tmpl w:val="BC58F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0D5A85"/>
    <w:multiLevelType w:val="hybridMultilevel"/>
    <w:tmpl w:val="1A1E6E4A"/>
    <w:lvl w:ilvl="0" w:tplc="79F0859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0A1277"/>
    <w:multiLevelType w:val="hybridMultilevel"/>
    <w:tmpl w:val="27E29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F83AF2"/>
    <w:multiLevelType w:val="hybridMultilevel"/>
    <w:tmpl w:val="509E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8E42DA"/>
    <w:multiLevelType w:val="hybridMultilevel"/>
    <w:tmpl w:val="9BA0E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A63D40"/>
    <w:multiLevelType w:val="hybridMultilevel"/>
    <w:tmpl w:val="EA4AB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A44F27"/>
    <w:multiLevelType w:val="hybridMultilevel"/>
    <w:tmpl w:val="9DBA9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330C29"/>
    <w:multiLevelType w:val="hybridMultilevel"/>
    <w:tmpl w:val="6416F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CC0027"/>
    <w:multiLevelType w:val="hybridMultilevel"/>
    <w:tmpl w:val="0264F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485707"/>
    <w:multiLevelType w:val="hybridMultilevel"/>
    <w:tmpl w:val="C7103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1824B7"/>
    <w:multiLevelType w:val="hybridMultilevel"/>
    <w:tmpl w:val="52F2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52620C"/>
    <w:multiLevelType w:val="hybridMultilevel"/>
    <w:tmpl w:val="55D8B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171BDA"/>
    <w:multiLevelType w:val="hybridMultilevel"/>
    <w:tmpl w:val="5CB86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4F0E8B"/>
    <w:multiLevelType w:val="hybridMultilevel"/>
    <w:tmpl w:val="407668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968C5"/>
    <w:multiLevelType w:val="hybridMultilevel"/>
    <w:tmpl w:val="361AD8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FB6854"/>
    <w:multiLevelType w:val="multilevel"/>
    <w:tmpl w:val="2532360A"/>
    <w:lvl w:ilvl="0">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875641"/>
    <w:multiLevelType w:val="hybridMultilevel"/>
    <w:tmpl w:val="6F98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012AC1"/>
    <w:multiLevelType w:val="hybridMultilevel"/>
    <w:tmpl w:val="D8D04E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B02142"/>
    <w:multiLevelType w:val="hybridMultilevel"/>
    <w:tmpl w:val="716CA64A"/>
    <w:lvl w:ilvl="0" w:tplc="D4C4EB52">
      <w:start w:val="1"/>
      <w:numFmt w:val="decimal"/>
      <w:pStyle w:val="Heading1"/>
      <w:lvlText w:val="%1."/>
      <w:lvlJc w:val="left"/>
      <w:pPr>
        <w:ind w:left="720" w:hanging="360"/>
      </w:pPr>
      <w:rPr>
        <w:b/>
        <w:bCs/>
        <w:i w:val="0"/>
        <w:iCs w:val="0"/>
        <w:caps w:val="0"/>
        <w:smallCaps w:val="0"/>
        <w:strike w:val="0"/>
        <w:dstrike w:val="0"/>
        <w:outline w:val="0"/>
        <w:shadow w:val="0"/>
        <w:emboss w:val="0"/>
        <w:imprint w:val="0"/>
        <w:noProof w:val="0"/>
        <w:vanish w:val="0"/>
        <w:color w:val="1F497D" w:themeColor="text2"/>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4323F5"/>
    <w:multiLevelType w:val="hybridMultilevel"/>
    <w:tmpl w:val="D980B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D437DA"/>
    <w:multiLevelType w:val="hybridMultilevel"/>
    <w:tmpl w:val="AE1E2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7" w15:restartNumberingAfterBreak="0">
    <w:nsid w:val="75645AB5"/>
    <w:multiLevelType w:val="hybridMultilevel"/>
    <w:tmpl w:val="3B9AE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B35601"/>
    <w:multiLevelType w:val="hybridMultilevel"/>
    <w:tmpl w:val="6F72D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9FD20A3"/>
    <w:multiLevelType w:val="hybridMultilevel"/>
    <w:tmpl w:val="DBD067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4B671E"/>
    <w:multiLevelType w:val="hybridMultilevel"/>
    <w:tmpl w:val="E5E88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AF73B9C"/>
    <w:multiLevelType w:val="hybridMultilevel"/>
    <w:tmpl w:val="41E45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5B4FEE"/>
    <w:multiLevelType w:val="hybridMultilevel"/>
    <w:tmpl w:val="22EC0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1824720">
    <w:abstractNumId w:val="30"/>
  </w:num>
  <w:num w:numId="2" w16cid:durableId="1399598679">
    <w:abstractNumId w:val="18"/>
  </w:num>
  <w:num w:numId="3" w16cid:durableId="1923678423">
    <w:abstractNumId w:val="20"/>
  </w:num>
  <w:num w:numId="4" w16cid:durableId="2117023130">
    <w:abstractNumId w:val="29"/>
  </w:num>
  <w:num w:numId="5" w16cid:durableId="836119489">
    <w:abstractNumId w:val="10"/>
  </w:num>
  <w:num w:numId="6" w16cid:durableId="1836725308">
    <w:abstractNumId w:val="12"/>
  </w:num>
  <w:num w:numId="7" w16cid:durableId="1605727161">
    <w:abstractNumId w:val="7"/>
  </w:num>
  <w:num w:numId="8" w16cid:durableId="1464998644">
    <w:abstractNumId w:val="15"/>
  </w:num>
  <w:num w:numId="9" w16cid:durableId="1429353455">
    <w:abstractNumId w:val="33"/>
  </w:num>
  <w:num w:numId="10" w16cid:durableId="75171007">
    <w:abstractNumId w:val="34"/>
  </w:num>
  <w:num w:numId="11" w16cid:durableId="600795685">
    <w:abstractNumId w:val="28"/>
  </w:num>
  <w:num w:numId="12" w16cid:durableId="1982415228">
    <w:abstractNumId w:val="38"/>
  </w:num>
  <w:num w:numId="13" w16cid:durableId="1785884397">
    <w:abstractNumId w:val="9"/>
  </w:num>
  <w:num w:numId="14" w16cid:durableId="1591498277">
    <w:abstractNumId w:val="16"/>
  </w:num>
  <w:num w:numId="15" w16cid:durableId="1085035764">
    <w:abstractNumId w:val="3"/>
  </w:num>
  <w:num w:numId="16" w16cid:durableId="802846385">
    <w:abstractNumId w:val="14"/>
  </w:num>
  <w:num w:numId="17" w16cid:durableId="493184772">
    <w:abstractNumId w:val="0"/>
  </w:num>
  <w:num w:numId="18" w16cid:durableId="208078080">
    <w:abstractNumId w:val="27"/>
  </w:num>
  <w:num w:numId="19" w16cid:durableId="1442412782">
    <w:abstractNumId w:val="8"/>
  </w:num>
  <w:num w:numId="20" w16cid:durableId="739136498">
    <w:abstractNumId w:val="35"/>
  </w:num>
  <w:num w:numId="21" w16cid:durableId="1538007505">
    <w:abstractNumId w:val="13"/>
  </w:num>
  <w:num w:numId="22" w16cid:durableId="1171530661">
    <w:abstractNumId w:val="2"/>
  </w:num>
  <w:num w:numId="23" w16cid:durableId="1337459841">
    <w:abstractNumId w:val="31"/>
  </w:num>
  <w:num w:numId="24" w16cid:durableId="130559752">
    <w:abstractNumId w:val="1"/>
  </w:num>
  <w:num w:numId="25" w16cid:durableId="432819654">
    <w:abstractNumId w:val="37"/>
  </w:num>
  <w:num w:numId="26" w16cid:durableId="1473643083">
    <w:abstractNumId w:val="25"/>
  </w:num>
  <w:num w:numId="27" w16cid:durableId="1449396762">
    <w:abstractNumId w:val="6"/>
  </w:num>
  <w:num w:numId="28" w16cid:durableId="798375344">
    <w:abstractNumId w:val="42"/>
  </w:num>
  <w:num w:numId="29" w16cid:durableId="127550858">
    <w:abstractNumId w:val="22"/>
  </w:num>
  <w:num w:numId="30" w16cid:durableId="1820490002">
    <w:abstractNumId w:val="41"/>
  </w:num>
  <w:num w:numId="31" w16cid:durableId="1677656389">
    <w:abstractNumId w:val="40"/>
  </w:num>
  <w:num w:numId="32" w16cid:durableId="7173210">
    <w:abstractNumId w:val="26"/>
  </w:num>
  <w:num w:numId="33" w16cid:durableId="287317779">
    <w:abstractNumId w:val="23"/>
  </w:num>
  <w:num w:numId="34" w16cid:durableId="511116461">
    <w:abstractNumId w:val="19"/>
  </w:num>
  <w:num w:numId="35" w16cid:durableId="1178038363">
    <w:abstractNumId w:val="39"/>
  </w:num>
  <w:num w:numId="36" w16cid:durableId="827359083">
    <w:abstractNumId w:val="11"/>
  </w:num>
  <w:num w:numId="37" w16cid:durableId="1481769142">
    <w:abstractNumId w:val="21"/>
  </w:num>
  <w:num w:numId="38" w16cid:durableId="479620191">
    <w:abstractNumId w:val="17"/>
  </w:num>
  <w:num w:numId="39" w16cid:durableId="2026788327">
    <w:abstractNumId w:val="5"/>
  </w:num>
  <w:num w:numId="40" w16cid:durableId="2131433218">
    <w:abstractNumId w:val="36"/>
  </w:num>
  <w:num w:numId="41" w16cid:durableId="643582861">
    <w:abstractNumId w:val="4"/>
  </w:num>
  <w:num w:numId="42" w16cid:durableId="1450657897">
    <w:abstractNumId w:val="32"/>
  </w:num>
  <w:num w:numId="43" w16cid:durableId="891044203">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CWSpiS5pUo78XL2jO9TJ6MkmBqoPkmg3pgYswHYMFRWJWZSmEResUulB4CEairoMECtSLi030agwK8BzoY+ciQ==" w:salt="6JDHtZyjyh70AEG7gUW9+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0444"/>
    <w:rsid w:val="00002F61"/>
    <w:rsid w:val="00002FDA"/>
    <w:rsid w:val="00003484"/>
    <w:rsid w:val="00005713"/>
    <w:rsid w:val="0000752C"/>
    <w:rsid w:val="00011ECC"/>
    <w:rsid w:val="00026F7B"/>
    <w:rsid w:val="00027BF3"/>
    <w:rsid w:val="00031040"/>
    <w:rsid w:val="00032538"/>
    <w:rsid w:val="0003731C"/>
    <w:rsid w:val="00042AE7"/>
    <w:rsid w:val="000469BF"/>
    <w:rsid w:val="00046C47"/>
    <w:rsid w:val="0005473B"/>
    <w:rsid w:val="00055685"/>
    <w:rsid w:val="000625E5"/>
    <w:rsid w:val="00063544"/>
    <w:rsid w:val="000652A2"/>
    <w:rsid w:val="00065565"/>
    <w:rsid w:val="00065775"/>
    <w:rsid w:val="00065B98"/>
    <w:rsid w:val="00067C8D"/>
    <w:rsid w:val="00070CFF"/>
    <w:rsid w:val="00080C62"/>
    <w:rsid w:val="00084DC3"/>
    <w:rsid w:val="00091F97"/>
    <w:rsid w:val="00092621"/>
    <w:rsid w:val="0009626A"/>
    <w:rsid w:val="00096431"/>
    <w:rsid w:val="000978B8"/>
    <w:rsid w:val="000979BA"/>
    <w:rsid w:val="000A1C3F"/>
    <w:rsid w:val="000A34EE"/>
    <w:rsid w:val="000A6D12"/>
    <w:rsid w:val="000B0A3D"/>
    <w:rsid w:val="000B5C73"/>
    <w:rsid w:val="000B7E25"/>
    <w:rsid w:val="000C2204"/>
    <w:rsid w:val="000C44F0"/>
    <w:rsid w:val="000C542C"/>
    <w:rsid w:val="000C7037"/>
    <w:rsid w:val="000D1E44"/>
    <w:rsid w:val="000D5F9E"/>
    <w:rsid w:val="000E1BF6"/>
    <w:rsid w:val="000E5CFD"/>
    <w:rsid w:val="000E63B8"/>
    <w:rsid w:val="000E743E"/>
    <w:rsid w:val="000E7BF8"/>
    <w:rsid w:val="000F6CED"/>
    <w:rsid w:val="00101ECA"/>
    <w:rsid w:val="001031D5"/>
    <w:rsid w:val="001039DF"/>
    <w:rsid w:val="00104888"/>
    <w:rsid w:val="001106F6"/>
    <w:rsid w:val="001130B8"/>
    <w:rsid w:val="001213C9"/>
    <w:rsid w:val="00127457"/>
    <w:rsid w:val="00127FD8"/>
    <w:rsid w:val="00132FF4"/>
    <w:rsid w:val="0013436F"/>
    <w:rsid w:val="0014209C"/>
    <w:rsid w:val="0014434C"/>
    <w:rsid w:val="00145418"/>
    <w:rsid w:val="001468BD"/>
    <w:rsid w:val="00150BBB"/>
    <w:rsid w:val="001518FB"/>
    <w:rsid w:val="0015685E"/>
    <w:rsid w:val="001636D7"/>
    <w:rsid w:val="00163D1F"/>
    <w:rsid w:val="00166280"/>
    <w:rsid w:val="00173C0C"/>
    <w:rsid w:val="00175D6D"/>
    <w:rsid w:val="00181489"/>
    <w:rsid w:val="00181953"/>
    <w:rsid w:val="00182AA9"/>
    <w:rsid w:val="00186EA2"/>
    <w:rsid w:val="00191F99"/>
    <w:rsid w:val="00193C19"/>
    <w:rsid w:val="00195599"/>
    <w:rsid w:val="001972DA"/>
    <w:rsid w:val="001A1DB6"/>
    <w:rsid w:val="001A3A33"/>
    <w:rsid w:val="001A7E0B"/>
    <w:rsid w:val="001B096D"/>
    <w:rsid w:val="001B7860"/>
    <w:rsid w:val="001C2FA2"/>
    <w:rsid w:val="001C3E4B"/>
    <w:rsid w:val="001C409F"/>
    <w:rsid w:val="001C57F1"/>
    <w:rsid w:val="001D07E8"/>
    <w:rsid w:val="001D124F"/>
    <w:rsid w:val="001D20B3"/>
    <w:rsid w:val="001D2756"/>
    <w:rsid w:val="001E0A5E"/>
    <w:rsid w:val="001E3E2A"/>
    <w:rsid w:val="001E7AAA"/>
    <w:rsid w:val="001F04D1"/>
    <w:rsid w:val="001F2FFE"/>
    <w:rsid w:val="001F3C1D"/>
    <w:rsid w:val="001F4ECE"/>
    <w:rsid w:val="001F6FD3"/>
    <w:rsid w:val="00200DB3"/>
    <w:rsid w:val="00205AE1"/>
    <w:rsid w:val="002102CD"/>
    <w:rsid w:val="002109B2"/>
    <w:rsid w:val="002138F3"/>
    <w:rsid w:val="002170E9"/>
    <w:rsid w:val="002170F9"/>
    <w:rsid w:val="00221A17"/>
    <w:rsid w:val="0022471E"/>
    <w:rsid w:val="00224B60"/>
    <w:rsid w:val="00226760"/>
    <w:rsid w:val="00230445"/>
    <w:rsid w:val="00230F2C"/>
    <w:rsid w:val="00232C40"/>
    <w:rsid w:val="00234C3F"/>
    <w:rsid w:val="00236640"/>
    <w:rsid w:val="00237CAB"/>
    <w:rsid w:val="00240ECC"/>
    <w:rsid w:val="00243CF1"/>
    <w:rsid w:val="0024571E"/>
    <w:rsid w:val="00246CC5"/>
    <w:rsid w:val="00251811"/>
    <w:rsid w:val="00252052"/>
    <w:rsid w:val="00254A99"/>
    <w:rsid w:val="00256B5B"/>
    <w:rsid w:val="00256BBF"/>
    <w:rsid w:val="00271DA1"/>
    <w:rsid w:val="00271F18"/>
    <w:rsid w:val="00281F31"/>
    <w:rsid w:val="0028289C"/>
    <w:rsid w:val="002829B6"/>
    <w:rsid w:val="0028743E"/>
    <w:rsid w:val="0029228C"/>
    <w:rsid w:val="00295135"/>
    <w:rsid w:val="002A1D88"/>
    <w:rsid w:val="002A4121"/>
    <w:rsid w:val="002A451D"/>
    <w:rsid w:val="002A4A0C"/>
    <w:rsid w:val="002A652F"/>
    <w:rsid w:val="002B3965"/>
    <w:rsid w:val="002B6C74"/>
    <w:rsid w:val="002C1080"/>
    <w:rsid w:val="002C1756"/>
    <w:rsid w:val="002C1FC3"/>
    <w:rsid w:val="002C36BE"/>
    <w:rsid w:val="002C69B2"/>
    <w:rsid w:val="002D0399"/>
    <w:rsid w:val="002D255E"/>
    <w:rsid w:val="002D32AD"/>
    <w:rsid w:val="002D5EC6"/>
    <w:rsid w:val="002D6DA8"/>
    <w:rsid w:val="002E0340"/>
    <w:rsid w:val="002E64F1"/>
    <w:rsid w:val="002E7455"/>
    <w:rsid w:val="002F7FD6"/>
    <w:rsid w:val="00300AFE"/>
    <w:rsid w:val="00303318"/>
    <w:rsid w:val="00305A0C"/>
    <w:rsid w:val="00316A2C"/>
    <w:rsid w:val="0031762F"/>
    <w:rsid w:val="00320028"/>
    <w:rsid w:val="00321536"/>
    <w:rsid w:val="0032558C"/>
    <w:rsid w:val="00327EC5"/>
    <w:rsid w:val="00334710"/>
    <w:rsid w:val="00334B2C"/>
    <w:rsid w:val="00335640"/>
    <w:rsid w:val="00335935"/>
    <w:rsid w:val="00337F56"/>
    <w:rsid w:val="003422DE"/>
    <w:rsid w:val="0034687F"/>
    <w:rsid w:val="00347990"/>
    <w:rsid w:val="003512FF"/>
    <w:rsid w:val="003569AC"/>
    <w:rsid w:val="0035702F"/>
    <w:rsid w:val="00362B20"/>
    <w:rsid w:val="00364CD9"/>
    <w:rsid w:val="00367607"/>
    <w:rsid w:val="00370966"/>
    <w:rsid w:val="003736AF"/>
    <w:rsid w:val="003767F5"/>
    <w:rsid w:val="003832B6"/>
    <w:rsid w:val="00393796"/>
    <w:rsid w:val="00395BCB"/>
    <w:rsid w:val="00397375"/>
    <w:rsid w:val="00397EA3"/>
    <w:rsid w:val="003A0310"/>
    <w:rsid w:val="003B03B0"/>
    <w:rsid w:val="003B5326"/>
    <w:rsid w:val="003C1546"/>
    <w:rsid w:val="003C291F"/>
    <w:rsid w:val="003D0261"/>
    <w:rsid w:val="003D163E"/>
    <w:rsid w:val="003D3182"/>
    <w:rsid w:val="003D4B49"/>
    <w:rsid w:val="003E25EA"/>
    <w:rsid w:val="003E4014"/>
    <w:rsid w:val="003E6BAD"/>
    <w:rsid w:val="003E71D4"/>
    <w:rsid w:val="003E7515"/>
    <w:rsid w:val="003E7F57"/>
    <w:rsid w:val="003F0CF0"/>
    <w:rsid w:val="003F3997"/>
    <w:rsid w:val="003F53C9"/>
    <w:rsid w:val="00411634"/>
    <w:rsid w:val="00412A51"/>
    <w:rsid w:val="004206F9"/>
    <w:rsid w:val="004243EF"/>
    <w:rsid w:val="00425C08"/>
    <w:rsid w:val="00426DE1"/>
    <w:rsid w:val="004301BF"/>
    <w:rsid w:val="00431CDC"/>
    <w:rsid w:val="00441F07"/>
    <w:rsid w:val="004470C5"/>
    <w:rsid w:val="004475E1"/>
    <w:rsid w:val="00447C55"/>
    <w:rsid w:val="00450FE2"/>
    <w:rsid w:val="004515D1"/>
    <w:rsid w:val="00454EBC"/>
    <w:rsid w:val="00461A5D"/>
    <w:rsid w:val="00470083"/>
    <w:rsid w:val="00471EBC"/>
    <w:rsid w:val="00472FE3"/>
    <w:rsid w:val="0047377F"/>
    <w:rsid w:val="00474D84"/>
    <w:rsid w:val="004753EF"/>
    <w:rsid w:val="004804AA"/>
    <w:rsid w:val="00480571"/>
    <w:rsid w:val="00481A5F"/>
    <w:rsid w:val="00481CE2"/>
    <w:rsid w:val="00483CD1"/>
    <w:rsid w:val="00486541"/>
    <w:rsid w:val="00487028"/>
    <w:rsid w:val="0048728C"/>
    <w:rsid w:val="00487BEB"/>
    <w:rsid w:val="00492CD8"/>
    <w:rsid w:val="004A0BF6"/>
    <w:rsid w:val="004A0F06"/>
    <w:rsid w:val="004A20B0"/>
    <w:rsid w:val="004A32C9"/>
    <w:rsid w:val="004A6143"/>
    <w:rsid w:val="004A7EB4"/>
    <w:rsid w:val="004B1A68"/>
    <w:rsid w:val="004B3351"/>
    <w:rsid w:val="004B3FF2"/>
    <w:rsid w:val="004B4FE2"/>
    <w:rsid w:val="004B59C6"/>
    <w:rsid w:val="004C0E0B"/>
    <w:rsid w:val="004C3859"/>
    <w:rsid w:val="004D084B"/>
    <w:rsid w:val="004E36B9"/>
    <w:rsid w:val="004F00A8"/>
    <w:rsid w:val="004F0714"/>
    <w:rsid w:val="004F3450"/>
    <w:rsid w:val="00502745"/>
    <w:rsid w:val="00505A68"/>
    <w:rsid w:val="0051050E"/>
    <w:rsid w:val="00511346"/>
    <w:rsid w:val="005137F4"/>
    <w:rsid w:val="00513A66"/>
    <w:rsid w:val="0051494A"/>
    <w:rsid w:val="00514D5F"/>
    <w:rsid w:val="00516AFA"/>
    <w:rsid w:val="00516C57"/>
    <w:rsid w:val="00517F9D"/>
    <w:rsid w:val="00527AE1"/>
    <w:rsid w:val="0053224C"/>
    <w:rsid w:val="005354DC"/>
    <w:rsid w:val="00536A18"/>
    <w:rsid w:val="0054125F"/>
    <w:rsid w:val="00543DA8"/>
    <w:rsid w:val="00544899"/>
    <w:rsid w:val="0054704C"/>
    <w:rsid w:val="00551E14"/>
    <w:rsid w:val="00553C58"/>
    <w:rsid w:val="00553DF7"/>
    <w:rsid w:val="0056444A"/>
    <w:rsid w:val="00567D84"/>
    <w:rsid w:val="0057584D"/>
    <w:rsid w:val="00582F77"/>
    <w:rsid w:val="0059083D"/>
    <w:rsid w:val="00595041"/>
    <w:rsid w:val="00595B0A"/>
    <w:rsid w:val="005A01FF"/>
    <w:rsid w:val="005A175B"/>
    <w:rsid w:val="005A5C7B"/>
    <w:rsid w:val="005B431B"/>
    <w:rsid w:val="005C02FE"/>
    <w:rsid w:val="005C0784"/>
    <w:rsid w:val="005C1E75"/>
    <w:rsid w:val="005C2437"/>
    <w:rsid w:val="005C3015"/>
    <w:rsid w:val="005C48AE"/>
    <w:rsid w:val="005C5FF4"/>
    <w:rsid w:val="005C61AE"/>
    <w:rsid w:val="005C78E5"/>
    <w:rsid w:val="005D08B4"/>
    <w:rsid w:val="005D2143"/>
    <w:rsid w:val="005D35BE"/>
    <w:rsid w:val="005D7956"/>
    <w:rsid w:val="005E281F"/>
    <w:rsid w:val="005E53B9"/>
    <w:rsid w:val="005E541C"/>
    <w:rsid w:val="005E6488"/>
    <w:rsid w:val="005F463D"/>
    <w:rsid w:val="005F6358"/>
    <w:rsid w:val="00602218"/>
    <w:rsid w:val="006025E4"/>
    <w:rsid w:val="00602E7E"/>
    <w:rsid w:val="00606660"/>
    <w:rsid w:val="00607027"/>
    <w:rsid w:val="00612B55"/>
    <w:rsid w:val="00620379"/>
    <w:rsid w:val="006214C8"/>
    <w:rsid w:val="006225C4"/>
    <w:rsid w:val="006242BB"/>
    <w:rsid w:val="006249F0"/>
    <w:rsid w:val="00624EE6"/>
    <w:rsid w:val="00625258"/>
    <w:rsid w:val="00626B5F"/>
    <w:rsid w:val="006270F1"/>
    <w:rsid w:val="0063036F"/>
    <w:rsid w:val="006309F9"/>
    <w:rsid w:val="00632FAA"/>
    <w:rsid w:val="00637261"/>
    <w:rsid w:val="0064050C"/>
    <w:rsid w:val="006408B1"/>
    <w:rsid w:val="006505B0"/>
    <w:rsid w:val="006513D3"/>
    <w:rsid w:val="00651BD9"/>
    <w:rsid w:val="006521B8"/>
    <w:rsid w:val="00657F95"/>
    <w:rsid w:val="006602F0"/>
    <w:rsid w:val="00663B33"/>
    <w:rsid w:val="00666714"/>
    <w:rsid w:val="00672B9B"/>
    <w:rsid w:val="00673B7A"/>
    <w:rsid w:val="0068176B"/>
    <w:rsid w:val="00684EB3"/>
    <w:rsid w:val="006A1C3F"/>
    <w:rsid w:val="006A2910"/>
    <w:rsid w:val="006A35B2"/>
    <w:rsid w:val="006A4DC2"/>
    <w:rsid w:val="006A77D6"/>
    <w:rsid w:val="006A7E6C"/>
    <w:rsid w:val="006A7F2C"/>
    <w:rsid w:val="006B1367"/>
    <w:rsid w:val="006B4B99"/>
    <w:rsid w:val="006B6C80"/>
    <w:rsid w:val="006C44AF"/>
    <w:rsid w:val="006C782B"/>
    <w:rsid w:val="006D058E"/>
    <w:rsid w:val="006D3A01"/>
    <w:rsid w:val="006D4AFF"/>
    <w:rsid w:val="006D4B1B"/>
    <w:rsid w:val="006D4DCC"/>
    <w:rsid w:val="006D559B"/>
    <w:rsid w:val="006D77DA"/>
    <w:rsid w:val="006E2338"/>
    <w:rsid w:val="006E2D55"/>
    <w:rsid w:val="006E3C33"/>
    <w:rsid w:val="006E40C7"/>
    <w:rsid w:val="006E68A7"/>
    <w:rsid w:val="006F289F"/>
    <w:rsid w:val="006F28E4"/>
    <w:rsid w:val="006F3BBA"/>
    <w:rsid w:val="0070429F"/>
    <w:rsid w:val="007062A7"/>
    <w:rsid w:val="00706BA7"/>
    <w:rsid w:val="00707E5D"/>
    <w:rsid w:val="00712B97"/>
    <w:rsid w:val="007148DE"/>
    <w:rsid w:val="00715012"/>
    <w:rsid w:val="00715E23"/>
    <w:rsid w:val="00716548"/>
    <w:rsid w:val="0071745B"/>
    <w:rsid w:val="00723BC1"/>
    <w:rsid w:val="00727C2E"/>
    <w:rsid w:val="0073175A"/>
    <w:rsid w:val="00733C34"/>
    <w:rsid w:val="0073587B"/>
    <w:rsid w:val="007359F4"/>
    <w:rsid w:val="00736F3B"/>
    <w:rsid w:val="00737CFE"/>
    <w:rsid w:val="00742F60"/>
    <w:rsid w:val="007450A7"/>
    <w:rsid w:val="00747618"/>
    <w:rsid w:val="007555AA"/>
    <w:rsid w:val="00757E5D"/>
    <w:rsid w:val="00757F9E"/>
    <w:rsid w:val="00761CC5"/>
    <w:rsid w:val="007623B6"/>
    <w:rsid w:val="007634F4"/>
    <w:rsid w:val="0076450B"/>
    <w:rsid w:val="00765204"/>
    <w:rsid w:val="00771869"/>
    <w:rsid w:val="00774F7C"/>
    <w:rsid w:val="007835D2"/>
    <w:rsid w:val="00790845"/>
    <w:rsid w:val="00794292"/>
    <w:rsid w:val="00797F3F"/>
    <w:rsid w:val="007A2AF0"/>
    <w:rsid w:val="007A3CC6"/>
    <w:rsid w:val="007A4A79"/>
    <w:rsid w:val="007B54C4"/>
    <w:rsid w:val="007B6D20"/>
    <w:rsid w:val="007B739A"/>
    <w:rsid w:val="007B74CC"/>
    <w:rsid w:val="007B76B0"/>
    <w:rsid w:val="007C2F00"/>
    <w:rsid w:val="007C6B10"/>
    <w:rsid w:val="007C6E86"/>
    <w:rsid w:val="007C7198"/>
    <w:rsid w:val="007C7494"/>
    <w:rsid w:val="007D4E5A"/>
    <w:rsid w:val="007D4F4F"/>
    <w:rsid w:val="007E228E"/>
    <w:rsid w:val="007E36FE"/>
    <w:rsid w:val="007E4BD7"/>
    <w:rsid w:val="007E547C"/>
    <w:rsid w:val="007F3977"/>
    <w:rsid w:val="007F3F28"/>
    <w:rsid w:val="008009CB"/>
    <w:rsid w:val="00802960"/>
    <w:rsid w:val="00802BC6"/>
    <w:rsid w:val="00805F12"/>
    <w:rsid w:val="00806AB9"/>
    <w:rsid w:val="008160FB"/>
    <w:rsid w:val="008210A6"/>
    <w:rsid w:val="00822096"/>
    <w:rsid w:val="008359A8"/>
    <w:rsid w:val="00841BE2"/>
    <w:rsid w:val="008426BA"/>
    <w:rsid w:val="008466C6"/>
    <w:rsid w:val="00846A4A"/>
    <w:rsid w:val="00856710"/>
    <w:rsid w:val="00857C50"/>
    <w:rsid w:val="00862DC4"/>
    <w:rsid w:val="00866650"/>
    <w:rsid w:val="00867FD9"/>
    <w:rsid w:val="00871AF9"/>
    <w:rsid w:val="00872D8A"/>
    <w:rsid w:val="0087662D"/>
    <w:rsid w:val="00877B39"/>
    <w:rsid w:val="00877E1D"/>
    <w:rsid w:val="0088117C"/>
    <w:rsid w:val="008818E7"/>
    <w:rsid w:val="0088256F"/>
    <w:rsid w:val="008844B1"/>
    <w:rsid w:val="0088715B"/>
    <w:rsid w:val="00891224"/>
    <w:rsid w:val="00892928"/>
    <w:rsid w:val="008A206B"/>
    <w:rsid w:val="008A2569"/>
    <w:rsid w:val="008A3E0F"/>
    <w:rsid w:val="008A6852"/>
    <w:rsid w:val="008A6DE5"/>
    <w:rsid w:val="008B44C1"/>
    <w:rsid w:val="008B4B43"/>
    <w:rsid w:val="008B6013"/>
    <w:rsid w:val="008B646E"/>
    <w:rsid w:val="008D3057"/>
    <w:rsid w:val="008D5964"/>
    <w:rsid w:val="008D5F8F"/>
    <w:rsid w:val="008D6AED"/>
    <w:rsid w:val="008E584D"/>
    <w:rsid w:val="008E62E9"/>
    <w:rsid w:val="008F32F3"/>
    <w:rsid w:val="008F47B1"/>
    <w:rsid w:val="008F4915"/>
    <w:rsid w:val="009038BB"/>
    <w:rsid w:val="00905F9C"/>
    <w:rsid w:val="009067F0"/>
    <w:rsid w:val="00907EB0"/>
    <w:rsid w:val="00912A1D"/>
    <w:rsid w:val="009142FC"/>
    <w:rsid w:val="00916006"/>
    <w:rsid w:val="00922068"/>
    <w:rsid w:val="00930FAA"/>
    <w:rsid w:val="0093397B"/>
    <w:rsid w:val="00933A4C"/>
    <w:rsid w:val="00940AA2"/>
    <w:rsid w:val="00943E35"/>
    <w:rsid w:val="00944BA0"/>
    <w:rsid w:val="00946248"/>
    <w:rsid w:val="00946478"/>
    <w:rsid w:val="009504A1"/>
    <w:rsid w:val="009509FD"/>
    <w:rsid w:val="009533A6"/>
    <w:rsid w:val="00956C8E"/>
    <w:rsid w:val="009610F0"/>
    <w:rsid w:val="00964CEB"/>
    <w:rsid w:val="00965B22"/>
    <w:rsid w:val="009704AA"/>
    <w:rsid w:val="0097517B"/>
    <w:rsid w:val="00977103"/>
    <w:rsid w:val="00977F05"/>
    <w:rsid w:val="00982031"/>
    <w:rsid w:val="00983EF3"/>
    <w:rsid w:val="00985C56"/>
    <w:rsid w:val="00986D3D"/>
    <w:rsid w:val="00992C6B"/>
    <w:rsid w:val="00995EAE"/>
    <w:rsid w:val="00997030"/>
    <w:rsid w:val="009A16D5"/>
    <w:rsid w:val="009A2F28"/>
    <w:rsid w:val="009A5568"/>
    <w:rsid w:val="009A5F87"/>
    <w:rsid w:val="009B36E7"/>
    <w:rsid w:val="009B44E1"/>
    <w:rsid w:val="009C1B55"/>
    <w:rsid w:val="009C4C14"/>
    <w:rsid w:val="009C57DE"/>
    <w:rsid w:val="009D1C3D"/>
    <w:rsid w:val="009D46E0"/>
    <w:rsid w:val="009D47A8"/>
    <w:rsid w:val="009E24CA"/>
    <w:rsid w:val="009E32B5"/>
    <w:rsid w:val="009E3461"/>
    <w:rsid w:val="009E3803"/>
    <w:rsid w:val="009E3840"/>
    <w:rsid w:val="009F3E18"/>
    <w:rsid w:val="00A00BD0"/>
    <w:rsid w:val="00A0218C"/>
    <w:rsid w:val="00A0302F"/>
    <w:rsid w:val="00A063A1"/>
    <w:rsid w:val="00A12522"/>
    <w:rsid w:val="00A125D3"/>
    <w:rsid w:val="00A16193"/>
    <w:rsid w:val="00A20A57"/>
    <w:rsid w:val="00A211B8"/>
    <w:rsid w:val="00A22608"/>
    <w:rsid w:val="00A22643"/>
    <w:rsid w:val="00A257B8"/>
    <w:rsid w:val="00A32B8B"/>
    <w:rsid w:val="00A33B0A"/>
    <w:rsid w:val="00A346D8"/>
    <w:rsid w:val="00A371DB"/>
    <w:rsid w:val="00A4762E"/>
    <w:rsid w:val="00A525CA"/>
    <w:rsid w:val="00A54EC2"/>
    <w:rsid w:val="00A557C0"/>
    <w:rsid w:val="00A624F4"/>
    <w:rsid w:val="00A63ACD"/>
    <w:rsid w:val="00A6476C"/>
    <w:rsid w:val="00A64BF1"/>
    <w:rsid w:val="00A712E9"/>
    <w:rsid w:val="00A73796"/>
    <w:rsid w:val="00A75F99"/>
    <w:rsid w:val="00A807BD"/>
    <w:rsid w:val="00A81545"/>
    <w:rsid w:val="00A836C4"/>
    <w:rsid w:val="00A837C8"/>
    <w:rsid w:val="00A84C2C"/>
    <w:rsid w:val="00A84D2B"/>
    <w:rsid w:val="00A84E41"/>
    <w:rsid w:val="00A96801"/>
    <w:rsid w:val="00AA3E21"/>
    <w:rsid w:val="00AA41D4"/>
    <w:rsid w:val="00AA4BBC"/>
    <w:rsid w:val="00AB2869"/>
    <w:rsid w:val="00AB5BA1"/>
    <w:rsid w:val="00AC1D52"/>
    <w:rsid w:val="00AC36B9"/>
    <w:rsid w:val="00AC53CF"/>
    <w:rsid w:val="00AD44FD"/>
    <w:rsid w:val="00AE1969"/>
    <w:rsid w:val="00AE32D3"/>
    <w:rsid w:val="00AE425C"/>
    <w:rsid w:val="00AE42DB"/>
    <w:rsid w:val="00AE53FD"/>
    <w:rsid w:val="00AE6586"/>
    <w:rsid w:val="00AF2D7B"/>
    <w:rsid w:val="00AF3F50"/>
    <w:rsid w:val="00AF6D10"/>
    <w:rsid w:val="00B03457"/>
    <w:rsid w:val="00B04271"/>
    <w:rsid w:val="00B04282"/>
    <w:rsid w:val="00B047AC"/>
    <w:rsid w:val="00B04D9D"/>
    <w:rsid w:val="00B064C9"/>
    <w:rsid w:val="00B1002D"/>
    <w:rsid w:val="00B12334"/>
    <w:rsid w:val="00B14CA5"/>
    <w:rsid w:val="00B21815"/>
    <w:rsid w:val="00B234E7"/>
    <w:rsid w:val="00B27C36"/>
    <w:rsid w:val="00B30EDA"/>
    <w:rsid w:val="00B32EFF"/>
    <w:rsid w:val="00B33A9E"/>
    <w:rsid w:val="00B41B88"/>
    <w:rsid w:val="00B4379B"/>
    <w:rsid w:val="00B44A56"/>
    <w:rsid w:val="00B44E04"/>
    <w:rsid w:val="00B47638"/>
    <w:rsid w:val="00B47F83"/>
    <w:rsid w:val="00B54B34"/>
    <w:rsid w:val="00B5529F"/>
    <w:rsid w:val="00B57455"/>
    <w:rsid w:val="00B61CA4"/>
    <w:rsid w:val="00B648CF"/>
    <w:rsid w:val="00B67DAB"/>
    <w:rsid w:val="00B708F7"/>
    <w:rsid w:val="00B712E5"/>
    <w:rsid w:val="00B71EE0"/>
    <w:rsid w:val="00B82416"/>
    <w:rsid w:val="00B858F0"/>
    <w:rsid w:val="00B92DDF"/>
    <w:rsid w:val="00B964E3"/>
    <w:rsid w:val="00B97BED"/>
    <w:rsid w:val="00BA1AE8"/>
    <w:rsid w:val="00BA24D9"/>
    <w:rsid w:val="00BB0368"/>
    <w:rsid w:val="00BB49AD"/>
    <w:rsid w:val="00BB5065"/>
    <w:rsid w:val="00BB5C60"/>
    <w:rsid w:val="00BB6B53"/>
    <w:rsid w:val="00BB700A"/>
    <w:rsid w:val="00BB7C6E"/>
    <w:rsid w:val="00BC1D5A"/>
    <w:rsid w:val="00BC5C31"/>
    <w:rsid w:val="00BC5D65"/>
    <w:rsid w:val="00BC5E18"/>
    <w:rsid w:val="00BD02D8"/>
    <w:rsid w:val="00BD5B04"/>
    <w:rsid w:val="00BE1451"/>
    <w:rsid w:val="00BE15E9"/>
    <w:rsid w:val="00BE3287"/>
    <w:rsid w:val="00BE522D"/>
    <w:rsid w:val="00BF02FA"/>
    <w:rsid w:val="00BF1375"/>
    <w:rsid w:val="00BF1DF5"/>
    <w:rsid w:val="00BF3881"/>
    <w:rsid w:val="00BF50E1"/>
    <w:rsid w:val="00BF7874"/>
    <w:rsid w:val="00C00D54"/>
    <w:rsid w:val="00C01923"/>
    <w:rsid w:val="00C12F02"/>
    <w:rsid w:val="00C13AA2"/>
    <w:rsid w:val="00C238DB"/>
    <w:rsid w:val="00C23955"/>
    <w:rsid w:val="00C24F4B"/>
    <w:rsid w:val="00C275E9"/>
    <w:rsid w:val="00C27AA2"/>
    <w:rsid w:val="00C3089D"/>
    <w:rsid w:val="00C32D59"/>
    <w:rsid w:val="00C32F9E"/>
    <w:rsid w:val="00C3345A"/>
    <w:rsid w:val="00C369E9"/>
    <w:rsid w:val="00C46976"/>
    <w:rsid w:val="00C47FF6"/>
    <w:rsid w:val="00C5228B"/>
    <w:rsid w:val="00C527A1"/>
    <w:rsid w:val="00C579DE"/>
    <w:rsid w:val="00C62383"/>
    <w:rsid w:val="00C73CAA"/>
    <w:rsid w:val="00C76668"/>
    <w:rsid w:val="00C823A4"/>
    <w:rsid w:val="00C83A02"/>
    <w:rsid w:val="00C840D3"/>
    <w:rsid w:val="00C85511"/>
    <w:rsid w:val="00C87950"/>
    <w:rsid w:val="00C9099E"/>
    <w:rsid w:val="00C92AFF"/>
    <w:rsid w:val="00C95E86"/>
    <w:rsid w:val="00CA1398"/>
    <w:rsid w:val="00CA2577"/>
    <w:rsid w:val="00CA32C2"/>
    <w:rsid w:val="00CA3320"/>
    <w:rsid w:val="00CB33F5"/>
    <w:rsid w:val="00CC339E"/>
    <w:rsid w:val="00CC3DC0"/>
    <w:rsid w:val="00CC475D"/>
    <w:rsid w:val="00CC5377"/>
    <w:rsid w:val="00CC5E40"/>
    <w:rsid w:val="00CC68BF"/>
    <w:rsid w:val="00CC6A32"/>
    <w:rsid w:val="00CD1026"/>
    <w:rsid w:val="00CD1225"/>
    <w:rsid w:val="00CD1B89"/>
    <w:rsid w:val="00CD6369"/>
    <w:rsid w:val="00CE0B03"/>
    <w:rsid w:val="00CE280B"/>
    <w:rsid w:val="00CE510C"/>
    <w:rsid w:val="00CE782A"/>
    <w:rsid w:val="00CF0694"/>
    <w:rsid w:val="00CF5AEC"/>
    <w:rsid w:val="00D06FFC"/>
    <w:rsid w:val="00D16DE9"/>
    <w:rsid w:val="00D177BC"/>
    <w:rsid w:val="00D211D5"/>
    <w:rsid w:val="00D24669"/>
    <w:rsid w:val="00D24C1F"/>
    <w:rsid w:val="00D26595"/>
    <w:rsid w:val="00D26849"/>
    <w:rsid w:val="00D32877"/>
    <w:rsid w:val="00D332B7"/>
    <w:rsid w:val="00D344B5"/>
    <w:rsid w:val="00D37AE9"/>
    <w:rsid w:val="00D410E6"/>
    <w:rsid w:val="00D42DB7"/>
    <w:rsid w:val="00D452BD"/>
    <w:rsid w:val="00D5240C"/>
    <w:rsid w:val="00D52EFD"/>
    <w:rsid w:val="00D66D40"/>
    <w:rsid w:val="00D67A08"/>
    <w:rsid w:val="00D762C7"/>
    <w:rsid w:val="00D80FBC"/>
    <w:rsid w:val="00D82394"/>
    <w:rsid w:val="00D83615"/>
    <w:rsid w:val="00D87B9D"/>
    <w:rsid w:val="00D9456C"/>
    <w:rsid w:val="00D95E41"/>
    <w:rsid w:val="00DA4CF2"/>
    <w:rsid w:val="00DA4F5F"/>
    <w:rsid w:val="00DA666E"/>
    <w:rsid w:val="00DB122B"/>
    <w:rsid w:val="00DB1695"/>
    <w:rsid w:val="00DB3315"/>
    <w:rsid w:val="00DB59C8"/>
    <w:rsid w:val="00DC50D1"/>
    <w:rsid w:val="00DC681C"/>
    <w:rsid w:val="00DD0D1C"/>
    <w:rsid w:val="00DD1BEA"/>
    <w:rsid w:val="00DD4017"/>
    <w:rsid w:val="00DD4221"/>
    <w:rsid w:val="00DD64A4"/>
    <w:rsid w:val="00DD6EC1"/>
    <w:rsid w:val="00DE0A69"/>
    <w:rsid w:val="00DE19AD"/>
    <w:rsid w:val="00DE5F89"/>
    <w:rsid w:val="00DE6351"/>
    <w:rsid w:val="00DE63FD"/>
    <w:rsid w:val="00DF09C5"/>
    <w:rsid w:val="00DF18B5"/>
    <w:rsid w:val="00DF1B3F"/>
    <w:rsid w:val="00DF69E3"/>
    <w:rsid w:val="00DF7950"/>
    <w:rsid w:val="00E014D0"/>
    <w:rsid w:val="00E0175B"/>
    <w:rsid w:val="00E048B4"/>
    <w:rsid w:val="00E06273"/>
    <w:rsid w:val="00E06C24"/>
    <w:rsid w:val="00E12942"/>
    <w:rsid w:val="00E20D4E"/>
    <w:rsid w:val="00E21B0C"/>
    <w:rsid w:val="00E236CE"/>
    <w:rsid w:val="00E274D6"/>
    <w:rsid w:val="00E30436"/>
    <w:rsid w:val="00E30F1A"/>
    <w:rsid w:val="00E3221B"/>
    <w:rsid w:val="00E32C4B"/>
    <w:rsid w:val="00E41C5F"/>
    <w:rsid w:val="00E50AEB"/>
    <w:rsid w:val="00E5276F"/>
    <w:rsid w:val="00E54E90"/>
    <w:rsid w:val="00E553BD"/>
    <w:rsid w:val="00E739FE"/>
    <w:rsid w:val="00E85523"/>
    <w:rsid w:val="00E935DD"/>
    <w:rsid w:val="00EA0F68"/>
    <w:rsid w:val="00EA58C4"/>
    <w:rsid w:val="00EA7FCA"/>
    <w:rsid w:val="00EB3E98"/>
    <w:rsid w:val="00EB55B3"/>
    <w:rsid w:val="00EB7CBC"/>
    <w:rsid w:val="00EC08B9"/>
    <w:rsid w:val="00EC2AD8"/>
    <w:rsid w:val="00ED0A4B"/>
    <w:rsid w:val="00ED1287"/>
    <w:rsid w:val="00ED19B3"/>
    <w:rsid w:val="00ED1C37"/>
    <w:rsid w:val="00ED20C6"/>
    <w:rsid w:val="00ED5C88"/>
    <w:rsid w:val="00ED684C"/>
    <w:rsid w:val="00ED6BD6"/>
    <w:rsid w:val="00EE03F6"/>
    <w:rsid w:val="00EF11B8"/>
    <w:rsid w:val="00EF1639"/>
    <w:rsid w:val="00EF1D4C"/>
    <w:rsid w:val="00EF4D31"/>
    <w:rsid w:val="00F02163"/>
    <w:rsid w:val="00F0435A"/>
    <w:rsid w:val="00F04492"/>
    <w:rsid w:val="00F048FF"/>
    <w:rsid w:val="00F13240"/>
    <w:rsid w:val="00F17CC2"/>
    <w:rsid w:val="00F17F2B"/>
    <w:rsid w:val="00F24B0B"/>
    <w:rsid w:val="00F25E95"/>
    <w:rsid w:val="00F30BB6"/>
    <w:rsid w:val="00F30F74"/>
    <w:rsid w:val="00F3490C"/>
    <w:rsid w:val="00F47C3E"/>
    <w:rsid w:val="00F53290"/>
    <w:rsid w:val="00F55E49"/>
    <w:rsid w:val="00F56535"/>
    <w:rsid w:val="00F60DBE"/>
    <w:rsid w:val="00F73DF4"/>
    <w:rsid w:val="00F74562"/>
    <w:rsid w:val="00F77963"/>
    <w:rsid w:val="00F81739"/>
    <w:rsid w:val="00F81982"/>
    <w:rsid w:val="00F90B83"/>
    <w:rsid w:val="00F90C50"/>
    <w:rsid w:val="00F91132"/>
    <w:rsid w:val="00F92EAA"/>
    <w:rsid w:val="00F9325D"/>
    <w:rsid w:val="00F96C9D"/>
    <w:rsid w:val="00F979AA"/>
    <w:rsid w:val="00FA4930"/>
    <w:rsid w:val="00FA495C"/>
    <w:rsid w:val="00FA657A"/>
    <w:rsid w:val="00FA6FA7"/>
    <w:rsid w:val="00FA713C"/>
    <w:rsid w:val="00FA792B"/>
    <w:rsid w:val="00FB540D"/>
    <w:rsid w:val="00FB549E"/>
    <w:rsid w:val="00FB7021"/>
    <w:rsid w:val="00FB74E0"/>
    <w:rsid w:val="00FB7F4A"/>
    <w:rsid w:val="00FC584A"/>
    <w:rsid w:val="00FD06EC"/>
    <w:rsid w:val="00FD17DA"/>
    <w:rsid w:val="00FD443B"/>
    <w:rsid w:val="00FE17E4"/>
    <w:rsid w:val="00FE23D9"/>
    <w:rsid w:val="00FE48D5"/>
    <w:rsid w:val="00FE50CE"/>
    <w:rsid w:val="00FE74BE"/>
    <w:rsid w:val="00FF0110"/>
    <w:rsid w:val="00FF10F2"/>
    <w:rsid w:val="00FF6003"/>
    <w:rsid w:val="05342E36"/>
    <w:rsid w:val="1CCC2B4A"/>
    <w:rsid w:val="201A51E3"/>
    <w:rsid w:val="3E8270F0"/>
    <w:rsid w:val="4718CE95"/>
    <w:rsid w:val="646B1CA9"/>
    <w:rsid w:val="6AD024C3"/>
    <w:rsid w:val="72341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EC9CEFBB-C36D-4473-B1AE-87F0DFA40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94"/>
    <w:rPr>
      <w:rFonts w:ascii="Arial" w:hAnsi="Arial"/>
      <w:sz w:val="24"/>
    </w:rPr>
  </w:style>
  <w:style w:type="paragraph" w:styleId="Heading1">
    <w:name w:val="heading 1"/>
    <w:basedOn w:val="Normal"/>
    <w:next w:val="Normal"/>
    <w:link w:val="Heading1Char"/>
    <w:uiPriority w:val="9"/>
    <w:qFormat/>
    <w:rsid w:val="00DE19AD"/>
    <w:pPr>
      <w:keepNext/>
      <w:numPr>
        <w:numId w:val="10"/>
      </w:numPr>
      <w:spacing w:line="240" w:lineRule="auto"/>
      <w:ind w:left="357" w:hanging="357"/>
      <w:outlineLvl w:val="0"/>
    </w:pPr>
    <w:rPr>
      <w:rFonts w:cstheme="minorHAnsi"/>
      <w:b/>
      <w:bCs/>
      <w:color w:val="005EB8"/>
      <w:sz w:val="32"/>
    </w:rPr>
  </w:style>
  <w:style w:type="paragraph" w:styleId="Heading2">
    <w:name w:val="heading 2"/>
    <w:basedOn w:val="Normal"/>
    <w:next w:val="Normal"/>
    <w:link w:val="Heading2Char"/>
    <w:uiPriority w:val="9"/>
    <w:unhideWhenUsed/>
    <w:qFormat/>
    <w:rsid w:val="00FA713C"/>
    <w:pPr>
      <w:spacing w:before="360"/>
      <w:outlineLvl w:val="1"/>
    </w:pPr>
    <w:rPr>
      <w:rFonts w:cstheme="minorHAnsi"/>
      <w:b/>
      <w:bCs/>
      <w:color w:val="005EB8"/>
      <w:sz w:val="28"/>
    </w:rPr>
  </w:style>
  <w:style w:type="paragraph" w:styleId="Heading3">
    <w:name w:val="heading 3"/>
    <w:basedOn w:val="Normal"/>
    <w:next w:val="Normal"/>
    <w:link w:val="Heading3Char"/>
    <w:uiPriority w:val="9"/>
    <w:unhideWhenUsed/>
    <w:qFormat/>
    <w:rsid w:val="00DE19AD"/>
    <w:pPr>
      <w:spacing w:before="360" w:after="0" w:line="240" w:lineRule="auto"/>
      <w:outlineLvl w:val="2"/>
    </w:pPr>
    <w:rPr>
      <w:rFonts w:cstheme="minorHAnsi"/>
      <w:b/>
      <w:szCs w:val="24"/>
      <w:lang w:eastAsia="en-GB"/>
    </w:rPr>
  </w:style>
  <w:style w:type="paragraph" w:styleId="Heading4">
    <w:name w:val="heading 4"/>
    <w:basedOn w:val="Heading3"/>
    <w:next w:val="Normal"/>
    <w:link w:val="Heading4Char"/>
    <w:uiPriority w:val="9"/>
    <w:unhideWhenUsed/>
    <w:qFormat/>
    <w:rsid w:val="00426DE1"/>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3977"/>
    <w:pPr>
      <w:spacing w:after="50"/>
      <w:ind w:left="720"/>
    </w:pPr>
  </w:style>
  <w:style w:type="table" w:styleId="TableGrid">
    <w:name w:val="Table Grid"/>
    <w:basedOn w:val="TableNormal"/>
    <w:uiPriority w:val="3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eastAsia="Times New Roman"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eastAsia="Times New Roman"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DE19AD"/>
    <w:rPr>
      <w:rFonts w:ascii="Arial" w:hAnsi="Arial" w:cstheme="minorHAnsi"/>
      <w:b/>
      <w:bCs/>
      <w:color w:val="005EB8"/>
      <w:sz w:val="32"/>
    </w:rPr>
  </w:style>
  <w:style w:type="character" w:customStyle="1" w:styleId="Heading2Char">
    <w:name w:val="Heading 2 Char"/>
    <w:basedOn w:val="DefaultParagraphFont"/>
    <w:link w:val="Heading2"/>
    <w:uiPriority w:val="9"/>
    <w:rsid w:val="00FA713C"/>
    <w:rPr>
      <w:rFonts w:ascii="Arial" w:hAnsi="Arial" w:cstheme="minorHAnsi"/>
      <w:b/>
      <w:bCs/>
      <w:color w:val="005EB8"/>
      <w:sz w:val="28"/>
    </w:rPr>
  </w:style>
  <w:style w:type="character" w:customStyle="1" w:styleId="Heading3Char">
    <w:name w:val="Heading 3 Char"/>
    <w:basedOn w:val="DefaultParagraphFont"/>
    <w:link w:val="Heading3"/>
    <w:uiPriority w:val="9"/>
    <w:rsid w:val="00DE19AD"/>
    <w:rPr>
      <w:rFonts w:ascii="Arial" w:hAnsi="Arial" w:cstheme="minorHAnsi"/>
      <w:b/>
      <w:sz w:val="24"/>
      <w:szCs w:val="24"/>
      <w:lang w:eastAsia="en-GB"/>
    </w:rPr>
  </w:style>
  <w:style w:type="paragraph" w:styleId="TOCHeading">
    <w:name w:val="TOC Heading"/>
    <w:basedOn w:val="Heading1"/>
    <w:next w:val="Normal"/>
    <w:uiPriority w:val="39"/>
    <w:semiHidden/>
    <w:unhideWhenUsed/>
    <w:qFormat/>
    <w:rsid w:val="009E3461"/>
    <w:pPr>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character" w:customStyle="1" w:styleId="wordsection1Char">
    <w:name w:val="wordsection1 Char"/>
    <w:basedOn w:val="DefaultParagraphFont"/>
    <w:link w:val="wordsection1"/>
    <w:uiPriority w:val="99"/>
    <w:locked/>
    <w:rsid w:val="00186EA2"/>
    <w:rPr>
      <w:rFonts w:ascii="Calibri" w:hAnsi="Calibri" w:cs="Calibri"/>
    </w:rPr>
  </w:style>
  <w:style w:type="paragraph" w:customStyle="1" w:styleId="wordsection1">
    <w:name w:val="wordsection1"/>
    <w:basedOn w:val="Normal"/>
    <w:link w:val="wordsection1Char"/>
    <w:uiPriority w:val="99"/>
    <w:rsid w:val="00186EA2"/>
    <w:pPr>
      <w:spacing w:before="100" w:beforeAutospacing="1" w:after="100" w:afterAutospacing="1" w:line="240" w:lineRule="auto"/>
    </w:pPr>
    <w:rPr>
      <w:rFonts w:ascii="Calibri" w:hAnsi="Calibri" w:cs="Calibri"/>
    </w:rPr>
  </w:style>
  <w:style w:type="paragraph" w:customStyle="1" w:styleId="xmsonormal">
    <w:name w:val="x_msonormal"/>
    <w:basedOn w:val="Normal"/>
    <w:rsid w:val="00B92DDF"/>
    <w:pPr>
      <w:spacing w:after="0" w:line="240" w:lineRule="auto"/>
    </w:pPr>
    <w:rPr>
      <w:rFonts w:ascii="Calibri" w:hAnsi="Calibri" w:cs="Calibri"/>
      <w:lang w:eastAsia="en-GB"/>
    </w:rPr>
  </w:style>
  <w:style w:type="paragraph" w:customStyle="1" w:styleId="xmsolistparagraph">
    <w:name w:val="x_msolistparagraph"/>
    <w:basedOn w:val="Normal"/>
    <w:rsid w:val="00B92DDF"/>
    <w:pPr>
      <w:spacing w:after="0" w:line="240" w:lineRule="auto"/>
    </w:pPr>
    <w:rPr>
      <w:rFonts w:ascii="Calibri" w:hAnsi="Calibri" w:cs="Calibri"/>
      <w:lang w:eastAsia="en-GB"/>
    </w:rPr>
  </w:style>
  <w:style w:type="table" w:customStyle="1" w:styleId="TableGrid1">
    <w:name w:val="Table Grid1"/>
    <w:basedOn w:val="TableNormal"/>
    <w:next w:val="TableGrid"/>
    <w:uiPriority w:val="59"/>
    <w:rsid w:val="005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14C8"/>
    <w:rPr>
      <w:color w:val="605E5C"/>
      <w:shd w:val="clear" w:color="auto" w:fill="E1DFDD"/>
    </w:rPr>
  </w:style>
  <w:style w:type="character" w:styleId="PlaceholderText">
    <w:name w:val="Placeholder Text"/>
    <w:basedOn w:val="DefaultParagraphFont"/>
    <w:uiPriority w:val="99"/>
    <w:semiHidden/>
    <w:rsid w:val="00C3089D"/>
    <w:rPr>
      <w:color w:val="auto"/>
      <w:bdr w:val="none" w:sz="0" w:space="0" w:color="auto"/>
      <w:shd w:val="clear" w:color="auto" w:fill="FFFF00"/>
    </w:rPr>
  </w:style>
  <w:style w:type="paragraph" w:customStyle="1" w:styleId="Classification">
    <w:name w:val="Classification"/>
    <w:basedOn w:val="Normal"/>
    <w:uiPriority w:val="99"/>
    <w:semiHidden/>
    <w:rsid w:val="00C3089D"/>
    <w:pPr>
      <w:spacing w:after="0" w:line="240" w:lineRule="auto"/>
    </w:pPr>
    <w:rPr>
      <w:color w:val="768692"/>
      <w:szCs w:val="24"/>
    </w:rPr>
  </w:style>
  <w:style w:type="paragraph" w:styleId="Subtitle">
    <w:name w:val="Subtitle"/>
    <w:basedOn w:val="Normal"/>
    <w:next w:val="Date"/>
    <w:link w:val="SubtitleChar"/>
    <w:uiPriority w:val="19"/>
    <w:qFormat/>
    <w:rsid w:val="004206F9"/>
    <w:pPr>
      <w:numPr>
        <w:ilvl w:val="1"/>
      </w:numPr>
      <w:spacing w:after="400" w:line="240" w:lineRule="auto"/>
      <w:contextualSpacing/>
    </w:pPr>
    <w:rPr>
      <w:rFonts w:eastAsiaTheme="minorEastAsia"/>
      <w:color w:val="005EB8"/>
      <w:sz w:val="28"/>
      <w:szCs w:val="24"/>
    </w:rPr>
  </w:style>
  <w:style w:type="character" w:customStyle="1" w:styleId="SubtitleChar">
    <w:name w:val="Subtitle Char"/>
    <w:basedOn w:val="DefaultParagraphFont"/>
    <w:link w:val="Subtitle"/>
    <w:uiPriority w:val="19"/>
    <w:rsid w:val="004206F9"/>
    <w:rPr>
      <w:rFonts w:ascii="Arial" w:eastAsiaTheme="minorEastAsia" w:hAnsi="Arial"/>
      <w:color w:val="005EB8"/>
      <w:sz w:val="28"/>
      <w:szCs w:val="24"/>
    </w:rPr>
  </w:style>
  <w:style w:type="paragraph" w:styleId="Date">
    <w:name w:val="Date"/>
    <w:basedOn w:val="Normal"/>
    <w:next w:val="Normal"/>
    <w:link w:val="DateChar"/>
    <w:uiPriority w:val="99"/>
    <w:semiHidden/>
    <w:unhideWhenUsed/>
    <w:rsid w:val="004206F9"/>
  </w:style>
  <w:style w:type="character" w:customStyle="1" w:styleId="DateChar">
    <w:name w:val="Date Char"/>
    <w:basedOn w:val="DefaultParagraphFont"/>
    <w:link w:val="Date"/>
    <w:uiPriority w:val="99"/>
    <w:semiHidden/>
    <w:rsid w:val="004206F9"/>
    <w:rPr>
      <w:rFonts w:ascii="Arial" w:hAnsi="Arial"/>
      <w:sz w:val="24"/>
    </w:rPr>
  </w:style>
  <w:style w:type="paragraph" w:styleId="Title">
    <w:name w:val="Title"/>
    <w:basedOn w:val="Normal"/>
    <w:next w:val="Normal"/>
    <w:link w:val="TitleChar"/>
    <w:uiPriority w:val="10"/>
    <w:qFormat/>
    <w:rsid w:val="007C7494"/>
    <w:pPr>
      <w:spacing w:after="200" w:line="240" w:lineRule="auto"/>
      <w:contextualSpacing/>
    </w:pPr>
    <w:rPr>
      <w:rFonts w:eastAsiaTheme="majorEastAsia" w:cstheme="majorBidi"/>
      <w:color w:val="005EB8"/>
      <w:spacing w:val="-10"/>
      <w:kern w:val="28"/>
      <w:sz w:val="48"/>
      <w:szCs w:val="56"/>
    </w:rPr>
  </w:style>
  <w:style w:type="character" w:customStyle="1" w:styleId="TitleChar">
    <w:name w:val="Title Char"/>
    <w:basedOn w:val="DefaultParagraphFont"/>
    <w:link w:val="Title"/>
    <w:uiPriority w:val="10"/>
    <w:rsid w:val="007C7494"/>
    <w:rPr>
      <w:rFonts w:ascii="Arial" w:eastAsiaTheme="majorEastAsia" w:hAnsi="Arial" w:cstheme="majorBidi"/>
      <w:color w:val="005EB8"/>
      <w:spacing w:val="-10"/>
      <w:kern w:val="28"/>
      <w:sz w:val="48"/>
      <w:szCs w:val="56"/>
    </w:rPr>
  </w:style>
  <w:style w:type="character" w:customStyle="1" w:styleId="FooterPipe">
    <w:name w:val="Footer Pipe"/>
    <w:basedOn w:val="DefaultParagraphFont"/>
    <w:uiPriority w:val="99"/>
    <w:semiHidden/>
    <w:rsid w:val="007C7494"/>
    <w:rPr>
      <w:color w:val="005EB8"/>
    </w:rPr>
  </w:style>
  <w:style w:type="character" w:customStyle="1" w:styleId="Heading4Char">
    <w:name w:val="Heading 4 Char"/>
    <w:basedOn w:val="DefaultParagraphFont"/>
    <w:link w:val="Heading4"/>
    <w:uiPriority w:val="9"/>
    <w:rsid w:val="00426DE1"/>
    <w:rPr>
      <w:rFonts w:ascii="Arial" w:hAnsi="Arial" w:cstheme="minorHAnsi"/>
      <w:b/>
      <w:sz w:val="24"/>
      <w:szCs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528252835">
      <w:bodyDiv w:val="1"/>
      <w:marLeft w:val="0"/>
      <w:marRight w:val="0"/>
      <w:marTop w:val="0"/>
      <w:marBottom w:val="0"/>
      <w:divBdr>
        <w:top w:val="none" w:sz="0" w:space="0" w:color="auto"/>
        <w:left w:val="none" w:sz="0" w:space="0" w:color="auto"/>
        <w:bottom w:val="none" w:sz="0" w:space="0" w:color="auto"/>
        <w:right w:val="none" w:sz="0" w:space="0" w:color="auto"/>
      </w:divBdr>
    </w:div>
    <w:div w:id="1676616318">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247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dicines.org.uk/emc/" TargetMode="External"/><Relationship Id="rId21" Type="http://schemas.openxmlformats.org/officeDocument/2006/relationships/hyperlink" Target="https://www.nice.org.uk/" TargetMode="External"/><Relationship Id="rId42" Type="http://schemas.openxmlformats.org/officeDocument/2006/relationships/hyperlink" Target="https://assets.publishing.service.gov.uk/government/uploads/system/uploads/attachment_data/file/1073013/UKHSA_guidelines_on_VZ_post_exposure_prophylaxis.pdf" TargetMode="External"/><Relationship Id="rId47" Type="http://schemas.openxmlformats.org/officeDocument/2006/relationships/hyperlink" Target="https://www.sps.nhs.uk/medicines/methotrexate/" TargetMode="External"/><Relationship Id="rId63" Type="http://schemas.openxmlformats.org/officeDocument/2006/relationships/hyperlink" Target="https://onlinelibrary.wiley.com/doi/full/10.1111/bjd.14816" TargetMode="External"/><Relationship Id="rId68" Type="http://schemas.openxmlformats.org/officeDocument/2006/relationships/hyperlink" Target="https://www.gmc-uk.org/ethical-guidance/ethical-guidance-for-doctors/good-practice-in-prescribing-and-managing-medicines-and-devices/shared-care" TargetMode="External"/><Relationship Id="rId7" Type="http://schemas.openxmlformats.org/officeDocument/2006/relationships/settings" Target="setting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gov.uk/government/organisations/medicines-and-healthcare-products-regulatory-agency" TargetMode="External"/><Relationship Id="rId29" Type="http://schemas.openxmlformats.org/officeDocument/2006/relationships/hyperlink" Target="https://www.gov.uk/drug-safety-update/methotrexate-once-weekly-for-autoimmune-diseases-new-measures-to-reduce-risk-of-fatal-overdose-due-to-inadvertent-daily-instead-of-weekly-dosing" TargetMode="External"/><Relationship Id="rId11" Type="http://schemas.openxmlformats.org/officeDocument/2006/relationships/hyperlink" Target="https://academic.oup.com/rheumatology/article/55/9/1693/1744535" TargetMode="External"/><Relationship Id="rId24" Type="http://schemas.openxmlformats.org/officeDocument/2006/relationships/hyperlink" Target="https://www.medicines.org.uk/emc/search?q=methotrexate" TargetMode="External"/><Relationship Id="rId32" Type="http://schemas.openxmlformats.org/officeDocument/2006/relationships/hyperlink" Target="https://www.gov.uk/government/collections/immunisation-against-infectious-disease-the-green-book" TargetMode="External"/><Relationship Id="rId37" Type="http://schemas.openxmlformats.org/officeDocument/2006/relationships/hyperlink" Target="https://www.gov.uk/government/publications/covid-19-the-green-book-chapter-14a" TargetMode="External"/><Relationship Id="rId40" Type="http://schemas.openxmlformats.org/officeDocument/2006/relationships/hyperlink" Target="https://www.nhs.uk/live-well/alcohol-support/calculating-alcohol-units/" TargetMode="External"/><Relationship Id="rId45" Type="http://schemas.openxmlformats.org/officeDocument/2006/relationships/hyperlink" Target="https://www.medicinesinpregnancy.org/Medicine--pregnancy/Methotrexate/" TargetMode="External"/><Relationship Id="rId53" Type="http://schemas.openxmlformats.org/officeDocument/2006/relationships/hyperlink" Target="https://www.sutton.gov.uk/w/book-a-clinical-waste-collection?p_l_back_url=%2Fsearch%3Fq%3Dclinical%2Bwaste" TargetMode="External"/><Relationship Id="rId58" Type="http://schemas.openxmlformats.org/officeDocument/2006/relationships/hyperlink" Target="https://www.medicines.org.uk/emc/product/11351/" TargetMode="External"/><Relationship Id="rId66" Type="http://schemas.openxmlformats.org/officeDocument/2006/relationships/hyperlink" Target="https://www.sps.nhs.uk/articles/rmoc-shared-care-guidance/" TargetMode="External"/><Relationship Id="rId5" Type="http://schemas.openxmlformats.org/officeDocument/2006/relationships/numbering" Target="numbering.xml"/><Relationship Id="rId61" Type="http://schemas.openxmlformats.org/officeDocument/2006/relationships/hyperlink" Target="https://www.medicines.org.uk/emc/product/8599/" TargetMode="External"/><Relationship Id="rId19" Type="http://schemas.openxmlformats.org/officeDocument/2006/relationships/hyperlink" Target="https://bnf.nice.org.uk/?" TargetMode="External"/><Relationship Id="rId14" Type="http://schemas.openxmlformats.org/officeDocument/2006/relationships/hyperlink" Target="https://www.medicines.org.uk/emc/" TargetMode="External"/><Relationship Id="rId22" Type="http://schemas.openxmlformats.org/officeDocument/2006/relationships/footer" Target="footer1.xml"/><Relationship Id="rId27" Type="http://schemas.openxmlformats.org/officeDocument/2006/relationships/hyperlink" Target="https://www.medicines.org.uk/emc/search?q=methotrexate" TargetMode="External"/><Relationship Id="rId30" Type="http://schemas.openxmlformats.org/officeDocument/2006/relationships/hyperlink" Target="https://bnf.nice.org.uk/drugs/" TargetMode="External"/><Relationship Id="rId35" Type="http://schemas.openxmlformats.org/officeDocument/2006/relationships/hyperlink" Target="https://www.gov.uk/government/publications/shingles-herpes-zoster-the-green-book-chapter-28a" TargetMode="External"/><Relationship Id="rId43" Type="http://schemas.openxmlformats.org/officeDocument/2006/relationships/hyperlink" Target="https://www.nhs.uk/medicines/methotrexate/" TargetMode="External"/><Relationship Id="rId48" Type="http://schemas.openxmlformats.org/officeDocument/2006/relationships/hyperlink" Target="https://www.medicinesinpregnancy.org/bumps/monographs/PATERNAL-USE-OF-METHOTREXATE/" TargetMode="External"/><Relationship Id="rId56" Type="http://schemas.openxmlformats.org/officeDocument/2006/relationships/hyperlink" Target="https://www.medicines.org.uk/emc/product/1376/" TargetMode="External"/><Relationship Id="rId64" Type="http://schemas.openxmlformats.org/officeDocument/2006/relationships/hyperlink" Target="https://academic.oup.com/rheumatology/article/55/9/1693/1744535" TargetMode="External"/><Relationship Id="rId69" Type="http://schemas.openxmlformats.org/officeDocument/2006/relationships/hyperlink" Target="https://www.nice.org.uk/guidance/ng197/" TargetMode="External"/><Relationship Id="rId8" Type="http://schemas.openxmlformats.org/officeDocument/2006/relationships/webSettings" Target="webSettings.xml"/><Relationship Id="rId51" Type="http://schemas.openxmlformats.org/officeDocument/2006/relationships/hyperlink" Target="https://www.merton.gov.uk/rubbish-and-recycling/bulky-hazardous-and-clinical-waste/clinical-waste"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academic.oup.com/rheumatology/article/55/9/1693/1744535" TargetMode="External"/><Relationship Id="rId17" Type="http://schemas.openxmlformats.org/officeDocument/2006/relationships/hyperlink" Target="https://www.nice.org.uk/" TargetMode="External"/><Relationship Id="rId25" Type="http://schemas.openxmlformats.org/officeDocument/2006/relationships/hyperlink" Target="https://bnf.nice.org.uk/drugs/" TargetMode="External"/><Relationship Id="rId33" Type="http://schemas.openxmlformats.org/officeDocument/2006/relationships/hyperlink" Target="https://www.gov.uk/government/publications/contraindications-and-special-considerations-the-green-book-chapter-6" TargetMode="External"/><Relationship Id="rId38" Type="http://schemas.openxmlformats.org/officeDocument/2006/relationships/hyperlink" Target="https://www.gov.uk/government/publications/pneumococcal-the-green-book-chapter-25" TargetMode="External"/><Relationship Id="rId46" Type="http://schemas.openxmlformats.org/officeDocument/2006/relationships/hyperlink" Target="https://academic.oup.com/rheumatology/article/55/9/1693/1744535" TargetMode="External"/><Relationship Id="rId59" Type="http://schemas.openxmlformats.org/officeDocument/2006/relationships/hyperlink" Target="https://www.medicines.org.uk/emc/product/7721/" TargetMode="External"/><Relationship Id="rId67" Type="http://schemas.openxmlformats.org/officeDocument/2006/relationships/hyperlink" Target="https://www.england.nhs.uk/publication/responsibility-for-prescribing-between-primary-and-secondary-tertiary-care/" TargetMode="External"/><Relationship Id="rId20" Type="http://schemas.openxmlformats.org/officeDocument/2006/relationships/hyperlink" Target="https://www.gov.uk/government/organisations/medicines-and-healthcare-products-regulatory-agency" TargetMode="External"/><Relationship Id="rId41" Type="http://schemas.openxmlformats.org/officeDocument/2006/relationships/hyperlink" Target="https://www.gov.uk/government/publications/varicella-the-green-book-chapter-34" TargetMode="External"/><Relationship Id="rId54" Type="http://schemas.openxmlformats.org/officeDocument/2006/relationships/hyperlink" Target="https://www.wandsworth.gov.uk/rubbish-and-recycling/clinical-and-healthcare-waste/clinical-and-hygiene-waste-from-households/separate-hazardous-clinical-waste-collections/" TargetMode="External"/><Relationship Id="rId62" Type="http://schemas.openxmlformats.org/officeDocument/2006/relationships/hyperlink" Target="https://academic.oup.com/rheumatology/article/56/6/865/3053478"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nf.nice.org.uk/?" TargetMode="External"/><Relationship Id="rId23" Type="http://schemas.openxmlformats.org/officeDocument/2006/relationships/header" Target="header1.xml"/><Relationship Id="rId28" Type="http://schemas.openxmlformats.org/officeDocument/2006/relationships/hyperlink" Target="https://www.gov.uk/drug-safety-update/methotrexate-once-weekly-for-autoimmune-diseases-new-measures-to-reduce-risk-of-fatal-overdose-due-to-inadvertent-daily-instead-of-weekly-dosing" TargetMode="External"/><Relationship Id="rId36" Type="http://schemas.openxmlformats.org/officeDocument/2006/relationships/hyperlink" Target="https://www.gov.uk/government/publications/influenza-the-green-book-chapter-19" TargetMode="External"/><Relationship Id="rId49" Type="http://schemas.openxmlformats.org/officeDocument/2006/relationships/hyperlink" Target="https://www.croydon.gov.uk/rubbish-and-recycling/clinical-waste" TargetMode="External"/><Relationship Id="rId57" Type="http://schemas.openxmlformats.org/officeDocument/2006/relationships/hyperlink" Target="https://www.medicines.org.uk/emc/product/9057/smpc" TargetMode="External"/><Relationship Id="rId10" Type="http://schemas.openxmlformats.org/officeDocument/2006/relationships/endnotes" Target="endnotes.xml"/><Relationship Id="rId31" Type="http://schemas.openxmlformats.org/officeDocument/2006/relationships/hyperlink" Target="https://www.medicines.org.uk/emc/" TargetMode="External"/><Relationship Id="rId44" Type="http://schemas.openxmlformats.org/officeDocument/2006/relationships/hyperlink" Target="https://www.medicinesinpregnancy.org/bumps/monographs/USE-OF-METHOTREXATE-IN-PREGNANCY/" TargetMode="External"/><Relationship Id="rId52" Type="http://schemas.openxmlformats.org/officeDocument/2006/relationships/hyperlink" Target="https://www.richmond.gov.uk/clinical_waste" TargetMode="External"/><Relationship Id="rId60" Type="http://schemas.openxmlformats.org/officeDocument/2006/relationships/hyperlink" Target="https://www.medicines.org.uk/emc/product/7270/" TargetMode="External"/><Relationship Id="rId65" Type="http://schemas.openxmlformats.org/officeDocument/2006/relationships/hyperlink" Target="https://www.gov.uk/drug-safety-update/methotrexate-once-weekly-for-autoimmune-diseases-new-measures-to-reduce-risk-of-fatal-overdose-due-to-inadvertent-daily-instead-of-weekly-dos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medicines.org.uk/emc/" TargetMode="External"/><Relationship Id="rId39" Type="http://schemas.openxmlformats.org/officeDocument/2006/relationships/hyperlink" Target="http://www.mhra.gov.uk/yellowcard" TargetMode="External"/><Relationship Id="rId34" Type="http://schemas.openxmlformats.org/officeDocument/2006/relationships/hyperlink" Target="https://www.gov.uk/government/publications/contraindications-and-special-considerations-the-green-book-chapter-6" TargetMode="External"/><Relationship Id="rId50" Type="http://schemas.openxmlformats.org/officeDocument/2006/relationships/hyperlink" Target="https://www.kingston.gov.uk/bins-recycling-rubbish/clinical-waste" TargetMode="External"/><Relationship Id="rId55" Type="http://schemas.openxmlformats.org/officeDocument/2006/relationships/hyperlink" Target="https://bnf.nice.org.uk/drug/methotrexate.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F48D3E909B47A192EC1B24CF5DFF71"/>
        <w:category>
          <w:name w:val="General"/>
          <w:gallery w:val="placeholder"/>
        </w:category>
        <w:types>
          <w:type w:val="bbPlcHdr"/>
        </w:types>
        <w:behaviors>
          <w:behavior w:val="content"/>
        </w:behaviors>
        <w:guid w:val="{6EA7887D-BDD1-472F-AD7C-59550BA9F8E7}"/>
      </w:docPartPr>
      <w:docPartBody>
        <w:p w:rsidR="006A364A" w:rsidRDefault="00CE510C" w:rsidP="00CE510C">
          <w:pPr>
            <w:pStyle w:val="7EF48D3E909B47A192EC1B24CF5DFF71"/>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0C"/>
    <w:rsid w:val="0000109E"/>
    <w:rsid w:val="0013436F"/>
    <w:rsid w:val="001A03E2"/>
    <w:rsid w:val="002159E9"/>
    <w:rsid w:val="00216BC9"/>
    <w:rsid w:val="003D6F65"/>
    <w:rsid w:val="004A0F06"/>
    <w:rsid w:val="004B67C3"/>
    <w:rsid w:val="00595B0A"/>
    <w:rsid w:val="0063036F"/>
    <w:rsid w:val="006A364A"/>
    <w:rsid w:val="006D3A01"/>
    <w:rsid w:val="007E254C"/>
    <w:rsid w:val="00827965"/>
    <w:rsid w:val="009504A1"/>
    <w:rsid w:val="00A01E1E"/>
    <w:rsid w:val="00A72763"/>
    <w:rsid w:val="00AA0AF6"/>
    <w:rsid w:val="00BA11C3"/>
    <w:rsid w:val="00CE5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0C"/>
    <w:rPr>
      <w:color w:val="auto"/>
      <w:bdr w:val="none" w:sz="0" w:space="0" w:color="auto"/>
      <w:shd w:val="clear" w:color="auto" w:fill="FFFF00"/>
    </w:rPr>
  </w:style>
  <w:style w:type="paragraph" w:customStyle="1" w:styleId="7EF48D3E909B47A192EC1B24CF5DFF71">
    <w:name w:val="7EF48D3E909B47A192EC1B24CF5DFF71"/>
    <w:rsid w:val="00CE5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164" ma:contentTypeDescription="Create a new document." ma:contentTypeScope="" ma:versionID="63122503966e41ac3bbf3e022d7fa98c">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TaxCatchAll xmlns="a9828ea0-a2d3-4f70-8da5-04d4217a29a9" xsi:nil="true"/>
    <ArchiverLinkFileType xmlns="4512f041-31c9-4873-9aa3-f06e57144f25" xsi:nil="true"/>
  </documentManagement>
</p:properties>
</file>

<file path=customXml/itemProps1.xml><?xml version="1.0" encoding="utf-8"?>
<ds:datastoreItem xmlns:ds="http://schemas.openxmlformats.org/officeDocument/2006/customXml" ds:itemID="{D92AB613-FC8C-4A8A-A705-DB449B687CB3}">
  <ds:schemaRefs>
    <ds:schemaRef ds:uri="http://schemas.openxmlformats.org/officeDocument/2006/bibliography"/>
  </ds:schemaRefs>
</ds:datastoreItem>
</file>

<file path=customXml/itemProps2.xml><?xml version="1.0" encoding="utf-8"?>
<ds:datastoreItem xmlns:ds="http://schemas.openxmlformats.org/officeDocument/2006/customXml" ds:itemID="{D847D958-FE84-46BC-A2C7-8228D9EF4FE2}">
  <ds:schemaRefs>
    <ds:schemaRef ds:uri="http://schemas.microsoft.com/sharepoint/v3/contenttype/forms"/>
  </ds:schemaRefs>
</ds:datastoreItem>
</file>

<file path=customXml/itemProps3.xml><?xml version="1.0" encoding="utf-8"?>
<ds:datastoreItem xmlns:ds="http://schemas.openxmlformats.org/officeDocument/2006/customXml" ds:itemID="{4BA2237E-970A-4683-AD19-BE7231E5442B}"/>
</file>

<file path=customXml/itemProps4.xml><?xml version="1.0" encoding="utf-8"?>
<ds:datastoreItem xmlns:ds="http://schemas.openxmlformats.org/officeDocument/2006/customXml" ds:itemID="{B5083591-FD7D-427C-94D0-8E6ABE21205E}">
  <ds:schemaRefs>
    <ds:schemaRef ds:uri="http://schemas.microsoft.com/office/2006/metadata/properties"/>
    <ds:schemaRef ds:uri="http://schemas.microsoft.com/office/infopath/2007/PartnerControls"/>
    <ds:schemaRef ds:uri="4512f041-31c9-4873-9aa3-f06e57144f25"/>
    <ds:schemaRef ds:uri="a9828ea0-a2d3-4f70-8da5-04d4217a29a9"/>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21</Pages>
  <Words>6417</Words>
  <Characters>38357</Characters>
  <Application>Microsoft Office Word</Application>
  <DocSecurity>8</DocSecurity>
  <Lines>857</Lines>
  <Paragraphs>410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Shaistah Qureshi (NHS South West London ICB)</cp:lastModifiedBy>
  <cp:revision>51</cp:revision>
  <cp:lastPrinted>2022-01-06T16:15:00Z</cp:lastPrinted>
  <dcterms:created xsi:type="dcterms:W3CDTF">2023-03-31T12:42:00Z</dcterms:created>
  <dcterms:modified xsi:type="dcterms:W3CDTF">2026-01-28T11:51:00Z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MediaServiceImageTags">
    <vt:lpwstr/>
  </property>
</Properties>
</file>