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A1AF" w14:textId="41465DF5" w:rsidR="00C3089D" w:rsidRPr="00037AC4" w:rsidRDefault="00C3089D" w:rsidP="00C3089D">
      <w:pPr>
        <w:spacing w:line="240" w:lineRule="auto"/>
        <w:ind w:left="-709" w:right="-711"/>
        <w:rPr>
          <w:rFonts w:cs="Arial"/>
          <w:sz w:val="36"/>
          <w:szCs w:val="36"/>
        </w:rPr>
      </w:pPr>
      <w:r w:rsidRPr="00037AC4">
        <w:rPr>
          <w:rFonts w:cs="Arial"/>
          <w:sz w:val="36"/>
          <w:szCs w:val="36"/>
        </w:rPr>
        <w:t>National shared care protocol:</w:t>
      </w:r>
    </w:p>
    <w:p w14:paraId="52CF69A8" w14:textId="41A3859A" w:rsidR="00B760F1" w:rsidRPr="00037AC4" w:rsidRDefault="00B760F1" w:rsidP="00C3089D">
      <w:pPr>
        <w:spacing w:line="240" w:lineRule="auto"/>
        <w:ind w:left="-709" w:right="-711"/>
        <w:rPr>
          <w:rFonts w:cs="Arial"/>
          <w:sz w:val="36"/>
          <w:szCs w:val="36"/>
        </w:rPr>
      </w:pPr>
    </w:p>
    <w:p w14:paraId="42270F08" w14:textId="3EA2774B" w:rsidR="000A2430" w:rsidRPr="00037AC4" w:rsidRDefault="000A2430" w:rsidP="004206F9">
      <w:pPr>
        <w:pStyle w:val="Subtitle"/>
        <w:spacing w:before="240" w:after="120"/>
        <w:ind w:left="-709"/>
        <w:rPr>
          <w:rFonts w:eastAsiaTheme="majorEastAsia" w:cstheme="minorHAnsi"/>
          <w:bCs/>
          <w:spacing w:val="-10"/>
          <w:kern w:val="28"/>
          <w:sz w:val="48"/>
          <w:szCs w:val="48"/>
        </w:rPr>
      </w:pPr>
      <w:r w:rsidRPr="00037AC4">
        <w:rPr>
          <w:rFonts w:eastAsiaTheme="majorEastAsia" w:cstheme="minorHAnsi"/>
          <w:bCs/>
          <w:spacing w:val="-10"/>
          <w:kern w:val="28"/>
          <w:sz w:val="48"/>
          <w:szCs w:val="48"/>
        </w:rPr>
        <w:t xml:space="preserve">Ciclosporin (oral) for patients within adult services (non-transplant indications) </w:t>
      </w:r>
    </w:p>
    <w:p w14:paraId="17382A9D" w14:textId="4F657D0B" w:rsidR="000A2430" w:rsidRPr="00037AC4" w:rsidRDefault="000A2430" w:rsidP="004206F9">
      <w:pPr>
        <w:pStyle w:val="Subtitle"/>
        <w:spacing w:before="240" w:after="120"/>
        <w:ind w:left="-709"/>
        <w:rPr>
          <w:rFonts w:eastAsiaTheme="majorEastAsia" w:cstheme="minorHAnsi"/>
          <w:bCs/>
          <w:spacing w:val="-10"/>
          <w:kern w:val="28"/>
          <w:sz w:val="48"/>
          <w:szCs w:val="48"/>
        </w:rPr>
      </w:pPr>
    </w:p>
    <w:p w14:paraId="0BEDCEE3" w14:textId="56D16751" w:rsidR="004206F9" w:rsidRPr="00037AC4" w:rsidRDefault="00DB7825" w:rsidP="004206F9">
      <w:pPr>
        <w:pStyle w:val="Subtitle"/>
        <w:spacing w:before="240" w:after="120"/>
        <w:ind w:left="-709"/>
      </w:pPr>
      <w:r w:rsidRPr="00373E49">
        <w:rPr>
          <w:noProof/>
        </w:rPr>
        <mc:AlternateContent>
          <mc:Choice Requires="wps">
            <w:drawing>
              <wp:anchor distT="45720" distB="45720" distL="114300" distR="114300" simplePos="0" relativeHeight="251658240" behindDoc="0" locked="0" layoutInCell="1" allowOverlap="1" wp14:anchorId="4F6920BF" wp14:editId="5720E49A">
                <wp:simplePos x="0" y="0"/>
                <wp:positionH relativeFrom="margin">
                  <wp:align>center</wp:align>
                </wp:positionH>
                <wp:positionV relativeFrom="paragraph">
                  <wp:posOffset>308610</wp:posOffset>
                </wp:positionV>
                <wp:extent cx="6667500" cy="5410200"/>
                <wp:effectExtent l="19050" t="1905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410200"/>
                        </a:xfrm>
                        <a:prstGeom prst="rect">
                          <a:avLst/>
                        </a:prstGeom>
                        <a:noFill/>
                        <a:ln w="38100">
                          <a:solidFill>
                            <a:srgbClr val="00B050"/>
                          </a:solidFill>
                          <a:miter lim="800000"/>
                          <a:headEnd/>
                          <a:tailEnd/>
                        </a:ln>
                      </wps:spPr>
                      <wps:txbx>
                        <w:txbxContent>
                          <w:p w14:paraId="4F3F3438" w14:textId="77777777" w:rsidR="005D30E8" w:rsidRDefault="005D30E8" w:rsidP="005D30E8">
                            <w:pPr>
                              <w:jc w:val="right"/>
                            </w:pPr>
                          </w:p>
                          <w:p w14:paraId="46C33763" w14:textId="77777777" w:rsidR="005D30E8" w:rsidRDefault="005D30E8" w:rsidP="005D30E8">
                            <w:pPr>
                              <w:spacing w:line="20" w:lineRule="atLeast"/>
                              <w:rPr>
                                <w:rFonts w:cs="Arial"/>
                                <w:b/>
                                <w:bCs/>
                                <w:sz w:val="22"/>
                              </w:rPr>
                            </w:pPr>
                          </w:p>
                          <w:p w14:paraId="4A30B226" w14:textId="2BE6DDEA" w:rsidR="005D30E8" w:rsidRPr="000354F0" w:rsidRDefault="00F54C28" w:rsidP="005D30E8">
                            <w:pPr>
                              <w:spacing w:line="20" w:lineRule="atLeast"/>
                              <w:rPr>
                                <w:rFonts w:cstheme="minorHAnsi"/>
                                <w:b/>
                                <w:bCs/>
                                <w:color w:val="005EB8"/>
                                <w:sz w:val="28"/>
                              </w:rPr>
                            </w:pPr>
                            <w:r w:rsidRPr="000354F0">
                              <w:rPr>
                                <w:rFonts w:cstheme="minorHAnsi"/>
                                <w:b/>
                                <w:bCs/>
                                <w:color w:val="005EB8"/>
                                <w:sz w:val="28"/>
                              </w:rPr>
                              <w:t>SWL</w:t>
                            </w:r>
                            <w:r w:rsidR="005D30E8" w:rsidRPr="000354F0">
                              <w:rPr>
                                <w:rFonts w:cstheme="minorHAnsi"/>
                                <w:b/>
                                <w:bCs/>
                                <w:color w:val="005EB8"/>
                                <w:sz w:val="28"/>
                              </w:rPr>
                              <w:t xml:space="preserve"> L</w:t>
                            </w:r>
                            <w:r w:rsidR="000354F0">
                              <w:rPr>
                                <w:rFonts w:cstheme="minorHAnsi"/>
                                <w:b/>
                                <w:bCs/>
                                <w:color w:val="005EB8"/>
                                <w:sz w:val="28"/>
                              </w:rPr>
                              <w:t>ocal</w:t>
                            </w:r>
                            <w:r w:rsidR="005D30E8" w:rsidRPr="000354F0">
                              <w:rPr>
                                <w:rFonts w:cstheme="minorHAnsi"/>
                                <w:b/>
                                <w:bCs/>
                                <w:color w:val="005EB8"/>
                                <w:sz w:val="28"/>
                              </w:rPr>
                              <w:t xml:space="preserve"> A</w:t>
                            </w:r>
                            <w:r w:rsidR="000354F0">
                              <w:rPr>
                                <w:rFonts w:cstheme="minorHAnsi"/>
                                <w:b/>
                                <w:bCs/>
                                <w:color w:val="005EB8"/>
                                <w:sz w:val="28"/>
                              </w:rPr>
                              <w:t>daptation</w:t>
                            </w:r>
                          </w:p>
                          <w:p w14:paraId="2868C717" w14:textId="77777777" w:rsidR="00C414FE" w:rsidRPr="008F6FD4" w:rsidRDefault="00C414FE" w:rsidP="005D30E8">
                            <w:pPr>
                              <w:spacing w:line="20" w:lineRule="atLeast"/>
                              <w:rPr>
                                <w:rFonts w:cs="Arial"/>
                                <w:b/>
                                <w:bCs/>
                                <w:sz w:val="22"/>
                              </w:rPr>
                            </w:pPr>
                          </w:p>
                          <w:p w14:paraId="492F25D5" w14:textId="79A58050" w:rsidR="005D30E8" w:rsidRDefault="00F54C28" w:rsidP="005D30E8">
                            <w:pPr>
                              <w:rPr>
                                <w:rFonts w:cs="Arial"/>
                                <w:b/>
                                <w:bCs/>
                                <w:sz w:val="22"/>
                              </w:rPr>
                            </w:pPr>
                            <w:r>
                              <w:rPr>
                                <w:rFonts w:cs="Arial"/>
                                <w:b/>
                                <w:bCs/>
                                <w:sz w:val="22"/>
                              </w:rPr>
                              <w:t>November</w:t>
                            </w:r>
                            <w:r w:rsidR="005D30E8">
                              <w:rPr>
                                <w:rFonts w:cs="Arial"/>
                                <w:b/>
                                <w:bCs/>
                                <w:sz w:val="22"/>
                              </w:rPr>
                              <w:t xml:space="preserve"> 202</w:t>
                            </w:r>
                            <w:r>
                              <w:rPr>
                                <w:rFonts w:cs="Arial"/>
                                <w:b/>
                                <w:bCs/>
                                <w:sz w:val="22"/>
                              </w:rPr>
                              <w:t>2</w:t>
                            </w:r>
                          </w:p>
                          <w:p w14:paraId="009DF514" w14:textId="77777777" w:rsidR="00C414FE" w:rsidRDefault="00C414FE" w:rsidP="005D30E8">
                            <w:pPr>
                              <w:rPr>
                                <w:rFonts w:cs="Arial"/>
                                <w:b/>
                                <w:bCs/>
                                <w:sz w:val="22"/>
                              </w:rPr>
                            </w:pPr>
                          </w:p>
                          <w:p w14:paraId="30CB47E7" w14:textId="10D028FD" w:rsidR="005D30E8" w:rsidRDefault="005D30E8" w:rsidP="005D30E8">
                            <w:pPr>
                              <w:rPr>
                                <w:rStyle w:val="Hyperlink"/>
                                <w:rFonts w:cs="Arial"/>
                                <w:sz w:val="22"/>
                                <w:lang w:eastAsia="en-GB"/>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5D30E8">
                                <w:rPr>
                                  <w:rStyle w:val="Hyperlink"/>
                                  <w:rFonts w:cs="Arial"/>
                                  <w:sz w:val="22"/>
                                  <w:lang w:eastAsia="en-GB"/>
                                </w:rPr>
                                <w:t>Locally agreed off-label use</w:t>
                              </w:r>
                            </w:hyperlink>
                          </w:p>
                          <w:p w14:paraId="01923580" w14:textId="2A12DFE4" w:rsidR="005D30E8" w:rsidRPr="00C414FE" w:rsidRDefault="005D30E8" w:rsidP="005D30E8">
                            <w:pPr>
                              <w:pStyle w:val="ListParagraph"/>
                              <w:numPr>
                                <w:ilvl w:val="0"/>
                                <w:numId w:val="40"/>
                              </w:numPr>
                              <w:spacing w:before="60"/>
                              <w:rPr>
                                <w:rFonts w:eastAsia="Arial" w:cs="Arial"/>
                                <w:sz w:val="22"/>
                              </w:rPr>
                            </w:pPr>
                            <w:r>
                              <w:rPr>
                                <w:rFonts w:eastAsia="Arial" w:cs="Arial"/>
                                <w:color w:val="000000"/>
                                <w:sz w:val="22"/>
                              </w:rPr>
                              <w:t xml:space="preserve">The word ‘normally’ under </w:t>
                            </w:r>
                            <w:hyperlink w:anchor="_Specialist_responsibilities" w:history="1">
                              <w:r w:rsidRPr="005D30E8">
                                <w:rPr>
                                  <w:rStyle w:val="Hyperlink"/>
                                  <w:rFonts w:eastAsia="Arial" w:cs="Arial"/>
                                  <w:sz w:val="22"/>
                                </w:rPr>
                                <w:t>specialist responsibilities</w:t>
                              </w:r>
                            </w:hyperlink>
                            <w:r>
                              <w:rPr>
                                <w:rFonts w:eastAsia="Arial" w:cs="Arial"/>
                                <w:color w:val="000000"/>
                                <w:sz w:val="22"/>
                              </w:rPr>
                              <w:t xml:space="preserve"> section bullet point 5 and</w:t>
                            </w:r>
                            <w:r w:rsidR="00C414FE">
                              <w:rPr>
                                <w:rFonts w:eastAsia="Arial" w:cs="Arial"/>
                                <w:color w:val="000000"/>
                                <w:sz w:val="22"/>
                              </w:rPr>
                              <w:t xml:space="preserve"> in</w:t>
                            </w:r>
                            <w:r>
                              <w:rPr>
                                <w:rFonts w:eastAsia="Arial" w:cs="Arial"/>
                                <w:color w:val="000000"/>
                                <w:sz w:val="22"/>
                              </w:rPr>
                              <w:t xml:space="preserve"> </w:t>
                            </w:r>
                            <w:hyperlink w:anchor="_Initiation_and_ongoing" w:history="1">
                              <w:r w:rsidRPr="005D30E8">
                                <w:rPr>
                                  <w:rStyle w:val="Hyperlink"/>
                                  <w:rFonts w:eastAsia="Arial" w:cs="Arial"/>
                                  <w:sz w:val="22"/>
                                </w:rPr>
                                <w:t>section 5</w:t>
                              </w:r>
                            </w:hyperlink>
                            <w:r>
                              <w:rPr>
                                <w:rFonts w:eastAsia="Arial" w:cs="Arial"/>
                                <w:color w:val="000000"/>
                                <w:sz w:val="22"/>
                              </w:rPr>
                              <w:t>, first bullet point</w:t>
                            </w:r>
                            <w:r w:rsidR="00C414FE">
                              <w:rPr>
                                <w:rFonts w:eastAsia="Arial" w:cs="Arial"/>
                                <w:color w:val="000000"/>
                                <w:sz w:val="22"/>
                              </w:rPr>
                              <w:t>,</w:t>
                            </w:r>
                            <w:r>
                              <w:rPr>
                                <w:rFonts w:eastAsia="Arial" w:cs="Arial"/>
                                <w:color w:val="000000"/>
                                <w:sz w:val="22"/>
                              </w:rPr>
                              <w:t xml:space="preserve"> has been deleted</w:t>
                            </w:r>
                            <w:r w:rsidR="00DB7825">
                              <w:rPr>
                                <w:rFonts w:eastAsia="Arial" w:cs="Arial"/>
                                <w:color w:val="000000"/>
                                <w:sz w:val="22"/>
                              </w:rPr>
                              <w:t>: ‘</w:t>
                            </w:r>
                            <w:r w:rsidR="00DB7825" w:rsidRPr="00744A1A">
                              <w:rPr>
                                <w:rFonts w:eastAsia="Arial" w:cs="Arial"/>
                                <w:color w:val="000000"/>
                                <w:sz w:val="22"/>
                              </w:rPr>
                              <w:t xml:space="preserve">Transfer to primary care is </w:t>
                            </w:r>
                            <w:r w:rsidR="00DB7825" w:rsidRPr="00744A1A">
                              <w:rPr>
                                <w:rFonts w:eastAsia="Arial" w:cs="Arial"/>
                                <w:strike/>
                                <w:color w:val="000000"/>
                                <w:sz w:val="22"/>
                              </w:rPr>
                              <w:t>normally</w:t>
                            </w:r>
                            <w:r w:rsidR="00DB7825" w:rsidRPr="00744A1A">
                              <w:rPr>
                                <w:rFonts w:eastAsia="Arial" w:cs="Arial"/>
                                <w:color w:val="000000"/>
                                <w:sz w:val="22"/>
                              </w:rPr>
                              <w:t xml:space="preserve"> after the patient has been treated for 3 months and with satisfactory investigation results for at least 4 weeks.</w:t>
                            </w:r>
                            <w:r w:rsidR="00DB7825">
                              <w:rPr>
                                <w:rFonts w:eastAsia="Arial" w:cs="Arial"/>
                                <w:color w:val="000000"/>
                                <w:sz w:val="22"/>
                              </w:rPr>
                              <w:t>’</w:t>
                            </w:r>
                            <w:r w:rsidR="00DB7825" w:rsidRPr="00004070">
                              <w:rPr>
                                <w:rFonts w:eastAsia="Arial" w:cs="Arial"/>
                                <w:color w:val="000000"/>
                                <w:szCs w:val="24"/>
                              </w:rPr>
                              <w:t xml:space="preserve"> </w:t>
                            </w:r>
                            <w:r>
                              <w:rPr>
                                <w:rFonts w:eastAsia="Arial" w:cs="Arial"/>
                                <w:color w:val="000000"/>
                                <w:sz w:val="22"/>
                              </w:rPr>
                              <w:t>This is to highlight that t</w:t>
                            </w:r>
                            <w:r w:rsidRPr="0042420D">
                              <w:rPr>
                                <w:rFonts w:eastAsia="Arial" w:cs="Arial"/>
                                <w:color w:val="000000"/>
                                <w:sz w:val="22"/>
                              </w:rPr>
                              <w:t>ransfer to primary care is after the patient has been treated for</w:t>
                            </w:r>
                            <w:r>
                              <w:rPr>
                                <w:rFonts w:eastAsia="Arial" w:cs="Arial"/>
                                <w:color w:val="000000"/>
                                <w:sz w:val="22"/>
                              </w:rPr>
                              <w:t xml:space="preserve"> a minimum of</w:t>
                            </w:r>
                            <w:r w:rsidRPr="0042420D">
                              <w:rPr>
                                <w:rFonts w:eastAsia="Arial" w:cs="Arial"/>
                                <w:color w:val="000000"/>
                                <w:sz w:val="22"/>
                              </w:rPr>
                              <w:t xml:space="preserve"> 3 months and with satisfactory investigation results for at least 4 weeks</w:t>
                            </w:r>
                            <w:r>
                              <w:rPr>
                                <w:rFonts w:eastAsia="Arial" w:cs="Arial"/>
                                <w:color w:val="000000"/>
                                <w:sz w:val="22"/>
                              </w:rPr>
                              <w:t xml:space="preserve">. </w:t>
                            </w:r>
                          </w:p>
                          <w:p w14:paraId="7852B0F6" w14:textId="2CA6A683" w:rsidR="005D30E8" w:rsidRPr="00E25F16" w:rsidRDefault="00C414FE" w:rsidP="00D314C4">
                            <w:pPr>
                              <w:pStyle w:val="ListParagraph"/>
                              <w:numPr>
                                <w:ilvl w:val="0"/>
                                <w:numId w:val="40"/>
                              </w:numPr>
                              <w:autoSpaceDE w:val="0"/>
                              <w:autoSpaceDN w:val="0"/>
                              <w:adjustRightInd w:val="0"/>
                              <w:spacing w:before="60"/>
                              <w:rPr>
                                <w:sz w:val="20"/>
                                <w:szCs w:val="20"/>
                              </w:rPr>
                            </w:pPr>
                            <w:bookmarkStart w:id="0" w:name="_Hlk124942886"/>
                            <w:r w:rsidRPr="00016530">
                              <w:rPr>
                                <w:rFonts w:eastAsia="Times New Roman" w:cs="Arial"/>
                                <w:sz w:val="22"/>
                                <w:lang w:eastAsia="en-GB"/>
                              </w:rPr>
                              <w:t xml:space="preserve">To reiterate, as stated in </w:t>
                            </w:r>
                            <w:hyperlink w:anchor="_Baseline_investigations,_initial" w:history="1">
                              <w:r w:rsidRPr="00016530">
                                <w:rPr>
                                  <w:rStyle w:val="Hyperlink"/>
                                  <w:rFonts w:eastAsia="Times New Roman" w:cs="Arial"/>
                                  <w:sz w:val="22"/>
                                  <w:lang w:eastAsia="en-GB"/>
                                </w:rPr>
                                <w:t>section 8</w:t>
                              </w:r>
                            </w:hyperlink>
                            <w:r w:rsidRPr="00016530">
                              <w:rPr>
                                <w:rFonts w:eastAsia="Times New Roman" w:cs="Arial"/>
                                <w:sz w:val="22"/>
                                <w:lang w:eastAsia="en-GB"/>
                              </w:rPr>
                              <w:t xml:space="preserve">: </w:t>
                            </w:r>
                            <w:bookmarkEnd w:id="0"/>
                            <w:r w:rsidRPr="00016530">
                              <w:rPr>
                                <w:rFonts w:eastAsia="Times New Roman" w:cs="Arial"/>
                                <w:sz w:val="22"/>
                                <w:lang w:eastAsia="en-GB"/>
                              </w:rPr>
                              <w:t>‘The specialist will retain the responsibility for monitoring the patient’s ongoing response to treatment and advise if a dose change or treatment cessation is appropriate. This should usually be undertaken annually.</w:t>
                            </w:r>
                            <w:r w:rsidR="00347046" w:rsidRPr="00016530">
                              <w:rPr>
                                <w:rFonts w:eastAsia="Times New Roman" w:cs="Arial"/>
                                <w:sz w:val="22"/>
                                <w:lang w:eastAsia="en-GB"/>
                              </w:rPr>
                              <w:t xml:space="preserve"> When a patient is reviewed, advise primary care whether treatment should be continued and for how long, confirm the ongoing dose, and whether the ongoing monitoring outlined in </w:t>
                            </w:r>
                            <w:hyperlink w:anchor="Nine_primary_care_monitoring" w:history="1">
                              <w:r w:rsidR="00347046" w:rsidRPr="00016530">
                                <w:rPr>
                                  <w:rStyle w:val="Hyperlink"/>
                                  <w:rFonts w:eastAsia="Times New Roman" w:cs="Arial"/>
                                  <w:sz w:val="22"/>
                                  <w:lang w:eastAsia="en-GB"/>
                                </w:rPr>
                                <w:t>section 9</w:t>
                              </w:r>
                            </w:hyperlink>
                            <w:r w:rsidR="00347046" w:rsidRPr="00016530">
                              <w:rPr>
                                <w:rFonts w:eastAsia="Times New Roman" w:cs="Arial"/>
                                <w:sz w:val="22"/>
                                <w:lang w:eastAsia="en-GB"/>
                              </w:rPr>
                              <w:t xml:space="preserve"> remains appropriate.</w:t>
                            </w:r>
                            <w:r w:rsidR="00016530" w:rsidRPr="00016530">
                              <w:rPr>
                                <w:rFonts w:eastAsia="Times New Roman" w:cs="Arial"/>
                                <w:sz w:val="22"/>
                                <w:lang w:eastAsia="en-GB"/>
                              </w:rPr>
                              <w:t>’</w:t>
                            </w:r>
                            <w:r w:rsidR="005D30E8" w:rsidRPr="00016530">
                              <w:rPr>
                                <w:rFonts w:eastAsia="Arial" w:cs="Arial"/>
                                <w:color w:val="000000" w:themeColor="text1"/>
                                <w:sz w:val="22"/>
                              </w:rPr>
                              <w:t xml:space="preserve"> </w:t>
                            </w:r>
                          </w:p>
                          <w:p w14:paraId="0A0967C4" w14:textId="77777777" w:rsidR="00E25F16" w:rsidRDefault="00E25F16" w:rsidP="00E25F16">
                            <w:pPr>
                              <w:pStyle w:val="ListParagraph"/>
                              <w:autoSpaceDE w:val="0"/>
                              <w:autoSpaceDN w:val="0"/>
                              <w:adjustRightInd w:val="0"/>
                              <w:spacing w:before="60"/>
                              <w:rPr>
                                <w:rFonts w:eastAsia="Arial" w:cs="Arial"/>
                                <w:color w:val="000000" w:themeColor="text1"/>
                                <w:sz w:val="22"/>
                              </w:rPr>
                            </w:pPr>
                          </w:p>
                          <w:p w14:paraId="210E140B" w14:textId="77777777" w:rsidR="00E25F16" w:rsidRPr="00E25F16" w:rsidRDefault="00E25F16" w:rsidP="00E25F16">
                            <w:pPr>
                              <w:pStyle w:val="ListParagraph"/>
                              <w:autoSpaceDE w:val="0"/>
                              <w:autoSpaceDN w:val="0"/>
                              <w:adjustRightInd w:val="0"/>
                              <w:spacing w:before="60" w:after="0" w:line="240" w:lineRule="auto"/>
                              <w:rPr>
                                <w:b/>
                                <w:bCs/>
                                <w:sz w:val="22"/>
                              </w:rPr>
                            </w:pPr>
                            <w:r w:rsidRPr="00E25F16">
                              <w:rPr>
                                <w:b/>
                                <w:bCs/>
                                <w:sz w:val="22"/>
                              </w:rPr>
                              <w:t>Version Control History</w:t>
                            </w:r>
                          </w:p>
                          <w:p w14:paraId="34239C46" w14:textId="77777777" w:rsidR="00E25F16" w:rsidRPr="00E25F16" w:rsidRDefault="00E25F16" w:rsidP="00E25F16">
                            <w:pPr>
                              <w:pStyle w:val="ListParagraph"/>
                              <w:autoSpaceDE w:val="0"/>
                              <w:autoSpaceDN w:val="0"/>
                              <w:adjustRightInd w:val="0"/>
                              <w:spacing w:before="60" w:after="0" w:line="240" w:lineRule="auto"/>
                              <w:rPr>
                                <w:sz w:val="22"/>
                              </w:rPr>
                            </w:pPr>
                            <w:r w:rsidRPr="00E25F16">
                              <w:rPr>
                                <w:sz w:val="22"/>
                              </w:rPr>
                              <w:t>Date: 15</w:t>
                            </w:r>
                            <w:r w:rsidRPr="00E25F16">
                              <w:rPr>
                                <w:sz w:val="22"/>
                                <w:vertAlign w:val="superscript"/>
                              </w:rPr>
                              <w:t>th</w:t>
                            </w:r>
                            <w:r w:rsidRPr="00E25F16">
                              <w:rPr>
                                <w:sz w:val="22"/>
                              </w:rPr>
                              <w:t xml:space="preserve"> February 2023, updated January 25</w:t>
                            </w:r>
                          </w:p>
                          <w:p w14:paraId="552EFEB2" w14:textId="77777777" w:rsidR="00E25F16" w:rsidRPr="00E25F16" w:rsidRDefault="00E25F16" w:rsidP="00E25F16">
                            <w:pPr>
                              <w:pStyle w:val="ListParagraph"/>
                              <w:autoSpaceDE w:val="0"/>
                              <w:autoSpaceDN w:val="0"/>
                              <w:adjustRightInd w:val="0"/>
                              <w:spacing w:before="60" w:after="0" w:line="240" w:lineRule="auto"/>
                              <w:rPr>
                                <w:sz w:val="22"/>
                              </w:rPr>
                            </w:pPr>
                            <w:r w:rsidRPr="00E25F16">
                              <w:rPr>
                                <w:sz w:val="22"/>
                              </w:rPr>
                              <w:t>Version: 1.1</w:t>
                            </w:r>
                          </w:p>
                          <w:p w14:paraId="06EDE7A2" w14:textId="77777777" w:rsidR="00E25F16" w:rsidRPr="00E25F16" w:rsidRDefault="00E25F16" w:rsidP="00E25F16">
                            <w:pPr>
                              <w:pStyle w:val="ListParagraph"/>
                              <w:autoSpaceDE w:val="0"/>
                              <w:autoSpaceDN w:val="0"/>
                              <w:adjustRightInd w:val="0"/>
                              <w:spacing w:before="60" w:after="0" w:line="240" w:lineRule="auto"/>
                              <w:rPr>
                                <w:sz w:val="22"/>
                              </w:rPr>
                            </w:pPr>
                            <w:r w:rsidRPr="00E25F16">
                              <w:rPr>
                                <w:sz w:val="22"/>
                              </w:rPr>
                              <w:t>Type of change: Minor</w:t>
                            </w:r>
                          </w:p>
                          <w:p w14:paraId="6FDBD3B7" w14:textId="77777777" w:rsidR="00E25F16" w:rsidRPr="00E25F16" w:rsidRDefault="00E25F16" w:rsidP="00E25F16">
                            <w:pPr>
                              <w:pStyle w:val="ListParagraph"/>
                              <w:autoSpaceDE w:val="0"/>
                              <w:autoSpaceDN w:val="0"/>
                              <w:adjustRightInd w:val="0"/>
                              <w:spacing w:before="60" w:after="0" w:line="240" w:lineRule="auto"/>
                              <w:rPr>
                                <w:sz w:val="22"/>
                              </w:rPr>
                            </w:pPr>
                            <w:r w:rsidRPr="00E25F16">
                              <w:rPr>
                                <w:sz w:val="22"/>
                              </w:rPr>
                              <w:t>Summary of change: Review date extended to February 26</w:t>
                            </w:r>
                          </w:p>
                          <w:p w14:paraId="69C91C5C" w14:textId="77777777" w:rsidR="00E25F16" w:rsidRPr="00016530" w:rsidRDefault="00E25F16" w:rsidP="00E25F16">
                            <w:pPr>
                              <w:pStyle w:val="ListParagraph"/>
                              <w:autoSpaceDE w:val="0"/>
                              <w:autoSpaceDN w:val="0"/>
                              <w:adjustRightInd w:val="0"/>
                              <w:spacing w:before="6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920BF" id="_x0000_t202" coordsize="21600,21600" o:spt="202" path="m,l,21600r21600,l21600,xe">
                <v:stroke joinstyle="miter"/>
                <v:path gradientshapeok="t" o:connecttype="rect"/>
              </v:shapetype>
              <v:shape id="_x0000_s1026" type="#_x0000_t202" style="position:absolute;left:0;text-align:left;margin-left:0;margin-top:24.3pt;width:525pt;height:426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" filled="f" strokecolor="#00b050" strokeweight="3pt">
                <v:textbox>
                  <w:txbxContent>
                    <w:p w14:paraId="4F3F3438" w14:textId="77777777" w:rsidR="005D30E8" w:rsidRDefault="005D30E8" w:rsidP="005D30E8">
                      <w:pPr>
                        <w:jc w:val="right"/>
                      </w:pPr>
                    </w:p>
                    <w:p w14:paraId="46C33763" w14:textId="77777777" w:rsidR="005D30E8" w:rsidRDefault="005D30E8" w:rsidP="005D30E8">
                      <w:pPr>
                        <w:spacing w:line="20" w:lineRule="atLeast"/>
                        <w:rPr>
                          <w:rFonts w:cs="Arial"/>
                          <w:b/>
                          <w:bCs/>
                          <w:sz w:val="22"/>
                        </w:rPr>
                      </w:pPr>
                    </w:p>
                    <w:p w14:paraId="4A30B226" w14:textId="2BE6DDEA" w:rsidR="005D30E8" w:rsidRPr="000354F0" w:rsidRDefault="00F54C28" w:rsidP="005D30E8">
                      <w:pPr>
                        <w:spacing w:line="20" w:lineRule="atLeast"/>
                        <w:rPr>
                          <w:rFonts w:cstheme="minorHAnsi"/>
                          <w:b/>
                          <w:bCs/>
                          <w:color w:val="005EB8"/>
                          <w:sz w:val="28"/>
                        </w:rPr>
                      </w:pPr>
                      <w:r w:rsidRPr="000354F0">
                        <w:rPr>
                          <w:rFonts w:cstheme="minorHAnsi"/>
                          <w:b/>
                          <w:bCs/>
                          <w:color w:val="005EB8"/>
                          <w:sz w:val="28"/>
                        </w:rPr>
                        <w:t>SWL</w:t>
                      </w:r>
                      <w:r w:rsidR="005D30E8" w:rsidRPr="000354F0">
                        <w:rPr>
                          <w:rFonts w:cstheme="minorHAnsi"/>
                          <w:b/>
                          <w:bCs/>
                          <w:color w:val="005EB8"/>
                          <w:sz w:val="28"/>
                        </w:rPr>
                        <w:t xml:space="preserve"> L</w:t>
                      </w:r>
                      <w:r w:rsidR="000354F0">
                        <w:rPr>
                          <w:rFonts w:cstheme="minorHAnsi"/>
                          <w:b/>
                          <w:bCs/>
                          <w:color w:val="005EB8"/>
                          <w:sz w:val="28"/>
                        </w:rPr>
                        <w:t>ocal</w:t>
                      </w:r>
                      <w:r w:rsidR="005D30E8" w:rsidRPr="000354F0">
                        <w:rPr>
                          <w:rFonts w:cstheme="minorHAnsi"/>
                          <w:b/>
                          <w:bCs/>
                          <w:color w:val="005EB8"/>
                          <w:sz w:val="28"/>
                        </w:rPr>
                        <w:t xml:space="preserve"> A</w:t>
                      </w:r>
                      <w:r w:rsidR="000354F0">
                        <w:rPr>
                          <w:rFonts w:cstheme="minorHAnsi"/>
                          <w:b/>
                          <w:bCs/>
                          <w:color w:val="005EB8"/>
                          <w:sz w:val="28"/>
                        </w:rPr>
                        <w:t>daptation</w:t>
                      </w:r>
                    </w:p>
                    <w:p w14:paraId="2868C717" w14:textId="77777777" w:rsidR="00C414FE" w:rsidRPr="008F6FD4" w:rsidRDefault="00C414FE" w:rsidP="005D30E8">
                      <w:pPr>
                        <w:spacing w:line="20" w:lineRule="atLeast"/>
                        <w:rPr>
                          <w:rFonts w:cs="Arial"/>
                          <w:b/>
                          <w:bCs/>
                          <w:sz w:val="22"/>
                        </w:rPr>
                      </w:pPr>
                    </w:p>
                    <w:p w14:paraId="492F25D5" w14:textId="79A58050" w:rsidR="005D30E8" w:rsidRDefault="00F54C28" w:rsidP="005D30E8">
                      <w:pPr>
                        <w:rPr>
                          <w:rFonts w:cs="Arial"/>
                          <w:b/>
                          <w:bCs/>
                          <w:sz w:val="22"/>
                        </w:rPr>
                      </w:pPr>
                      <w:r>
                        <w:rPr>
                          <w:rFonts w:cs="Arial"/>
                          <w:b/>
                          <w:bCs/>
                          <w:sz w:val="22"/>
                        </w:rPr>
                        <w:t>November</w:t>
                      </w:r>
                      <w:r w:rsidR="005D30E8">
                        <w:rPr>
                          <w:rFonts w:cs="Arial"/>
                          <w:b/>
                          <w:bCs/>
                          <w:sz w:val="22"/>
                        </w:rPr>
                        <w:t xml:space="preserve"> 202</w:t>
                      </w:r>
                      <w:r>
                        <w:rPr>
                          <w:rFonts w:cs="Arial"/>
                          <w:b/>
                          <w:bCs/>
                          <w:sz w:val="22"/>
                        </w:rPr>
                        <w:t>2</w:t>
                      </w:r>
                    </w:p>
                    <w:p w14:paraId="009DF514" w14:textId="77777777" w:rsidR="00C414FE" w:rsidRDefault="00C414FE" w:rsidP="005D30E8">
                      <w:pPr>
                        <w:rPr>
                          <w:rFonts w:cs="Arial"/>
                          <w:b/>
                          <w:bCs/>
                          <w:sz w:val="22"/>
                        </w:rPr>
                      </w:pPr>
                    </w:p>
                    <w:p w14:paraId="30CB47E7" w14:textId="10D028FD" w:rsidR="005D30E8" w:rsidRDefault="005D30E8" w:rsidP="005D30E8">
                      <w:pPr>
                        <w:rPr>
                          <w:rStyle w:val="Hyperlink"/>
                          <w:rFonts w:cs="Arial"/>
                          <w:sz w:val="22"/>
                          <w:lang w:eastAsia="en-GB"/>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5D30E8">
                          <w:rPr>
                            <w:rStyle w:val="Hyperlink"/>
                            <w:rFonts w:cs="Arial"/>
                            <w:sz w:val="22"/>
                            <w:lang w:eastAsia="en-GB"/>
                          </w:rPr>
                          <w:t>Locally agreed off-label use</w:t>
                        </w:r>
                      </w:hyperlink>
                    </w:p>
                    <w:p w14:paraId="01923580" w14:textId="2A12DFE4" w:rsidR="005D30E8" w:rsidRPr="00C414FE" w:rsidRDefault="005D30E8" w:rsidP="005D30E8">
                      <w:pPr>
                        <w:pStyle w:val="ListParagraph"/>
                        <w:numPr>
                          <w:ilvl w:val="0"/>
                          <w:numId w:val="40"/>
                        </w:numPr>
                        <w:spacing w:before="60"/>
                        <w:rPr>
                          <w:rFonts w:eastAsia="Arial" w:cs="Arial"/>
                          <w:sz w:val="22"/>
                        </w:rPr>
                      </w:pPr>
                      <w:r>
                        <w:rPr>
                          <w:rFonts w:eastAsia="Arial" w:cs="Arial"/>
                          <w:color w:val="000000"/>
                          <w:sz w:val="22"/>
                        </w:rPr>
                        <w:t xml:space="preserve">The word ‘normally’ under </w:t>
                      </w:r>
                      <w:hyperlink w:anchor="_Specialist_responsibilities" w:history="1">
                        <w:r w:rsidRPr="005D30E8">
                          <w:rPr>
                            <w:rStyle w:val="Hyperlink"/>
                            <w:rFonts w:eastAsia="Arial" w:cs="Arial"/>
                            <w:sz w:val="22"/>
                          </w:rPr>
                          <w:t>specialist responsibilities</w:t>
                        </w:r>
                      </w:hyperlink>
                      <w:r>
                        <w:rPr>
                          <w:rFonts w:eastAsia="Arial" w:cs="Arial"/>
                          <w:color w:val="000000"/>
                          <w:sz w:val="22"/>
                        </w:rPr>
                        <w:t xml:space="preserve"> section bullet point 5 and</w:t>
                      </w:r>
                      <w:r w:rsidR="00C414FE">
                        <w:rPr>
                          <w:rFonts w:eastAsia="Arial" w:cs="Arial"/>
                          <w:color w:val="000000"/>
                          <w:sz w:val="22"/>
                        </w:rPr>
                        <w:t xml:space="preserve"> in</w:t>
                      </w:r>
                      <w:r>
                        <w:rPr>
                          <w:rFonts w:eastAsia="Arial" w:cs="Arial"/>
                          <w:color w:val="000000"/>
                          <w:sz w:val="22"/>
                        </w:rPr>
                        <w:t xml:space="preserve"> </w:t>
                      </w:r>
                      <w:hyperlink w:anchor="_Initiation_and_ongoing" w:history="1">
                        <w:r w:rsidRPr="005D30E8">
                          <w:rPr>
                            <w:rStyle w:val="Hyperlink"/>
                            <w:rFonts w:eastAsia="Arial" w:cs="Arial"/>
                            <w:sz w:val="22"/>
                          </w:rPr>
                          <w:t>section 5</w:t>
                        </w:r>
                      </w:hyperlink>
                      <w:r>
                        <w:rPr>
                          <w:rFonts w:eastAsia="Arial" w:cs="Arial"/>
                          <w:color w:val="000000"/>
                          <w:sz w:val="22"/>
                        </w:rPr>
                        <w:t>, first bullet point</w:t>
                      </w:r>
                      <w:r w:rsidR="00C414FE">
                        <w:rPr>
                          <w:rFonts w:eastAsia="Arial" w:cs="Arial"/>
                          <w:color w:val="000000"/>
                          <w:sz w:val="22"/>
                        </w:rPr>
                        <w:t>,</w:t>
                      </w:r>
                      <w:r>
                        <w:rPr>
                          <w:rFonts w:eastAsia="Arial" w:cs="Arial"/>
                          <w:color w:val="000000"/>
                          <w:sz w:val="22"/>
                        </w:rPr>
                        <w:t xml:space="preserve"> has been deleted</w:t>
                      </w:r>
                      <w:r w:rsidR="00DB7825">
                        <w:rPr>
                          <w:rFonts w:eastAsia="Arial" w:cs="Arial"/>
                          <w:color w:val="000000"/>
                          <w:sz w:val="22"/>
                        </w:rPr>
                        <w:t>: ‘</w:t>
                      </w:r>
                      <w:r w:rsidR="00DB7825" w:rsidRPr="00744A1A">
                        <w:rPr>
                          <w:rFonts w:eastAsia="Arial" w:cs="Arial"/>
                          <w:color w:val="000000"/>
                          <w:sz w:val="22"/>
                        </w:rPr>
                        <w:t xml:space="preserve">Transfer to primary care is </w:t>
                      </w:r>
                      <w:r w:rsidR="00DB7825" w:rsidRPr="00744A1A">
                        <w:rPr>
                          <w:rFonts w:eastAsia="Arial" w:cs="Arial"/>
                          <w:strike/>
                          <w:color w:val="000000"/>
                          <w:sz w:val="22"/>
                        </w:rPr>
                        <w:t>normally</w:t>
                      </w:r>
                      <w:r w:rsidR="00DB7825" w:rsidRPr="00744A1A">
                        <w:rPr>
                          <w:rFonts w:eastAsia="Arial" w:cs="Arial"/>
                          <w:color w:val="000000"/>
                          <w:sz w:val="22"/>
                        </w:rPr>
                        <w:t xml:space="preserve"> after the patient has been treated for 3 months and with satisfactory investigation results for at least 4 weeks.</w:t>
                      </w:r>
                      <w:r w:rsidR="00DB7825">
                        <w:rPr>
                          <w:rFonts w:eastAsia="Arial" w:cs="Arial"/>
                          <w:color w:val="000000"/>
                          <w:sz w:val="22"/>
                        </w:rPr>
                        <w:t>’</w:t>
                      </w:r>
                      <w:r w:rsidR="00DB7825" w:rsidRPr="00004070">
                        <w:rPr>
                          <w:rFonts w:eastAsia="Arial" w:cs="Arial"/>
                          <w:color w:val="000000"/>
                          <w:szCs w:val="24"/>
                        </w:rPr>
                        <w:t xml:space="preserve"> </w:t>
                      </w:r>
                      <w:r>
                        <w:rPr>
                          <w:rFonts w:eastAsia="Arial" w:cs="Arial"/>
                          <w:color w:val="000000"/>
                          <w:sz w:val="22"/>
                        </w:rPr>
                        <w:t>This is to highlight that t</w:t>
                      </w:r>
                      <w:r w:rsidRPr="0042420D">
                        <w:rPr>
                          <w:rFonts w:eastAsia="Arial" w:cs="Arial"/>
                          <w:color w:val="000000"/>
                          <w:sz w:val="22"/>
                        </w:rPr>
                        <w:t>ransfer to primary care is after the patient has been treated for</w:t>
                      </w:r>
                      <w:r>
                        <w:rPr>
                          <w:rFonts w:eastAsia="Arial" w:cs="Arial"/>
                          <w:color w:val="000000"/>
                          <w:sz w:val="22"/>
                        </w:rPr>
                        <w:t xml:space="preserve"> a minimum of</w:t>
                      </w:r>
                      <w:r w:rsidRPr="0042420D">
                        <w:rPr>
                          <w:rFonts w:eastAsia="Arial" w:cs="Arial"/>
                          <w:color w:val="000000"/>
                          <w:sz w:val="22"/>
                        </w:rPr>
                        <w:t xml:space="preserve"> 3 months and with satisfactory investigation results for at least 4 weeks</w:t>
                      </w:r>
                      <w:r>
                        <w:rPr>
                          <w:rFonts w:eastAsia="Arial" w:cs="Arial"/>
                          <w:color w:val="000000"/>
                          <w:sz w:val="22"/>
                        </w:rPr>
                        <w:t xml:space="preserve">. </w:t>
                      </w:r>
                    </w:p>
                    <w:p w14:paraId="7852B0F6" w14:textId="2CA6A683" w:rsidR="005D30E8" w:rsidRPr="00E25F16" w:rsidRDefault="00C414FE" w:rsidP="00D314C4">
                      <w:pPr>
                        <w:pStyle w:val="ListParagraph"/>
                        <w:numPr>
                          <w:ilvl w:val="0"/>
                          <w:numId w:val="40"/>
                        </w:numPr>
                        <w:autoSpaceDE w:val="0"/>
                        <w:autoSpaceDN w:val="0"/>
                        <w:adjustRightInd w:val="0"/>
                        <w:spacing w:before="60"/>
                        <w:rPr>
                          <w:sz w:val="20"/>
                          <w:szCs w:val="20"/>
                        </w:rPr>
                      </w:pPr>
                      <w:bookmarkStart w:id="1" w:name="_Hlk124942886"/>
                      <w:r w:rsidRPr="00016530">
                        <w:rPr>
                          <w:rFonts w:eastAsia="Times New Roman" w:cs="Arial"/>
                          <w:sz w:val="22"/>
                          <w:lang w:eastAsia="en-GB"/>
                        </w:rPr>
                        <w:t xml:space="preserve">To reiterate, as stated in </w:t>
                      </w:r>
                      <w:hyperlink w:anchor="_Baseline_investigations,_initial" w:history="1">
                        <w:r w:rsidRPr="00016530">
                          <w:rPr>
                            <w:rStyle w:val="Hyperlink"/>
                            <w:rFonts w:eastAsia="Times New Roman" w:cs="Arial"/>
                            <w:sz w:val="22"/>
                            <w:lang w:eastAsia="en-GB"/>
                          </w:rPr>
                          <w:t>section 8</w:t>
                        </w:r>
                      </w:hyperlink>
                      <w:r w:rsidRPr="00016530">
                        <w:rPr>
                          <w:rFonts w:eastAsia="Times New Roman" w:cs="Arial"/>
                          <w:sz w:val="22"/>
                          <w:lang w:eastAsia="en-GB"/>
                        </w:rPr>
                        <w:t xml:space="preserve">: </w:t>
                      </w:r>
                      <w:bookmarkEnd w:id="1"/>
                      <w:r w:rsidRPr="00016530">
                        <w:rPr>
                          <w:rFonts w:eastAsia="Times New Roman" w:cs="Arial"/>
                          <w:sz w:val="22"/>
                          <w:lang w:eastAsia="en-GB"/>
                        </w:rPr>
                        <w:t>‘The specialist will retain the responsibility for monitoring the patient’s ongoing response to treatment and advise if a dose change or treatment cessation is appropriate. This should usually be undertaken annually.</w:t>
                      </w:r>
                      <w:r w:rsidR="00347046" w:rsidRPr="00016530">
                        <w:rPr>
                          <w:rFonts w:eastAsia="Times New Roman" w:cs="Arial"/>
                          <w:sz w:val="22"/>
                          <w:lang w:eastAsia="en-GB"/>
                        </w:rPr>
                        <w:t xml:space="preserve"> When a patient is reviewed, advise primary care whether treatment should be continued and for how long, confirm the ongoing dose, and whether the ongoing monitoring outlined in </w:t>
                      </w:r>
                      <w:hyperlink w:anchor="Nine_primary_care_monitoring" w:history="1">
                        <w:r w:rsidR="00347046" w:rsidRPr="00016530">
                          <w:rPr>
                            <w:rStyle w:val="Hyperlink"/>
                            <w:rFonts w:eastAsia="Times New Roman" w:cs="Arial"/>
                            <w:sz w:val="22"/>
                            <w:lang w:eastAsia="en-GB"/>
                          </w:rPr>
                          <w:t>section 9</w:t>
                        </w:r>
                      </w:hyperlink>
                      <w:r w:rsidR="00347046" w:rsidRPr="00016530">
                        <w:rPr>
                          <w:rFonts w:eastAsia="Times New Roman" w:cs="Arial"/>
                          <w:sz w:val="22"/>
                          <w:lang w:eastAsia="en-GB"/>
                        </w:rPr>
                        <w:t xml:space="preserve"> remains appropriate.</w:t>
                      </w:r>
                      <w:r w:rsidR="00016530" w:rsidRPr="00016530">
                        <w:rPr>
                          <w:rFonts w:eastAsia="Times New Roman" w:cs="Arial"/>
                          <w:sz w:val="22"/>
                          <w:lang w:eastAsia="en-GB"/>
                        </w:rPr>
                        <w:t>’</w:t>
                      </w:r>
                      <w:r w:rsidR="005D30E8" w:rsidRPr="00016530">
                        <w:rPr>
                          <w:rFonts w:eastAsia="Arial" w:cs="Arial"/>
                          <w:color w:val="000000" w:themeColor="text1"/>
                          <w:sz w:val="22"/>
                        </w:rPr>
                        <w:t xml:space="preserve"> </w:t>
                      </w:r>
                    </w:p>
                    <w:p w14:paraId="0A0967C4" w14:textId="77777777" w:rsidR="00E25F16" w:rsidRDefault="00E25F16" w:rsidP="00E25F16">
                      <w:pPr>
                        <w:pStyle w:val="ListParagraph"/>
                        <w:autoSpaceDE w:val="0"/>
                        <w:autoSpaceDN w:val="0"/>
                        <w:adjustRightInd w:val="0"/>
                        <w:spacing w:before="60"/>
                        <w:rPr>
                          <w:rFonts w:eastAsia="Arial" w:cs="Arial"/>
                          <w:color w:val="000000" w:themeColor="text1"/>
                          <w:sz w:val="22"/>
                        </w:rPr>
                      </w:pPr>
                    </w:p>
                    <w:p w14:paraId="210E140B" w14:textId="77777777" w:rsidR="00E25F16" w:rsidRPr="00E25F16" w:rsidRDefault="00E25F16" w:rsidP="00E25F16">
                      <w:pPr>
                        <w:pStyle w:val="ListParagraph"/>
                        <w:autoSpaceDE w:val="0"/>
                        <w:autoSpaceDN w:val="0"/>
                        <w:adjustRightInd w:val="0"/>
                        <w:spacing w:before="60" w:after="0" w:line="240" w:lineRule="auto"/>
                        <w:rPr>
                          <w:b/>
                          <w:bCs/>
                          <w:sz w:val="22"/>
                        </w:rPr>
                      </w:pPr>
                      <w:r w:rsidRPr="00E25F16">
                        <w:rPr>
                          <w:b/>
                          <w:bCs/>
                          <w:sz w:val="22"/>
                        </w:rPr>
                        <w:t>Version Control History</w:t>
                      </w:r>
                    </w:p>
                    <w:p w14:paraId="34239C46" w14:textId="77777777" w:rsidR="00E25F16" w:rsidRPr="00E25F16" w:rsidRDefault="00E25F16" w:rsidP="00E25F16">
                      <w:pPr>
                        <w:pStyle w:val="ListParagraph"/>
                        <w:autoSpaceDE w:val="0"/>
                        <w:autoSpaceDN w:val="0"/>
                        <w:adjustRightInd w:val="0"/>
                        <w:spacing w:before="60" w:after="0" w:line="240" w:lineRule="auto"/>
                        <w:rPr>
                          <w:sz w:val="22"/>
                        </w:rPr>
                      </w:pPr>
                      <w:r w:rsidRPr="00E25F16">
                        <w:rPr>
                          <w:sz w:val="22"/>
                        </w:rPr>
                        <w:t>Date: 15</w:t>
                      </w:r>
                      <w:r w:rsidRPr="00E25F16">
                        <w:rPr>
                          <w:sz w:val="22"/>
                          <w:vertAlign w:val="superscript"/>
                        </w:rPr>
                        <w:t>th</w:t>
                      </w:r>
                      <w:r w:rsidRPr="00E25F16">
                        <w:rPr>
                          <w:sz w:val="22"/>
                        </w:rPr>
                        <w:t xml:space="preserve"> February 2023, updated January 25</w:t>
                      </w:r>
                    </w:p>
                    <w:p w14:paraId="552EFEB2" w14:textId="77777777" w:rsidR="00E25F16" w:rsidRPr="00E25F16" w:rsidRDefault="00E25F16" w:rsidP="00E25F16">
                      <w:pPr>
                        <w:pStyle w:val="ListParagraph"/>
                        <w:autoSpaceDE w:val="0"/>
                        <w:autoSpaceDN w:val="0"/>
                        <w:adjustRightInd w:val="0"/>
                        <w:spacing w:before="60" w:after="0" w:line="240" w:lineRule="auto"/>
                        <w:rPr>
                          <w:sz w:val="22"/>
                        </w:rPr>
                      </w:pPr>
                      <w:r w:rsidRPr="00E25F16">
                        <w:rPr>
                          <w:sz w:val="22"/>
                        </w:rPr>
                        <w:t>Version: 1.1</w:t>
                      </w:r>
                    </w:p>
                    <w:p w14:paraId="06EDE7A2" w14:textId="77777777" w:rsidR="00E25F16" w:rsidRPr="00E25F16" w:rsidRDefault="00E25F16" w:rsidP="00E25F16">
                      <w:pPr>
                        <w:pStyle w:val="ListParagraph"/>
                        <w:autoSpaceDE w:val="0"/>
                        <w:autoSpaceDN w:val="0"/>
                        <w:adjustRightInd w:val="0"/>
                        <w:spacing w:before="60" w:after="0" w:line="240" w:lineRule="auto"/>
                        <w:rPr>
                          <w:sz w:val="22"/>
                        </w:rPr>
                      </w:pPr>
                      <w:r w:rsidRPr="00E25F16">
                        <w:rPr>
                          <w:sz w:val="22"/>
                        </w:rPr>
                        <w:t>Type of change: Minor</w:t>
                      </w:r>
                    </w:p>
                    <w:p w14:paraId="6FDBD3B7" w14:textId="77777777" w:rsidR="00E25F16" w:rsidRPr="00E25F16" w:rsidRDefault="00E25F16" w:rsidP="00E25F16">
                      <w:pPr>
                        <w:pStyle w:val="ListParagraph"/>
                        <w:autoSpaceDE w:val="0"/>
                        <w:autoSpaceDN w:val="0"/>
                        <w:adjustRightInd w:val="0"/>
                        <w:spacing w:before="60" w:after="0" w:line="240" w:lineRule="auto"/>
                        <w:rPr>
                          <w:sz w:val="22"/>
                        </w:rPr>
                      </w:pPr>
                      <w:r w:rsidRPr="00E25F16">
                        <w:rPr>
                          <w:sz w:val="22"/>
                        </w:rPr>
                        <w:t>Summary of change: Review date extended to February 26</w:t>
                      </w:r>
                    </w:p>
                    <w:p w14:paraId="69C91C5C" w14:textId="77777777" w:rsidR="00E25F16" w:rsidRPr="00016530" w:rsidRDefault="00E25F16" w:rsidP="00E25F16">
                      <w:pPr>
                        <w:pStyle w:val="ListParagraph"/>
                        <w:autoSpaceDE w:val="0"/>
                        <w:autoSpaceDN w:val="0"/>
                        <w:adjustRightInd w:val="0"/>
                        <w:spacing w:before="60"/>
                        <w:rPr>
                          <w:sz w:val="20"/>
                          <w:szCs w:val="20"/>
                        </w:rPr>
                      </w:pPr>
                    </w:p>
                  </w:txbxContent>
                </v:textbox>
                <w10:wrap type="square" anchorx="margin"/>
              </v:shape>
            </w:pict>
          </mc:Fallback>
        </mc:AlternateContent>
      </w:r>
      <w:r w:rsidR="008548F9">
        <w:rPr>
          <w:noProof/>
        </w:rPr>
        <w:drawing>
          <wp:anchor distT="0" distB="0" distL="114300" distR="114300" simplePos="0" relativeHeight="251658241" behindDoc="1" locked="0" layoutInCell="1" allowOverlap="1" wp14:anchorId="34C5226A" wp14:editId="1D510474">
            <wp:simplePos x="0" y="0"/>
            <wp:positionH relativeFrom="margin">
              <wp:posOffset>4671695</wp:posOffset>
            </wp:positionH>
            <wp:positionV relativeFrom="paragraph">
              <wp:posOffset>365760</wp:posOffset>
            </wp:positionV>
            <wp:extent cx="1466850" cy="544195"/>
            <wp:effectExtent l="0" t="0" r="0" b="8255"/>
            <wp:wrapTight wrapText="bothSides">
              <wp:wrapPolygon edited="0">
                <wp:start x="0" y="0"/>
                <wp:lineTo x="0" y="21172"/>
                <wp:lineTo x="21319" y="21172"/>
                <wp:lineTo x="21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r w:rsidR="004206F9" w:rsidRPr="00037AC4">
        <w:t>Version 1</w:t>
      </w:r>
      <w:r w:rsidR="00E25F16">
        <w:t>.1</w:t>
      </w:r>
    </w:p>
    <w:p w14:paraId="1CA8AD94" w14:textId="77777777" w:rsidR="0044786D" w:rsidRDefault="0044786D" w:rsidP="00E25F16">
      <w:pPr>
        <w:spacing w:line="240" w:lineRule="auto"/>
        <w:ind w:left="-709"/>
      </w:pPr>
      <w:r>
        <w:lastRenderedPageBreak/>
        <w:t>Approved by: Integrated medicines committee (IMOC)</w:t>
      </w:r>
    </w:p>
    <w:p w14:paraId="109F266C" w14:textId="34C6BDB9" w:rsidR="0044786D" w:rsidRDefault="0044786D" w:rsidP="00E25F16">
      <w:pPr>
        <w:spacing w:line="240" w:lineRule="auto"/>
        <w:ind w:left="-709"/>
        <w:rPr>
          <w:rFonts w:eastAsia="Arial" w:cs="Arial"/>
          <w:szCs w:val="24"/>
        </w:rPr>
      </w:pPr>
      <w:r>
        <w:t xml:space="preserve">Approval date: </w:t>
      </w:r>
      <w:r w:rsidR="00B47C6D">
        <w:t>15</w:t>
      </w:r>
      <w:r w:rsidR="00B47C6D" w:rsidRPr="6E57CE66">
        <w:rPr>
          <w:vertAlign w:val="superscript"/>
        </w:rPr>
        <w:t>th</w:t>
      </w:r>
      <w:r w:rsidR="00B47C6D">
        <w:t xml:space="preserve"> February 2023</w:t>
      </w:r>
    </w:p>
    <w:p w14:paraId="3C91C8B5" w14:textId="78FB2EE3" w:rsidR="48A10C11" w:rsidRDefault="48A10C11" w:rsidP="00E25F16">
      <w:pPr>
        <w:spacing w:line="240" w:lineRule="auto"/>
        <w:ind w:left="-709"/>
        <w:rPr>
          <w:rFonts w:eastAsia="Arial" w:cs="Arial"/>
          <w:szCs w:val="24"/>
        </w:rPr>
      </w:pPr>
      <w:r w:rsidRPr="6E57CE66">
        <w:rPr>
          <w:rFonts w:eastAsia="Arial" w:cs="Arial"/>
          <w:color w:val="000000" w:themeColor="text1"/>
          <w:szCs w:val="24"/>
        </w:rPr>
        <w:t>Review Date: January 2025, as per NHS England. Extended to February 26, agreed by Integrated Medicines Optimisation Committee January 25</w:t>
      </w:r>
    </w:p>
    <w:p w14:paraId="3B62F266" w14:textId="02BB97A5" w:rsidR="6E57CE66" w:rsidRDefault="6E57CE66"/>
    <w:p w14:paraId="28E5595A" w14:textId="77777777" w:rsidR="007B3418" w:rsidRDefault="007B3418" w:rsidP="004206F9">
      <w:pPr>
        <w:ind w:left="-709"/>
      </w:pPr>
    </w:p>
    <w:p w14:paraId="6963E19C" w14:textId="314D0094" w:rsidR="000A2430" w:rsidRPr="00037AC4" w:rsidRDefault="002E4E12" w:rsidP="004206F9">
      <w:pPr>
        <w:ind w:left="-709"/>
      </w:pPr>
      <w:r w:rsidRPr="00037AC4">
        <w:rPr>
          <w:noProof/>
        </w:rPr>
        <mc:AlternateContent>
          <mc:Choice Requires="wps">
            <w:drawing>
              <wp:inline distT="45720" distB="45720" distL="114300" distR="114300" wp14:anchorId="721BEE34" wp14:editId="121CCF6A">
                <wp:extent cx="6616460" cy="1155940"/>
                <wp:effectExtent l="0" t="0" r="13335"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460" cy="1155940"/>
                        </a:xfrm>
                        <a:prstGeom prst="rect">
                          <a:avLst/>
                        </a:prstGeom>
                        <a:solidFill>
                          <a:srgbClr val="FFFFFF"/>
                        </a:solidFill>
                        <a:ln w="9525">
                          <a:solidFill>
                            <a:srgbClr val="000000"/>
                          </a:solidFill>
                          <a:miter lim="800000"/>
                          <a:headEnd/>
                          <a:tailEnd/>
                        </a:ln>
                      </wps:spPr>
                      <wps:txbx>
                        <w:txbxContent>
                          <w:p w14:paraId="009C5BD2" w14:textId="77777777" w:rsidR="002E4E12" w:rsidRPr="00C55EA7" w:rsidRDefault="002E4E12" w:rsidP="002E4E12">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2"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3"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4"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5"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097B3513" w14:textId="77777777" w:rsidR="002E4E12" w:rsidRDefault="002E4E12" w:rsidP="002E4E12"/>
                        </w:txbxContent>
                      </wps:txbx>
                      <wps:bodyPr rot="0" vert="horz" wrap="square" lIns="91440" tIns="45720" rIns="91440" bIns="45720" anchor="t" anchorCtr="0">
                        <a:noAutofit/>
                      </wps:bodyPr>
                    </wps:wsp>
                  </a:graphicData>
                </a:graphic>
              </wp:inline>
            </w:drawing>
          </mc:Choice>
          <mc:Fallback>
            <w:pict>
              <v:shape w14:anchorId="721BEE34" id="Text Box 2" o:spid="_x0000_s1027" type="#_x0000_t202" style="width:521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">
                <v:textbox>
                  <w:txbxContent>
                    <w:p w14:paraId="009C5BD2" w14:textId="77777777" w:rsidR="002E4E12" w:rsidRPr="00C55EA7" w:rsidRDefault="002E4E12" w:rsidP="002E4E12">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6"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7"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8"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9"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097B3513" w14:textId="77777777" w:rsidR="002E4E12" w:rsidRDefault="002E4E12" w:rsidP="002E4E12"/>
                  </w:txbxContent>
                </v:textbox>
                <w10:anchorlock/>
              </v:shape>
            </w:pict>
          </mc:Fallback>
        </mc:AlternateContent>
      </w:r>
    </w:p>
    <w:p w14:paraId="0B0C89FE" w14:textId="0B53250F" w:rsidR="000A2430" w:rsidRPr="00037AC4" w:rsidRDefault="000A2430" w:rsidP="004206F9">
      <w:pPr>
        <w:ind w:left="-709"/>
      </w:pPr>
    </w:p>
    <w:p w14:paraId="69FD2FF5" w14:textId="2C18825A" w:rsidR="00736ABA" w:rsidRPr="00037AC4" w:rsidRDefault="00736ABA" w:rsidP="000A2430">
      <w:pPr>
        <w:sectPr w:rsidR="00736ABA" w:rsidRPr="00037AC4" w:rsidSect="00286256">
          <w:headerReference w:type="default" r:id="rId20"/>
          <w:footerReference w:type="default" r:id="rId21"/>
          <w:headerReference w:type="first" r:id="rId22"/>
          <w:pgSz w:w="11906" w:h="16838"/>
          <w:pgMar w:top="3686" w:right="1418" w:bottom="1134"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037AC4" w14:paraId="146E6787" w14:textId="77777777" w:rsidTr="5A73B5A2">
        <w:trPr>
          <w:jc w:val="center"/>
        </w:trPr>
        <w:tc>
          <w:tcPr>
            <w:tcW w:w="10455" w:type="dxa"/>
            <w:gridSpan w:val="3"/>
            <w:tcBorders>
              <w:bottom w:val="single" w:sz="4" w:space="0" w:color="auto"/>
            </w:tcBorders>
            <w:shd w:val="clear" w:color="auto" w:fill="F2F2F2" w:themeFill="background1" w:themeFillShade="F2"/>
          </w:tcPr>
          <w:p w14:paraId="7A244829" w14:textId="6E79F998" w:rsidR="00055685" w:rsidRPr="00037AC4" w:rsidRDefault="00055685" w:rsidP="007C7494">
            <w:pPr>
              <w:pStyle w:val="Heading2"/>
              <w:spacing w:before="0"/>
              <w:rPr>
                <w:lang w:eastAsia="en-GB"/>
              </w:rPr>
            </w:pPr>
            <w:bookmarkStart w:id="2" w:name="_Specialist_responsibilities"/>
            <w:bookmarkStart w:id="3" w:name="Responsibilities"/>
            <w:bookmarkEnd w:id="2"/>
            <w:r w:rsidRPr="00037AC4">
              <w:rPr>
                <w:lang w:eastAsia="en-GB"/>
              </w:rPr>
              <w:t>Specialist responsibilities</w:t>
            </w:r>
          </w:p>
          <w:p w14:paraId="6BAEC864"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Assess the patient and provide diagnosis; ensure that this diagnosis is within scope of this shared care protocol (</w:t>
            </w:r>
            <w:hyperlink w:anchor="Two_indications" w:history="1">
              <w:r w:rsidRPr="00037AC4">
                <w:rPr>
                  <w:rStyle w:val="Hyperlink"/>
                  <w:rFonts w:eastAsia="Times New Roman" w:cstheme="minorHAnsi"/>
                  <w:iCs/>
                  <w:lang w:eastAsia="en-GB"/>
                </w:rPr>
                <w:t>section 2</w:t>
              </w:r>
            </w:hyperlink>
            <w:r w:rsidRPr="00037AC4">
              <w:rPr>
                <w:rFonts w:eastAsia="Times New Roman" w:cstheme="minorHAnsi"/>
                <w:iCs/>
                <w:color w:val="000000"/>
                <w:lang w:eastAsia="en-GB"/>
              </w:rPr>
              <w:t>) and communicated to primary care.</w:t>
            </w:r>
          </w:p>
          <w:p w14:paraId="2B4A83A3"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 xml:space="preserve">Use a shared decision making approach; discuss the benefits and risks of the treatment with the patient and/or their carer and provide the appropriate counselling (see </w:t>
            </w:r>
            <w:hyperlink w:anchor="Eleven_advice_to_patients" w:history="1">
              <w:r w:rsidRPr="00037AC4">
                <w:rPr>
                  <w:rStyle w:val="Hyperlink"/>
                  <w:rFonts w:eastAsia="Times New Roman" w:cstheme="minorHAnsi"/>
                  <w:iCs/>
                  <w:lang w:eastAsia="en-GB"/>
                </w:rPr>
                <w:t>section 11</w:t>
              </w:r>
            </w:hyperlink>
            <w:r w:rsidRPr="00037AC4">
              <w:rPr>
                <w:rFonts w:eastAsia="Times New Roman" w:cstheme="minorHAnsi"/>
                <w:iCs/>
                <w:color w:val="000000"/>
                <w:lang w:eastAsia="en-GB"/>
              </w:rPr>
              <w:t>) to enable the patient to reach an informed decision. Obtain and document patient consent. Provide an appropriate patient information leaflet.</w:t>
            </w:r>
          </w:p>
          <w:p w14:paraId="64A8DFDA"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 xml:space="preserve">Assess for contraindications and cautions (see </w:t>
            </w:r>
            <w:hyperlink w:anchor="Four_cx_and_cautions" w:history="1">
              <w:r w:rsidRPr="00037AC4">
                <w:rPr>
                  <w:rStyle w:val="Hyperlink"/>
                  <w:rFonts w:eastAsia="Times New Roman" w:cstheme="minorHAnsi"/>
                  <w:iCs/>
                  <w:lang w:eastAsia="en-GB"/>
                </w:rPr>
                <w:t>section 4</w:t>
              </w:r>
            </w:hyperlink>
            <w:r w:rsidRPr="00037AC4">
              <w:rPr>
                <w:rFonts w:eastAsia="Times New Roman" w:cstheme="minorHAnsi"/>
                <w:iCs/>
                <w:color w:val="000000"/>
                <w:lang w:eastAsia="en-GB"/>
              </w:rPr>
              <w:t xml:space="preserve">) and interactions (see </w:t>
            </w:r>
            <w:hyperlink w:anchor="Seven_interactions" w:history="1">
              <w:r w:rsidRPr="00037AC4">
                <w:rPr>
                  <w:rStyle w:val="Hyperlink"/>
                  <w:rFonts w:eastAsia="Times New Roman" w:cstheme="minorHAnsi"/>
                  <w:iCs/>
                  <w:lang w:eastAsia="en-GB"/>
                </w:rPr>
                <w:t>section 7</w:t>
              </w:r>
            </w:hyperlink>
            <w:r w:rsidRPr="00037AC4">
              <w:rPr>
                <w:rFonts w:eastAsia="Times New Roman" w:cstheme="minorHAnsi"/>
                <w:iCs/>
                <w:color w:val="000000"/>
                <w:lang w:eastAsia="en-GB"/>
              </w:rPr>
              <w:t>).</w:t>
            </w:r>
          </w:p>
          <w:p w14:paraId="3DA08DA8"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 xml:space="preserve">Conduct required baseline investigations and initial monitoring (see </w:t>
            </w:r>
            <w:hyperlink w:anchor="Eight_specialist_monitoring" w:history="1">
              <w:r w:rsidRPr="00037AC4">
                <w:rPr>
                  <w:rStyle w:val="Hyperlink"/>
                  <w:rFonts w:eastAsia="Times New Roman" w:cstheme="minorHAnsi"/>
                  <w:iCs/>
                  <w:lang w:eastAsia="en-GB"/>
                </w:rPr>
                <w:t>section 8</w:t>
              </w:r>
            </w:hyperlink>
            <w:r w:rsidRPr="00037AC4">
              <w:rPr>
                <w:rFonts w:eastAsia="Times New Roman" w:cstheme="minorHAnsi"/>
                <w:iCs/>
                <w:color w:val="000000"/>
                <w:lang w:eastAsia="en-GB"/>
              </w:rPr>
              <w:t>).</w:t>
            </w:r>
          </w:p>
          <w:p w14:paraId="5367293E" w14:textId="3F74E553"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 xml:space="preserve">Initiate and optimise treatment as outlined in </w:t>
            </w:r>
            <w:hyperlink w:anchor="Five_dosing" w:history="1">
              <w:r w:rsidRPr="00037AC4">
                <w:rPr>
                  <w:rStyle w:val="Hyperlink"/>
                  <w:rFonts w:eastAsia="Times New Roman" w:cstheme="minorHAnsi"/>
                  <w:iCs/>
                  <w:lang w:eastAsia="en-GB"/>
                </w:rPr>
                <w:t>section 5</w:t>
              </w:r>
            </w:hyperlink>
            <w:r w:rsidRPr="00037AC4">
              <w:rPr>
                <w:rFonts w:eastAsia="Times New Roman" w:cstheme="minorHAnsi"/>
                <w:iCs/>
                <w:color w:val="000000"/>
                <w:lang w:eastAsia="en-GB"/>
              </w:rPr>
              <w:t>. Transfer to primary care is after the patient has been treated for 3 months and with satisfactory investigation results for at least 4 weeks.</w:t>
            </w:r>
          </w:p>
          <w:p w14:paraId="37A606BE"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Once treatment is optimised, complete the shared care documentation and send to patient’s GP practice detailing the diagnosis, current and ongoing dose and brand, any relevant test results, date the next monitoring is required, and stop date for ciclosporin (if applicable). Include contact information (</w:t>
            </w:r>
            <w:hyperlink w:anchor="Thirteen_specialist_contact" w:history="1">
              <w:r w:rsidRPr="00037AC4">
                <w:rPr>
                  <w:rStyle w:val="Hyperlink"/>
                  <w:rFonts w:eastAsia="Times New Roman" w:cstheme="minorHAnsi"/>
                  <w:iCs/>
                  <w:lang w:eastAsia="en-GB"/>
                </w:rPr>
                <w:t>section 13</w:t>
              </w:r>
            </w:hyperlink>
            <w:r w:rsidRPr="00037AC4">
              <w:rPr>
                <w:rFonts w:eastAsia="Times New Roman" w:cstheme="minorHAnsi"/>
                <w:iCs/>
                <w:color w:val="000000"/>
                <w:lang w:eastAsia="en-GB"/>
              </w:rPr>
              <w:t xml:space="preserve">). </w:t>
            </w:r>
          </w:p>
          <w:p w14:paraId="775D6AFB"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Prescribe sufficient medication to enable transfer to primary care, including where there are unforeseen delays to transfer of care.</w:t>
            </w:r>
          </w:p>
          <w:p w14:paraId="55DE15B8"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lastRenderedPageBreak/>
              <w:t xml:space="preserve">Conduct the required monitoring in </w:t>
            </w:r>
            <w:hyperlink w:anchor="Eight_specialist_monitoring" w:history="1">
              <w:r w:rsidRPr="00037AC4">
                <w:rPr>
                  <w:rStyle w:val="Hyperlink"/>
                  <w:rFonts w:eastAsia="Times New Roman" w:cstheme="minorHAnsi"/>
                  <w:iCs/>
                  <w:lang w:eastAsia="en-GB"/>
                </w:rPr>
                <w:t>section 8</w:t>
              </w:r>
            </w:hyperlink>
            <w:r w:rsidRPr="00037AC4">
              <w:rPr>
                <w:rStyle w:val="Hyperlink"/>
                <w:rFonts w:eastAsia="Times New Roman" w:cstheme="minorHAnsi"/>
                <w:iCs/>
                <w:color w:val="000000"/>
                <w:u w:val="none"/>
                <w:lang w:eastAsia="en-GB"/>
              </w:rPr>
              <w:t xml:space="preserve"> and communicate the results to primary care. After each review, advise primary care whether treatment should be continued, confirm the ongoing dose, and whether the ongoing monitoring outlined in </w:t>
            </w:r>
            <w:hyperlink w:anchor="Nine_primary_care_monitoring" w:history="1">
              <w:r w:rsidRPr="00037AC4">
                <w:rPr>
                  <w:rStyle w:val="Hyperlink"/>
                  <w:rFonts w:eastAsia="Times New Roman" w:cstheme="minorHAnsi"/>
                  <w:iCs/>
                  <w:lang w:eastAsia="en-GB"/>
                </w:rPr>
                <w:t>section 9</w:t>
              </w:r>
            </w:hyperlink>
            <w:r w:rsidRPr="00037AC4">
              <w:rPr>
                <w:rStyle w:val="Hyperlink"/>
                <w:rFonts w:eastAsia="Times New Roman" w:cstheme="minorHAnsi"/>
                <w:iCs/>
                <w:color w:val="000000"/>
                <w:u w:val="none"/>
                <w:lang w:eastAsia="en-GB"/>
              </w:rPr>
              <w:t xml:space="preserve"> remains appropriate</w:t>
            </w:r>
            <w:r w:rsidRPr="00037AC4">
              <w:rPr>
                <w:rFonts w:eastAsia="Times New Roman" w:cstheme="minorHAnsi"/>
                <w:iCs/>
                <w:color w:val="000000"/>
                <w:lang w:eastAsia="en-GB"/>
              </w:rPr>
              <w:t>.</w:t>
            </w:r>
          </w:p>
          <w:p w14:paraId="43F41B78"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Reassume prescribing responsibilities if a woman becomes or wishes to become pregnant.</w:t>
            </w:r>
          </w:p>
          <w:p w14:paraId="06CEAC74"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Provide advice to primary care on the management of adverse effects if required.</w:t>
            </w:r>
          </w:p>
          <w:p w14:paraId="5808A323" w14:textId="22247C0C"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 xml:space="preserve">Advise primary care if treatment should be discontinued. </w:t>
            </w:r>
          </w:p>
          <w:bookmarkEnd w:id="3"/>
          <w:p w14:paraId="777ACBA6" w14:textId="77777777" w:rsidR="00055685" w:rsidRPr="00037AC4" w:rsidRDefault="00055685" w:rsidP="007C7494">
            <w:pPr>
              <w:pStyle w:val="Heading2"/>
              <w:rPr>
                <w:lang w:eastAsia="en-GB"/>
              </w:rPr>
            </w:pPr>
            <w:r w:rsidRPr="00037AC4">
              <w:rPr>
                <w:lang w:eastAsia="en-GB"/>
              </w:rPr>
              <w:t>Primary care responsibilities</w:t>
            </w:r>
          </w:p>
          <w:p w14:paraId="750E38A3" w14:textId="77777777" w:rsidR="00853518" w:rsidRPr="00037AC4" w:rsidRDefault="00853518" w:rsidP="00853518">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Respond to the request from the specialist for shared care in writing. It is asked that this be undertaken within 14 days of the request being made, where possible.</w:t>
            </w:r>
          </w:p>
          <w:p w14:paraId="3D9FAB1E" w14:textId="77777777" w:rsidR="00853518" w:rsidRPr="00037AC4" w:rsidRDefault="00853518" w:rsidP="00853518">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 xml:space="preserve">If accepted, prescribe ongoing treatment as detailed in the specialists request and as per </w:t>
            </w:r>
            <w:hyperlink w:anchor="Five_dosing" w:history="1">
              <w:r w:rsidRPr="00037AC4">
                <w:rPr>
                  <w:rFonts w:eastAsia="Times New Roman" w:cs="Arial"/>
                  <w:iCs/>
                  <w:color w:val="0000FF" w:themeColor="hyperlink"/>
                  <w:szCs w:val="24"/>
                  <w:u w:val="single"/>
                  <w:lang w:eastAsia="en-GB"/>
                </w:rPr>
                <w:t>section 5</w:t>
              </w:r>
            </w:hyperlink>
            <w:r w:rsidRPr="00037AC4">
              <w:rPr>
                <w:rFonts w:eastAsia="Times New Roman" w:cs="Arial"/>
                <w:iCs/>
                <w:color w:val="000000"/>
                <w:szCs w:val="24"/>
                <w:lang w:eastAsia="en-GB"/>
              </w:rPr>
              <w:t xml:space="preserve">, taking into any account potential drug interactions in </w:t>
            </w:r>
            <w:hyperlink w:anchor="Seven_interactions" w:history="1">
              <w:r w:rsidRPr="00037AC4">
                <w:rPr>
                  <w:rFonts w:eastAsia="Times New Roman" w:cs="Arial"/>
                  <w:iCs/>
                  <w:color w:val="0000FF" w:themeColor="hyperlink"/>
                  <w:szCs w:val="24"/>
                  <w:u w:val="single"/>
                  <w:lang w:eastAsia="en-GB"/>
                </w:rPr>
                <w:t>section 7</w:t>
              </w:r>
            </w:hyperlink>
            <w:r w:rsidRPr="00037AC4">
              <w:rPr>
                <w:rFonts w:eastAsia="Times New Roman" w:cs="Arial"/>
                <w:iCs/>
                <w:color w:val="000000"/>
                <w:szCs w:val="24"/>
                <w:lang w:eastAsia="en-GB"/>
              </w:rPr>
              <w:t>.</w:t>
            </w:r>
          </w:p>
          <w:p w14:paraId="317478F0" w14:textId="77777777" w:rsidR="00853518" w:rsidRPr="00037AC4" w:rsidRDefault="00853518" w:rsidP="00853518">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Adjust the dose of ciclosporin prescribed as advised by the specialist.</w:t>
            </w:r>
          </w:p>
          <w:p w14:paraId="5C505D43" w14:textId="77777777" w:rsidR="00853518" w:rsidRPr="00037AC4" w:rsidRDefault="00853518" w:rsidP="00853518">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 xml:space="preserve">Conduct the required monitoring as outlined in </w:t>
            </w:r>
            <w:hyperlink w:anchor="Nine_primary_care_monitoring" w:history="1">
              <w:r w:rsidRPr="00037AC4">
                <w:rPr>
                  <w:rFonts w:eastAsia="Times New Roman" w:cs="Arial"/>
                  <w:iCs/>
                  <w:color w:val="0000FF" w:themeColor="hyperlink"/>
                  <w:szCs w:val="24"/>
                  <w:u w:val="single"/>
                  <w:lang w:eastAsia="en-GB"/>
                </w:rPr>
                <w:t>section 9</w:t>
              </w:r>
            </w:hyperlink>
            <w:r w:rsidRPr="00037AC4">
              <w:rPr>
                <w:rFonts w:eastAsia="Times New Roman" w:cs="Arial"/>
                <w:iCs/>
                <w:color w:val="000000"/>
                <w:szCs w:val="24"/>
                <w:lang w:eastAsia="en-GB"/>
              </w:rPr>
              <w:t>.</w:t>
            </w:r>
            <w:r w:rsidRPr="00037AC4">
              <w:rPr>
                <w:rFonts w:cs="Arial"/>
                <w:szCs w:val="24"/>
              </w:rPr>
              <w:t xml:space="preserve"> </w:t>
            </w:r>
            <w:r w:rsidRPr="00037AC4">
              <w:rPr>
                <w:rFonts w:eastAsia="Times New Roman" w:cs="Arial"/>
                <w:iCs/>
                <w:color w:val="000000"/>
                <w:szCs w:val="24"/>
                <w:lang w:eastAsia="en-GB"/>
              </w:rPr>
              <w:t>Communicate any abnormal results to the specialist.</w:t>
            </w:r>
          </w:p>
          <w:p w14:paraId="1216B786" w14:textId="77777777" w:rsidR="00853518" w:rsidRPr="00037AC4" w:rsidRDefault="00853518" w:rsidP="00853518">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 xml:space="preserve">Manage adverse effects as detailed in </w:t>
            </w:r>
            <w:hyperlink w:anchor="Ten_ADRs_and_Management" w:history="1">
              <w:r w:rsidRPr="00037AC4">
                <w:rPr>
                  <w:rFonts w:eastAsia="Times New Roman" w:cs="Arial"/>
                  <w:iCs/>
                  <w:color w:val="0000FF" w:themeColor="hyperlink"/>
                  <w:szCs w:val="24"/>
                  <w:u w:val="single"/>
                  <w:lang w:eastAsia="en-GB"/>
                </w:rPr>
                <w:t>section 10</w:t>
              </w:r>
            </w:hyperlink>
            <w:r w:rsidRPr="00037AC4">
              <w:rPr>
                <w:rFonts w:eastAsia="Times New Roman" w:cs="Arial"/>
                <w:iCs/>
                <w:color w:val="000000"/>
                <w:szCs w:val="24"/>
                <w:lang w:eastAsia="en-GB"/>
              </w:rPr>
              <w:t xml:space="preserve"> and discuss with specialist team when required.</w:t>
            </w:r>
          </w:p>
          <w:p w14:paraId="0C8B3D8A" w14:textId="77777777" w:rsidR="00853518" w:rsidRPr="00037AC4" w:rsidRDefault="00853518" w:rsidP="00853518">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Refer the management back to the specialist if the patient becomes or plans to become pregnant.</w:t>
            </w:r>
          </w:p>
          <w:p w14:paraId="274BD42F" w14:textId="3F5399FD" w:rsidR="00BE087C" w:rsidRPr="00037AC4" w:rsidRDefault="00853518" w:rsidP="00BE087C">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 xml:space="preserve">Stop treatment as advised by the specialist. </w:t>
            </w:r>
          </w:p>
          <w:p w14:paraId="0D4A677D" w14:textId="0FE9BA9D" w:rsidR="00055685" w:rsidRPr="00037AC4" w:rsidRDefault="00055685" w:rsidP="00FA713C">
            <w:pPr>
              <w:pStyle w:val="Heading2"/>
              <w:rPr>
                <w:lang w:eastAsia="en-GB"/>
              </w:rPr>
            </w:pPr>
            <w:r w:rsidRPr="00037AC4">
              <w:rPr>
                <w:lang w:eastAsia="en-GB"/>
              </w:rPr>
              <w:t>Patient and/or carer responsibilities</w:t>
            </w:r>
          </w:p>
          <w:p w14:paraId="270ADFA9" w14:textId="77777777" w:rsidR="00853518" w:rsidRPr="00037AC4" w:rsidRDefault="00853518" w:rsidP="00853518">
            <w:pPr>
              <w:pStyle w:val="ListParagraph"/>
              <w:numPr>
                <w:ilvl w:val="0"/>
                <w:numId w:val="11"/>
              </w:numPr>
              <w:spacing w:after="0"/>
              <w:ind w:left="357" w:hanging="357"/>
              <w:contextualSpacing/>
              <w:rPr>
                <w:rFonts w:eastAsia="Times New Roman" w:cstheme="minorHAnsi"/>
                <w:iCs/>
                <w:color w:val="000000"/>
                <w:lang w:eastAsia="en-GB"/>
              </w:rPr>
            </w:pPr>
            <w:r w:rsidRPr="00037AC4">
              <w:rPr>
                <w:rFonts w:eastAsia="Times New Roman" w:cstheme="minorHAnsi"/>
                <w:iCs/>
                <w:color w:val="000000"/>
                <w:lang w:eastAsia="en-GB"/>
              </w:rPr>
              <w:t>Take ciclosporin as prescribed and avoid abrupt withdrawal unless advised by the primary care prescriber or specialist.</w:t>
            </w:r>
          </w:p>
          <w:p w14:paraId="67331F86" w14:textId="77777777" w:rsidR="00853518" w:rsidRPr="00037AC4" w:rsidRDefault="00853518" w:rsidP="00853518">
            <w:pPr>
              <w:pStyle w:val="ListParagraph"/>
              <w:numPr>
                <w:ilvl w:val="0"/>
                <w:numId w:val="11"/>
              </w:numPr>
              <w:spacing w:after="0"/>
              <w:ind w:left="357" w:hanging="357"/>
              <w:contextualSpacing/>
              <w:rPr>
                <w:rFonts w:eastAsia="Times New Roman" w:cstheme="minorHAnsi"/>
                <w:iCs/>
                <w:color w:val="000000"/>
                <w:lang w:eastAsia="en-GB"/>
              </w:rPr>
            </w:pPr>
            <w:r w:rsidRPr="00037AC4">
              <w:rPr>
                <w:rFonts w:eastAsia="Times New Roman" w:cstheme="minorHAnsi"/>
                <w:iCs/>
                <w:color w:val="000000"/>
                <w:lang w:eastAsia="en-GB"/>
              </w:rPr>
              <w:t>Attend regularly for monitoring and review appointments with primary care and specialist, and keep contact details up to date with both prescribers. Be aware that medicines may be stopped if they do not attend.</w:t>
            </w:r>
          </w:p>
          <w:p w14:paraId="2F4D3C4F" w14:textId="77777777" w:rsidR="00853518" w:rsidRPr="00037AC4" w:rsidRDefault="00853518" w:rsidP="00853518">
            <w:pPr>
              <w:pStyle w:val="ListParagraph"/>
              <w:numPr>
                <w:ilvl w:val="0"/>
                <w:numId w:val="11"/>
              </w:numPr>
              <w:spacing w:after="0"/>
              <w:ind w:left="357" w:hanging="357"/>
              <w:contextualSpacing/>
              <w:rPr>
                <w:rFonts w:eastAsia="Times New Roman" w:cstheme="minorHAnsi"/>
                <w:iCs/>
                <w:color w:val="000000"/>
                <w:lang w:eastAsia="en-GB"/>
              </w:rPr>
            </w:pPr>
            <w:r w:rsidRPr="00037AC4">
              <w:rPr>
                <w:rFonts w:eastAsia="Times New Roman" w:cstheme="minorHAnsi"/>
                <w:iCs/>
                <w:color w:val="000000"/>
                <w:lang w:eastAsia="en-GB"/>
              </w:rPr>
              <w:t xml:space="preserve">Take part in all national screening programmes, e.g. for breast, bowel and cervical cancers. </w:t>
            </w:r>
          </w:p>
          <w:p w14:paraId="410F7A5E" w14:textId="77777777" w:rsidR="00853518" w:rsidRPr="00037AC4" w:rsidRDefault="00853518" w:rsidP="00853518">
            <w:pPr>
              <w:pStyle w:val="ListParagraph"/>
              <w:numPr>
                <w:ilvl w:val="0"/>
                <w:numId w:val="11"/>
              </w:numPr>
              <w:spacing w:after="0"/>
              <w:ind w:left="357" w:hanging="357"/>
              <w:contextualSpacing/>
              <w:rPr>
                <w:rFonts w:eastAsia="Times New Roman" w:cstheme="minorHAnsi"/>
                <w:iCs/>
                <w:color w:val="000000"/>
                <w:lang w:eastAsia="en-GB"/>
              </w:rPr>
            </w:pPr>
            <w:r w:rsidRPr="00037AC4">
              <w:rPr>
                <w:rFonts w:eastAsia="Times New Roman" w:cstheme="minorHAnsi"/>
                <w:iCs/>
                <w:color w:val="000000"/>
                <w:lang w:eastAsia="en-GB"/>
              </w:rPr>
              <w:t xml:space="preserve">Report adverse effects to their primary care prescriber. Maintain good oral hygiene and seek immediate medical attention if they develop any symptoms as detailed in </w:t>
            </w:r>
            <w:hyperlink w:anchor="Eleven_advice_to_patients" w:history="1">
              <w:r w:rsidRPr="00037AC4">
                <w:rPr>
                  <w:rStyle w:val="Hyperlink"/>
                  <w:rFonts w:eastAsia="Times New Roman" w:cstheme="minorHAnsi"/>
                  <w:iCs/>
                  <w:lang w:eastAsia="en-GB"/>
                </w:rPr>
                <w:t>section 11</w:t>
              </w:r>
            </w:hyperlink>
            <w:r w:rsidRPr="00037AC4">
              <w:rPr>
                <w:rFonts w:eastAsia="Times New Roman" w:cstheme="minorHAnsi"/>
                <w:iCs/>
                <w:color w:val="000000"/>
                <w:lang w:eastAsia="en-GB"/>
              </w:rPr>
              <w:t>.</w:t>
            </w:r>
          </w:p>
          <w:p w14:paraId="09D62F8F" w14:textId="77777777" w:rsidR="00853518" w:rsidRPr="00037AC4" w:rsidRDefault="00853518" w:rsidP="00853518">
            <w:pPr>
              <w:pStyle w:val="ListParagraph"/>
              <w:numPr>
                <w:ilvl w:val="0"/>
                <w:numId w:val="11"/>
              </w:numPr>
              <w:spacing w:after="0"/>
              <w:ind w:left="357" w:hanging="357"/>
              <w:contextualSpacing/>
              <w:rPr>
                <w:rFonts w:eastAsia="Times New Roman" w:cstheme="minorHAnsi"/>
                <w:iCs/>
                <w:color w:val="000000"/>
                <w:lang w:eastAsia="en-GB"/>
              </w:rPr>
            </w:pPr>
            <w:r w:rsidRPr="00037AC4">
              <w:rPr>
                <w:rFonts w:eastAsia="Times New Roman" w:cstheme="minorHAnsi"/>
                <w:iCs/>
                <w:color w:val="000000"/>
                <w:lang w:eastAsia="en-GB"/>
              </w:rPr>
              <w:lastRenderedPageBreak/>
              <w:t>Report the use of any over the counter (OTC) medications to their primary care prescriber and be aware they should discuss the use of ciclosporin with their pharmacist before purchasing any OTC medicines.</w:t>
            </w:r>
          </w:p>
          <w:p w14:paraId="61DDC8D4" w14:textId="78EB3865" w:rsidR="00055685" w:rsidRPr="00037AC4" w:rsidRDefault="00853518" w:rsidP="00853518">
            <w:pPr>
              <w:pStyle w:val="ListParagraph"/>
              <w:numPr>
                <w:ilvl w:val="0"/>
                <w:numId w:val="11"/>
              </w:numPr>
              <w:spacing w:after="0"/>
              <w:ind w:left="357" w:hanging="357"/>
              <w:rPr>
                <w:rFonts w:cs="Arial"/>
                <w:color w:val="000000"/>
                <w:u w:val="single"/>
              </w:rPr>
            </w:pPr>
            <w:r w:rsidRPr="00037AC4">
              <w:rPr>
                <w:rFonts w:eastAsia="Times New Roman" w:cstheme="minorHAnsi"/>
                <w:iCs/>
                <w:color w:val="000000"/>
                <w:lang w:eastAsia="en-GB"/>
              </w:rPr>
              <w:t>Patients of childbearing potential should take a pregnancy test if they think they could be pregnant, and inform the specialist or GP immediately if they become pregnant or wish to become pregnant.</w:t>
            </w:r>
          </w:p>
        </w:tc>
      </w:tr>
      <w:tr w:rsidR="00055685" w:rsidRPr="00037AC4" w14:paraId="2BBEC1D0" w14:textId="77777777" w:rsidTr="5A73B5A2">
        <w:trPr>
          <w:jc w:val="center"/>
        </w:trPr>
        <w:tc>
          <w:tcPr>
            <w:tcW w:w="10455" w:type="dxa"/>
            <w:gridSpan w:val="3"/>
            <w:tcBorders>
              <w:bottom w:val="nil"/>
            </w:tcBorders>
            <w:shd w:val="clear" w:color="auto" w:fill="F2F2F2" w:themeFill="background1" w:themeFillShade="F2"/>
          </w:tcPr>
          <w:p w14:paraId="14521365" w14:textId="6DDD4E82" w:rsidR="00055685" w:rsidRPr="00037AC4" w:rsidRDefault="00055685" w:rsidP="00FA713C">
            <w:pPr>
              <w:pStyle w:val="Heading1"/>
              <w:tabs>
                <w:tab w:val="right" w:pos="10238"/>
              </w:tabs>
              <w:rPr>
                <w:rFonts w:cs="Arial"/>
              </w:rPr>
            </w:pPr>
            <w:bookmarkStart w:id="4" w:name="One_background"/>
            <w:r w:rsidRPr="00037AC4">
              <w:rPr>
                <w:lang w:eastAsia="en-GB"/>
              </w:rPr>
              <w:lastRenderedPageBreak/>
              <w:t>Background</w:t>
            </w:r>
            <w:bookmarkEnd w:id="4"/>
            <w:r w:rsidRPr="00037AC4">
              <w:rPr>
                <w:lang w:eastAsia="en-GB"/>
              </w:rPr>
              <w:t xml:space="preserve"> </w:t>
            </w:r>
            <w:r w:rsidRPr="00037AC4">
              <w:rPr>
                <w:lang w:eastAsia="en-GB"/>
              </w:rPr>
              <w:tab/>
            </w:r>
            <w:hyperlink w:anchor="Responsibilities" w:history="1">
              <w:r w:rsidR="00FA713C" w:rsidRPr="00037AC4">
                <w:rPr>
                  <w:rStyle w:val="Hyperlink"/>
                  <w:rFonts w:eastAsia="Times New Roman" w:cs="Arial"/>
                  <w:b w:val="0"/>
                  <w:bCs w:val="0"/>
                  <w:sz w:val="24"/>
                  <w:szCs w:val="24"/>
                  <w:lang w:eastAsia="en-GB"/>
                </w:rPr>
                <w:t>Back to top</w:t>
              </w:r>
            </w:hyperlink>
          </w:p>
        </w:tc>
      </w:tr>
      <w:tr w:rsidR="00055685" w:rsidRPr="00037AC4" w14:paraId="295ECE79" w14:textId="77777777" w:rsidTr="5A73B5A2">
        <w:trPr>
          <w:jc w:val="center"/>
        </w:trPr>
        <w:tc>
          <w:tcPr>
            <w:tcW w:w="10455" w:type="dxa"/>
            <w:gridSpan w:val="3"/>
            <w:tcBorders>
              <w:top w:val="nil"/>
              <w:bottom w:val="single" w:sz="4" w:space="0" w:color="auto"/>
            </w:tcBorders>
            <w:shd w:val="clear" w:color="auto" w:fill="auto"/>
          </w:tcPr>
          <w:p w14:paraId="67D23F53" w14:textId="51302273" w:rsidR="00631304" w:rsidRPr="00037AC4" w:rsidRDefault="00631304" w:rsidP="00165190">
            <w:r w:rsidRPr="00037AC4">
              <w:t>Ciclosporin is a potent immunosuppressant which is thought to act specifically and reversibly on lymphocytes. It is licensed for the prevention of transplant rejection, as well as some chronic inflammatory disorders. It is not licensed for all the conditions it is used to treat, however its use for the indications below are well established and supported by clinical specialists.</w:t>
            </w:r>
          </w:p>
          <w:p w14:paraId="63A3C043" w14:textId="77777777" w:rsidR="00631304" w:rsidRPr="00037AC4" w:rsidRDefault="00631304" w:rsidP="00165190"/>
          <w:p w14:paraId="14279D94" w14:textId="1F73397C" w:rsidR="00631304" w:rsidRPr="00037AC4" w:rsidRDefault="00631304" w:rsidP="00165190">
            <w:r w:rsidRPr="00037AC4">
              <w:t>This shared care protocol does not cover use post-transplant, or the treatment of people less than 18 years old.</w:t>
            </w:r>
          </w:p>
          <w:p w14:paraId="548264B8" w14:textId="7ED03253" w:rsidR="00631304" w:rsidRPr="00037AC4" w:rsidRDefault="00631304" w:rsidP="00631304">
            <w:pPr>
              <w:contextualSpacing/>
            </w:pPr>
          </w:p>
        </w:tc>
      </w:tr>
      <w:tr w:rsidR="00055685" w:rsidRPr="00037AC4" w14:paraId="061A519D" w14:textId="77777777" w:rsidTr="5A73B5A2">
        <w:trPr>
          <w:jc w:val="center"/>
        </w:trPr>
        <w:tc>
          <w:tcPr>
            <w:tcW w:w="10455" w:type="dxa"/>
            <w:gridSpan w:val="3"/>
            <w:tcBorders>
              <w:bottom w:val="nil"/>
            </w:tcBorders>
            <w:shd w:val="clear" w:color="auto" w:fill="F2F2F2" w:themeFill="background1" w:themeFillShade="F2"/>
          </w:tcPr>
          <w:p w14:paraId="31A445E6" w14:textId="7822028A" w:rsidR="00055685" w:rsidRPr="00037AC4" w:rsidRDefault="00055685" w:rsidP="00595041">
            <w:pPr>
              <w:pStyle w:val="Heading1"/>
              <w:tabs>
                <w:tab w:val="right" w:pos="10240"/>
              </w:tabs>
              <w:rPr>
                <w:lang w:eastAsia="en-GB"/>
              </w:rPr>
            </w:pPr>
            <w:bookmarkStart w:id="5" w:name="Two_indications"/>
            <w:r w:rsidRPr="00037AC4">
              <w:rPr>
                <w:lang w:eastAsia="en-GB"/>
              </w:rPr>
              <w:t>Indications</w:t>
            </w:r>
            <w:bookmarkEnd w:id="5"/>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055685" w:rsidRPr="00037AC4" w14:paraId="29A3FC11" w14:textId="77777777" w:rsidTr="5A73B5A2">
        <w:trPr>
          <w:jc w:val="center"/>
        </w:trPr>
        <w:tc>
          <w:tcPr>
            <w:tcW w:w="10455" w:type="dxa"/>
            <w:gridSpan w:val="3"/>
            <w:tcBorders>
              <w:top w:val="nil"/>
              <w:bottom w:val="single" w:sz="4" w:space="0" w:color="auto"/>
            </w:tcBorders>
            <w:shd w:val="clear" w:color="auto" w:fill="auto"/>
          </w:tcPr>
          <w:p w14:paraId="0D54CA06" w14:textId="77777777" w:rsidR="00CB4B29" w:rsidRPr="00037AC4" w:rsidRDefault="00CB4B29" w:rsidP="00CB4B29">
            <w:pPr>
              <w:ind w:left="357" w:hanging="357"/>
              <w:rPr>
                <w:rFonts w:eastAsia="Times New Roman" w:cstheme="minorHAnsi"/>
                <w:lang w:eastAsia="en-GB"/>
              </w:rPr>
            </w:pPr>
            <w:r w:rsidRPr="00037AC4">
              <w:rPr>
                <w:rFonts w:eastAsia="Times New Roman" w:cstheme="minorHAnsi"/>
                <w:lang w:eastAsia="en-GB"/>
              </w:rPr>
              <w:t xml:space="preserve">Licensed indications: </w:t>
            </w:r>
          </w:p>
          <w:p w14:paraId="08D6F165" w14:textId="77777777" w:rsidR="00CB4B29" w:rsidRPr="00037AC4" w:rsidRDefault="00CB4B29" w:rsidP="00CB4B29">
            <w:pPr>
              <w:pStyle w:val="ListParagraph"/>
              <w:numPr>
                <w:ilvl w:val="0"/>
                <w:numId w:val="24"/>
              </w:numPr>
              <w:spacing w:after="0"/>
              <w:ind w:left="357" w:hanging="357"/>
              <w:contextualSpacing/>
              <w:rPr>
                <w:rFonts w:eastAsia="Times New Roman" w:cstheme="minorHAnsi"/>
                <w:lang w:eastAsia="en-GB"/>
              </w:rPr>
            </w:pPr>
            <w:r w:rsidRPr="00037AC4">
              <w:rPr>
                <w:rFonts w:eastAsia="Times New Roman" w:cstheme="minorHAnsi"/>
                <w:lang w:eastAsia="en-GB"/>
              </w:rPr>
              <w:t>Endogenous uveitis</w:t>
            </w:r>
          </w:p>
          <w:p w14:paraId="38F75F6C" w14:textId="77777777" w:rsidR="00CB4B29" w:rsidRPr="00037AC4" w:rsidRDefault="00CB4B29" w:rsidP="00CB4B29">
            <w:pPr>
              <w:pStyle w:val="ListParagraph"/>
              <w:numPr>
                <w:ilvl w:val="0"/>
                <w:numId w:val="24"/>
              </w:numPr>
              <w:spacing w:after="0"/>
              <w:ind w:left="357" w:hanging="357"/>
              <w:contextualSpacing/>
              <w:rPr>
                <w:rFonts w:eastAsia="Times New Roman" w:cstheme="minorHAnsi"/>
                <w:lang w:eastAsia="en-GB"/>
              </w:rPr>
            </w:pPr>
            <w:r w:rsidRPr="00037AC4">
              <w:rPr>
                <w:rFonts w:eastAsia="Times New Roman" w:cstheme="minorHAnsi"/>
                <w:lang w:eastAsia="en-GB"/>
              </w:rPr>
              <w:t>Nephrotic syndrome</w:t>
            </w:r>
          </w:p>
          <w:p w14:paraId="051480C3" w14:textId="77777777" w:rsidR="00CB4B29" w:rsidRPr="00037AC4" w:rsidRDefault="00CB4B29" w:rsidP="00CB4B29">
            <w:pPr>
              <w:pStyle w:val="ListParagraph"/>
              <w:numPr>
                <w:ilvl w:val="0"/>
                <w:numId w:val="24"/>
              </w:numPr>
              <w:spacing w:after="0"/>
              <w:ind w:left="357" w:hanging="357"/>
              <w:contextualSpacing/>
              <w:rPr>
                <w:rFonts w:eastAsia="Times New Roman" w:cstheme="minorHAnsi"/>
                <w:lang w:eastAsia="en-GB"/>
              </w:rPr>
            </w:pPr>
            <w:r w:rsidRPr="00037AC4">
              <w:rPr>
                <w:rFonts w:eastAsia="Times New Roman" w:cstheme="minorHAnsi"/>
                <w:lang w:eastAsia="en-GB"/>
              </w:rPr>
              <w:t>Rheumatoid arthritis</w:t>
            </w:r>
          </w:p>
          <w:p w14:paraId="7E9C7A19" w14:textId="77777777" w:rsidR="00CB4B29" w:rsidRPr="00037AC4" w:rsidRDefault="00CB4B29" w:rsidP="00CB4B29">
            <w:pPr>
              <w:pStyle w:val="ListParagraph"/>
              <w:numPr>
                <w:ilvl w:val="0"/>
                <w:numId w:val="24"/>
              </w:numPr>
              <w:spacing w:after="0"/>
              <w:ind w:left="357" w:hanging="357"/>
              <w:contextualSpacing/>
              <w:rPr>
                <w:rFonts w:eastAsia="Times New Roman" w:cstheme="minorHAnsi"/>
                <w:lang w:eastAsia="en-GB"/>
              </w:rPr>
            </w:pPr>
            <w:r w:rsidRPr="00037AC4">
              <w:rPr>
                <w:rFonts w:eastAsia="Times New Roman" w:cstheme="minorHAnsi"/>
                <w:lang w:eastAsia="en-GB"/>
              </w:rPr>
              <w:t>Psoriasis</w:t>
            </w:r>
          </w:p>
          <w:p w14:paraId="5405194D" w14:textId="77777777" w:rsidR="00CB4B29" w:rsidRPr="00037AC4" w:rsidRDefault="00CB4B29" w:rsidP="00CB4B29">
            <w:pPr>
              <w:pStyle w:val="ListParagraph"/>
              <w:numPr>
                <w:ilvl w:val="0"/>
                <w:numId w:val="24"/>
              </w:numPr>
              <w:spacing w:after="0"/>
              <w:ind w:left="357" w:hanging="357"/>
              <w:contextualSpacing/>
              <w:rPr>
                <w:rFonts w:eastAsia="Times New Roman" w:cstheme="minorHAnsi"/>
                <w:lang w:eastAsia="en-GB"/>
              </w:rPr>
            </w:pPr>
            <w:r w:rsidRPr="00037AC4">
              <w:rPr>
                <w:rFonts w:eastAsia="Times New Roman" w:cstheme="minorHAnsi"/>
                <w:lang w:eastAsia="en-GB"/>
              </w:rPr>
              <w:t>Atopic dermatitis</w:t>
            </w:r>
          </w:p>
          <w:p w14:paraId="62A88180" w14:textId="77777777" w:rsidR="00CB4B29" w:rsidRPr="00037AC4" w:rsidRDefault="00CB4B29" w:rsidP="00CB4B29">
            <w:pPr>
              <w:spacing w:before="60" w:after="60" w:line="240" w:lineRule="auto"/>
              <w:rPr>
                <w:rFonts w:eastAsia="Times New Roman" w:cstheme="minorHAnsi"/>
                <w:lang w:eastAsia="en-GB"/>
              </w:rPr>
            </w:pPr>
          </w:p>
          <w:p w14:paraId="757D063B" w14:textId="77777777" w:rsidR="00CB4B29" w:rsidRPr="00037AC4" w:rsidRDefault="00CB4B29" w:rsidP="00165190">
            <w:pPr>
              <w:rPr>
                <w:rFonts w:eastAsia="Times New Roman" w:cstheme="minorHAnsi"/>
                <w:color w:val="000000"/>
                <w:lang w:eastAsia="en-GB"/>
              </w:rPr>
            </w:pPr>
            <w:r w:rsidRPr="00037AC4">
              <w:rPr>
                <w:rFonts w:eastAsia="Times New Roman" w:cstheme="minorHAnsi"/>
                <w:color w:val="000000"/>
                <w:lang w:eastAsia="en-GB"/>
              </w:rPr>
              <w:t xml:space="preserve">This shared care protocol also includes treatment of chronic inflammatory conditions where off-label use of ciclosporin is appropriate, including, </w:t>
            </w:r>
            <w:r w:rsidRPr="00037AC4">
              <w:rPr>
                <w:rFonts w:cstheme="minorHAnsi"/>
                <w:color w:val="000000"/>
              </w:rPr>
              <w:t>but not limited to, the following specialities and conditions</w:t>
            </w:r>
            <w:r w:rsidRPr="00037AC4">
              <w:rPr>
                <w:rFonts w:eastAsia="Times New Roman" w:cstheme="minorHAnsi"/>
                <w:color w:val="000000"/>
                <w:lang w:eastAsia="en-GB"/>
              </w:rPr>
              <w:t>:</w:t>
            </w:r>
          </w:p>
          <w:p w14:paraId="5864F381" w14:textId="77777777" w:rsidR="00CB4B29" w:rsidRPr="00037AC4" w:rsidRDefault="00CB4B29" w:rsidP="00455CD5">
            <w:pPr>
              <w:numPr>
                <w:ilvl w:val="0"/>
                <w:numId w:val="12"/>
              </w:numPr>
              <w:ind w:left="357" w:hanging="357"/>
              <w:contextualSpacing/>
              <w:rPr>
                <w:rFonts w:cs="Arial"/>
                <w:color w:val="000000"/>
              </w:rPr>
            </w:pPr>
            <w:r w:rsidRPr="00037AC4">
              <w:rPr>
                <w:rFonts w:cs="Arial"/>
                <w:color w:val="000000"/>
              </w:rPr>
              <w:t>Rheumatology (e.g. psoriatic arthritis, systemic lupus erythematosus, connective tissue disease,</w:t>
            </w:r>
            <w:r w:rsidRPr="00037AC4">
              <w:rPr>
                <w:rFonts w:eastAsia="Times New Roman" w:cstheme="minorHAnsi"/>
                <w:color w:val="000000"/>
                <w:lang w:eastAsia="en-GB"/>
              </w:rPr>
              <w:t xml:space="preserve"> vasculitis</w:t>
            </w:r>
            <w:r w:rsidRPr="00037AC4">
              <w:rPr>
                <w:rFonts w:cs="Arial"/>
                <w:color w:val="000000"/>
              </w:rPr>
              <w:t>)</w:t>
            </w:r>
          </w:p>
          <w:p w14:paraId="33DE6F42" w14:textId="77777777" w:rsidR="00CB4B29" w:rsidRPr="00037AC4" w:rsidRDefault="00CB4B29" w:rsidP="00BF1BE2">
            <w:pPr>
              <w:numPr>
                <w:ilvl w:val="0"/>
                <w:numId w:val="12"/>
              </w:numPr>
              <w:ind w:left="357" w:hanging="357"/>
              <w:contextualSpacing/>
              <w:rPr>
                <w:rFonts w:cs="Arial"/>
                <w:color w:val="000000"/>
              </w:rPr>
            </w:pPr>
            <w:r w:rsidRPr="00037AC4">
              <w:rPr>
                <w:rFonts w:cs="Arial"/>
                <w:color w:val="000000"/>
              </w:rPr>
              <w:t>Dermatology (e.g. urticaria, inflammatory dermatoses, bullous conditions)</w:t>
            </w:r>
          </w:p>
          <w:p w14:paraId="775F172E" w14:textId="77777777" w:rsidR="00CB4B29" w:rsidRPr="00037AC4" w:rsidRDefault="00CB4B29" w:rsidP="00455CD5">
            <w:pPr>
              <w:numPr>
                <w:ilvl w:val="0"/>
                <w:numId w:val="12"/>
              </w:numPr>
              <w:ind w:left="357" w:hanging="357"/>
              <w:contextualSpacing/>
              <w:rPr>
                <w:rFonts w:cs="Arial"/>
                <w:color w:val="000000"/>
              </w:rPr>
            </w:pPr>
            <w:r w:rsidRPr="00037AC4">
              <w:rPr>
                <w:rFonts w:cs="Arial"/>
                <w:color w:val="000000"/>
              </w:rPr>
              <w:lastRenderedPageBreak/>
              <w:t>Gastroenterology (e.g. severe ulcerative colitis)</w:t>
            </w:r>
          </w:p>
          <w:p w14:paraId="1609489C" w14:textId="77777777" w:rsidR="00CB4B29" w:rsidRPr="00037AC4" w:rsidRDefault="00CB4B29" w:rsidP="00455CD5">
            <w:pPr>
              <w:numPr>
                <w:ilvl w:val="0"/>
                <w:numId w:val="12"/>
              </w:numPr>
              <w:ind w:left="357" w:hanging="357"/>
              <w:contextualSpacing/>
              <w:rPr>
                <w:rFonts w:cs="Arial"/>
                <w:color w:val="000000"/>
              </w:rPr>
            </w:pPr>
            <w:r w:rsidRPr="00037AC4">
              <w:rPr>
                <w:rFonts w:cs="Arial"/>
                <w:color w:val="000000"/>
              </w:rPr>
              <w:t>Renal medicine (e.g. vasculitis, lupus nephritis)</w:t>
            </w:r>
          </w:p>
          <w:p w14:paraId="7D3336C0" w14:textId="77777777" w:rsidR="00CB4B29" w:rsidRPr="00037AC4" w:rsidRDefault="00CB4B29" w:rsidP="00455CD5">
            <w:pPr>
              <w:numPr>
                <w:ilvl w:val="0"/>
                <w:numId w:val="12"/>
              </w:numPr>
              <w:ind w:left="357" w:hanging="357"/>
              <w:contextualSpacing/>
              <w:rPr>
                <w:rFonts w:cs="Arial"/>
                <w:color w:val="000000"/>
              </w:rPr>
            </w:pPr>
            <w:r w:rsidRPr="00037AC4">
              <w:rPr>
                <w:rFonts w:cs="Arial"/>
                <w:color w:val="000000"/>
              </w:rPr>
              <w:t>Neurology (e.g. myasthenia gravis)</w:t>
            </w:r>
          </w:p>
          <w:p w14:paraId="30C858CA" w14:textId="77777777" w:rsidR="00CB4B29" w:rsidRPr="00037AC4" w:rsidRDefault="00CB4B29" w:rsidP="00165190">
            <w:pPr>
              <w:rPr>
                <w:rFonts w:eastAsia="Times New Roman" w:cstheme="minorHAnsi"/>
                <w:lang w:eastAsia="en-GB"/>
              </w:rPr>
            </w:pPr>
            <w:r w:rsidRPr="00037AC4">
              <w:rPr>
                <w:rFonts w:eastAsia="Times New Roman" w:cstheme="minorHAnsi"/>
                <w:lang w:eastAsia="en-GB"/>
              </w:rPr>
              <w:t>These indications are off-label. The specialist must specify the indication for each patient when initiating shared care and clearly state when use is off-label.</w:t>
            </w:r>
          </w:p>
          <w:p w14:paraId="11030CBC" w14:textId="77777777" w:rsidR="00CB4B29" w:rsidRPr="00037AC4" w:rsidRDefault="00CB4B29" w:rsidP="00455CD5">
            <w:pPr>
              <w:ind w:left="357" w:hanging="357"/>
              <w:rPr>
                <w:rFonts w:eastAsia="Times New Roman" w:cstheme="minorHAnsi"/>
                <w:lang w:eastAsia="en-GB"/>
              </w:rPr>
            </w:pPr>
          </w:p>
          <w:p w14:paraId="394CB7AA" w14:textId="3D0C497C" w:rsidR="00E50AEB" w:rsidRPr="00037AC4" w:rsidRDefault="00CB4B29" w:rsidP="00455CD5">
            <w:pPr>
              <w:ind w:left="357" w:hanging="357"/>
              <w:rPr>
                <w:rFonts w:eastAsia="Times New Roman"/>
                <w:lang w:eastAsia="en-GB"/>
              </w:rPr>
            </w:pPr>
            <w:r w:rsidRPr="00037AC4">
              <w:rPr>
                <w:rFonts w:eastAsia="Times New Roman" w:cstheme="minorHAnsi"/>
                <w:lang w:eastAsia="en-GB"/>
              </w:rPr>
              <w:t>This shared care protocol applies to adults aged 18 and over.</w:t>
            </w:r>
          </w:p>
          <w:p w14:paraId="45C820ED" w14:textId="4939610B" w:rsidR="00CB4B29" w:rsidRPr="00037AC4" w:rsidRDefault="00CB4B29" w:rsidP="006E68A7">
            <w:pPr>
              <w:rPr>
                <w:rFonts w:eastAsia="Times New Roman"/>
                <w:lang w:eastAsia="en-GB"/>
              </w:rPr>
            </w:pPr>
          </w:p>
        </w:tc>
      </w:tr>
      <w:tr w:rsidR="00055685" w:rsidRPr="00037AC4" w14:paraId="0408E228" w14:textId="77777777" w:rsidTr="5A73B5A2">
        <w:trPr>
          <w:jc w:val="center"/>
        </w:trPr>
        <w:tc>
          <w:tcPr>
            <w:tcW w:w="10455" w:type="dxa"/>
            <w:gridSpan w:val="3"/>
            <w:tcBorders>
              <w:bottom w:val="nil"/>
            </w:tcBorders>
            <w:shd w:val="clear" w:color="auto" w:fill="F2F2F2" w:themeFill="background1" w:themeFillShade="F2"/>
          </w:tcPr>
          <w:p w14:paraId="7FEEB7AA" w14:textId="208204A8" w:rsidR="00055685" w:rsidRPr="00037AC4" w:rsidRDefault="00055685" w:rsidP="00846A4A">
            <w:pPr>
              <w:pStyle w:val="Heading1"/>
              <w:tabs>
                <w:tab w:val="right" w:pos="10238"/>
              </w:tabs>
              <w:rPr>
                <w:color w:val="000000"/>
                <w:sz w:val="16"/>
                <w:szCs w:val="16"/>
                <w:lang w:val="en" w:eastAsia="en-GB"/>
              </w:rPr>
            </w:pPr>
            <w:bookmarkStart w:id="6" w:name="_Locally_agreed_off-label"/>
            <w:bookmarkStart w:id="7" w:name="Three_local_indications"/>
            <w:bookmarkEnd w:id="6"/>
            <w:r w:rsidRPr="00037AC4">
              <w:rPr>
                <w:lang w:eastAsia="en-GB"/>
              </w:rPr>
              <w:lastRenderedPageBreak/>
              <w:t>Locally agreed off-label use</w:t>
            </w:r>
            <w:bookmarkEnd w:id="7"/>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516AFA" w:rsidRPr="00037AC4" w14:paraId="6AD485E9" w14:textId="77777777" w:rsidTr="5A73B5A2">
        <w:trPr>
          <w:jc w:val="center"/>
        </w:trPr>
        <w:tc>
          <w:tcPr>
            <w:tcW w:w="10455" w:type="dxa"/>
            <w:gridSpan w:val="3"/>
            <w:tcBorders>
              <w:top w:val="nil"/>
              <w:bottom w:val="single" w:sz="4" w:space="0" w:color="auto"/>
            </w:tcBorders>
            <w:shd w:val="clear" w:color="auto" w:fill="auto"/>
          </w:tcPr>
          <w:p w14:paraId="7CF0BAE9" w14:textId="59FB8F30" w:rsidR="005D30E8" w:rsidRDefault="00FA5FE6" w:rsidP="005D30E8">
            <w:pPr>
              <w:rPr>
                <w:rFonts w:eastAsia="Arial" w:cs="Arial"/>
                <w:szCs w:val="24"/>
              </w:rPr>
            </w:pPr>
            <w:sdt>
              <w:sdtPr>
                <w:rPr>
                  <w:rFonts w:eastAsia="Times New Roman" w:cstheme="minorHAnsi"/>
                  <w:b/>
                  <w:bCs/>
                  <w:color w:val="000000"/>
                  <w:lang w:val="en" w:eastAsia="en-GB"/>
                </w:rPr>
                <w:id w:val="-477922673"/>
              </w:sdtPr>
              <w:sdtEndPr>
                <w:rPr>
                  <w:rFonts w:eastAsia="Arial" w:cs="Arial"/>
                  <w:b w:val="0"/>
                  <w:bCs w:val="0"/>
                  <w:color w:val="auto"/>
                  <w:szCs w:val="24"/>
                  <w:lang w:val="en-GB" w:eastAsia="en-US"/>
                </w:rPr>
              </w:sdtEndPr>
              <w:sdtContent/>
            </w:sdt>
            <w:r w:rsidR="005D30E8" w:rsidRPr="00373E49">
              <w:rPr>
                <w:rFonts w:eastAsia="Arial" w:cs="Arial"/>
                <w:szCs w:val="24"/>
              </w:rPr>
              <w:t xml:space="preserve">The </w:t>
            </w:r>
            <w:r w:rsidR="005D30E8">
              <w:rPr>
                <w:rFonts w:eastAsia="Arial" w:cs="Arial"/>
                <w:szCs w:val="24"/>
              </w:rPr>
              <w:t xml:space="preserve">South West London Integrated Medicines Optimisation Committee </w:t>
            </w:r>
            <w:r w:rsidR="005D30E8" w:rsidRPr="00373E49">
              <w:rPr>
                <w:rFonts w:eastAsia="Arial" w:cs="Arial"/>
                <w:szCs w:val="24"/>
              </w:rPr>
              <w:t>recommended the use of this document for the</w:t>
            </w:r>
            <w:r w:rsidR="005D30E8">
              <w:rPr>
                <w:rFonts w:eastAsia="Arial" w:cs="Arial"/>
                <w:szCs w:val="24"/>
              </w:rPr>
              <w:t xml:space="preserve"> indications as outlined above. </w:t>
            </w:r>
          </w:p>
          <w:p w14:paraId="23997FD4" w14:textId="77777777" w:rsidR="00C414FE" w:rsidRPr="00373E49" w:rsidRDefault="00C414FE" w:rsidP="005D30E8">
            <w:pPr>
              <w:rPr>
                <w:rFonts w:eastAsia="Arial" w:cs="Arial"/>
                <w:szCs w:val="24"/>
              </w:rPr>
            </w:pPr>
          </w:p>
          <w:p w14:paraId="3A3F6B17" w14:textId="502C0CF7" w:rsidR="005D30E8" w:rsidRDefault="005D30E8" w:rsidP="005D30E8">
            <w:pPr>
              <w:rPr>
                <w:rFonts w:eastAsia="Arial" w:cs="Arial"/>
                <w:szCs w:val="24"/>
              </w:rPr>
            </w:pPr>
            <w:r w:rsidRPr="00373E49">
              <w:rPr>
                <w:rFonts w:eastAsia="Arial" w:cs="Arial"/>
                <w:szCs w:val="24"/>
              </w:rPr>
              <w:t>The following information should be provided in correspondence to support prescribing in line with this shared care.</w:t>
            </w:r>
          </w:p>
          <w:p w14:paraId="44FA513F" w14:textId="77777777" w:rsidR="00C414FE" w:rsidRPr="00373E49" w:rsidRDefault="00C414FE" w:rsidP="005D30E8">
            <w:pPr>
              <w:rPr>
                <w:rFonts w:eastAsia="Arial" w:cs="Arial"/>
                <w:szCs w:val="24"/>
              </w:rPr>
            </w:pPr>
          </w:p>
          <w:p w14:paraId="2DFC214E" w14:textId="77777777" w:rsidR="005D30E8" w:rsidRPr="00373E49" w:rsidRDefault="005D30E8" w:rsidP="005D30E8">
            <w:pPr>
              <w:numPr>
                <w:ilvl w:val="0"/>
                <w:numId w:val="41"/>
              </w:numPr>
              <w:spacing w:after="50"/>
              <w:rPr>
                <w:rFonts w:eastAsia="Arial" w:cs="Arial"/>
                <w:szCs w:val="24"/>
              </w:rPr>
            </w:pPr>
            <w:r w:rsidRPr="00373E49">
              <w:rPr>
                <w:rFonts w:eastAsia="Arial" w:cs="Arial"/>
                <w:szCs w:val="24"/>
              </w:rPr>
              <w:t xml:space="preserve">Dosing specific to the indication </w:t>
            </w:r>
          </w:p>
          <w:p w14:paraId="3C967FE8" w14:textId="77777777" w:rsidR="005D30E8" w:rsidRPr="00373E49" w:rsidRDefault="005D30E8" w:rsidP="005D30E8">
            <w:pPr>
              <w:numPr>
                <w:ilvl w:val="0"/>
                <w:numId w:val="41"/>
              </w:numPr>
              <w:spacing w:after="50"/>
              <w:rPr>
                <w:rFonts w:eastAsia="Arial" w:cs="Arial"/>
                <w:szCs w:val="24"/>
              </w:rPr>
            </w:pPr>
            <w:r w:rsidRPr="00373E49">
              <w:rPr>
                <w:rFonts w:eastAsia="Arial" w:cs="Arial"/>
                <w:szCs w:val="24"/>
              </w:rPr>
              <w:t>Relevant interaction information</w:t>
            </w:r>
          </w:p>
          <w:p w14:paraId="74B5C790" w14:textId="77777777" w:rsidR="005D30E8" w:rsidRPr="00031A00" w:rsidRDefault="005D30E8" w:rsidP="005D30E8">
            <w:pPr>
              <w:numPr>
                <w:ilvl w:val="0"/>
                <w:numId w:val="41"/>
              </w:numPr>
              <w:spacing w:after="50"/>
              <w:rPr>
                <w:rFonts w:eastAsia="Arial" w:cs="Arial"/>
                <w:szCs w:val="24"/>
              </w:rPr>
            </w:pPr>
            <w:r w:rsidRPr="00031A00">
              <w:rPr>
                <w:rFonts w:eastAsia="Arial" w:cs="Arial"/>
                <w:szCs w:val="24"/>
              </w:rPr>
              <w:t>Any additional monitoring requirements over and above the shared care.</w:t>
            </w:r>
          </w:p>
          <w:p w14:paraId="7CB5C8CF" w14:textId="77777777" w:rsidR="005D30E8" w:rsidRPr="00373E49" w:rsidRDefault="005D30E8" w:rsidP="005D30E8">
            <w:pPr>
              <w:numPr>
                <w:ilvl w:val="0"/>
                <w:numId w:val="41"/>
              </w:numPr>
              <w:spacing w:after="50"/>
              <w:rPr>
                <w:rFonts w:eastAsia="Arial" w:cs="Arial"/>
                <w:szCs w:val="24"/>
              </w:rPr>
            </w:pPr>
            <w:r w:rsidRPr="00373E49">
              <w:rPr>
                <w:rFonts w:eastAsia="Arial" w:cs="Arial"/>
                <w:szCs w:val="24"/>
              </w:rPr>
              <w:t>Duration of treatment</w:t>
            </w:r>
          </w:p>
          <w:p w14:paraId="64E5A3CF" w14:textId="7DAF0227" w:rsidR="005D30E8" w:rsidRDefault="005D30E8" w:rsidP="005D30E8">
            <w:pPr>
              <w:numPr>
                <w:ilvl w:val="0"/>
                <w:numId w:val="41"/>
              </w:numPr>
              <w:spacing w:after="50"/>
              <w:rPr>
                <w:rFonts w:eastAsia="Arial" w:cs="Arial"/>
                <w:szCs w:val="24"/>
              </w:rPr>
            </w:pPr>
            <w:r w:rsidRPr="00373E49">
              <w:rPr>
                <w:rFonts w:eastAsia="Arial" w:cs="Arial"/>
                <w:szCs w:val="24"/>
              </w:rPr>
              <w:t>Frequency of review.</w:t>
            </w:r>
          </w:p>
          <w:p w14:paraId="4B13516C" w14:textId="58CA2AB8" w:rsidR="1D25FEB4" w:rsidRPr="007C7671" w:rsidRDefault="005D30E8" w:rsidP="005D30E8">
            <w:pPr>
              <w:numPr>
                <w:ilvl w:val="0"/>
                <w:numId w:val="41"/>
              </w:numPr>
              <w:spacing w:after="50"/>
              <w:rPr>
                <w:rFonts w:eastAsia="Arial" w:cs="Arial"/>
                <w:szCs w:val="24"/>
              </w:rPr>
            </w:pPr>
            <w:r w:rsidRPr="007C7671">
              <w:rPr>
                <w:rFonts w:eastAsia="Times New Roman"/>
              </w:rPr>
              <w:t>Specific features of adverse effects or deterioration pertinent to the specific indication for which it is used</w:t>
            </w:r>
          </w:p>
        </w:tc>
      </w:tr>
      <w:tr w:rsidR="00055685" w:rsidRPr="00037AC4" w14:paraId="6AC5F0BC" w14:textId="77777777" w:rsidTr="5A73B5A2">
        <w:trPr>
          <w:jc w:val="center"/>
        </w:trPr>
        <w:tc>
          <w:tcPr>
            <w:tcW w:w="10455" w:type="dxa"/>
            <w:gridSpan w:val="3"/>
            <w:tcBorders>
              <w:bottom w:val="nil"/>
            </w:tcBorders>
            <w:shd w:val="clear" w:color="auto" w:fill="F2F2F2" w:themeFill="background1" w:themeFillShade="F2"/>
          </w:tcPr>
          <w:p w14:paraId="09AB2071" w14:textId="5380C4B8" w:rsidR="00055685" w:rsidRPr="00037AC4" w:rsidRDefault="00055685" w:rsidP="00595041">
            <w:pPr>
              <w:pStyle w:val="Heading1"/>
              <w:tabs>
                <w:tab w:val="right" w:pos="10240"/>
              </w:tabs>
              <w:rPr>
                <w:lang w:eastAsia="en-GB"/>
              </w:rPr>
            </w:pPr>
            <w:bookmarkStart w:id="8" w:name="Four_cx_and_cautions"/>
            <w:r w:rsidRPr="00037AC4">
              <w:rPr>
                <w:lang w:eastAsia="en-GB"/>
              </w:rPr>
              <w:t>Contraindications and cautions</w:t>
            </w:r>
            <w:r w:rsidRPr="00037AC4">
              <w:tab/>
            </w:r>
            <w:hyperlink w:anchor="Responsibilities">
              <w:r w:rsidRPr="00037AC4">
                <w:rPr>
                  <w:rStyle w:val="Hyperlink"/>
                  <w:rFonts w:eastAsia="Times New Roman" w:cs="Arial"/>
                  <w:b w:val="0"/>
                  <w:bCs w:val="0"/>
                  <w:sz w:val="24"/>
                  <w:szCs w:val="24"/>
                  <w:lang w:eastAsia="en-GB"/>
                </w:rPr>
                <w:t>Back to top</w:t>
              </w:r>
            </w:hyperlink>
            <w:bookmarkEnd w:id="8"/>
          </w:p>
          <w:p w14:paraId="7CBFF278" w14:textId="6AD01457" w:rsidR="00055685" w:rsidRPr="00037AC4" w:rsidRDefault="1D25FEB4" w:rsidP="1D25FEB4">
            <w:pPr>
              <w:rPr>
                <w:rFonts w:eastAsia="Arial" w:cs="Arial"/>
                <w:color w:val="000000" w:themeColor="text1"/>
                <w:sz w:val="22"/>
              </w:rPr>
            </w:pPr>
            <w:r w:rsidRPr="00037AC4">
              <w:rPr>
                <w:rFonts w:eastAsia="Arial" w:cs="Arial"/>
                <w:color w:val="000000" w:themeColor="text1"/>
                <w:sz w:val="22"/>
              </w:rPr>
              <w:t>This information does not replace the Summary of Product Characteristics (</w:t>
            </w:r>
            <w:r w:rsidRPr="00037AC4">
              <w:rPr>
                <w:rFonts w:eastAsia="Arial" w:cs="Arial"/>
                <w:sz w:val="22"/>
              </w:rPr>
              <w:t xml:space="preserve">SPC), and should be read in conjunction with it. Please see </w:t>
            </w:r>
            <w:hyperlink r:id="rId23">
              <w:r w:rsidRPr="00037AC4">
                <w:rPr>
                  <w:rStyle w:val="Hyperlink"/>
                  <w:rFonts w:eastAsia="Arial" w:cs="Arial"/>
                  <w:sz w:val="22"/>
                </w:rPr>
                <w:t>BNF</w:t>
              </w:r>
            </w:hyperlink>
            <w:r w:rsidRPr="00037AC4">
              <w:rPr>
                <w:rFonts w:eastAsia="Arial" w:cs="Arial"/>
                <w:color w:val="000000" w:themeColor="text1"/>
                <w:sz w:val="22"/>
              </w:rPr>
              <w:t xml:space="preserve"> &amp; </w:t>
            </w:r>
            <w:hyperlink r:id="rId24">
              <w:r w:rsidRPr="00037AC4">
                <w:rPr>
                  <w:rStyle w:val="Hyperlink"/>
                  <w:rFonts w:eastAsia="Arial" w:cs="Arial"/>
                  <w:sz w:val="22"/>
                </w:rPr>
                <w:t>SPC</w:t>
              </w:r>
            </w:hyperlink>
            <w:r w:rsidRPr="00037AC4">
              <w:rPr>
                <w:rFonts w:eastAsia="Arial" w:cs="Arial"/>
                <w:color w:val="000000" w:themeColor="text1"/>
                <w:sz w:val="22"/>
              </w:rPr>
              <w:t xml:space="preserve">  f</w:t>
            </w:r>
            <w:r w:rsidRPr="00037AC4">
              <w:rPr>
                <w:rFonts w:eastAsia="Arial" w:cs="Arial"/>
                <w:sz w:val="22"/>
              </w:rPr>
              <w:t>or comprehensive information.</w:t>
            </w:r>
          </w:p>
        </w:tc>
      </w:tr>
      <w:tr w:rsidR="002D6DA8" w:rsidRPr="00037AC4" w14:paraId="15455F3C" w14:textId="77777777" w:rsidTr="5A73B5A2">
        <w:trPr>
          <w:jc w:val="center"/>
        </w:trPr>
        <w:tc>
          <w:tcPr>
            <w:tcW w:w="10455" w:type="dxa"/>
            <w:gridSpan w:val="3"/>
            <w:tcBorders>
              <w:top w:val="nil"/>
              <w:bottom w:val="single" w:sz="4" w:space="0" w:color="auto"/>
            </w:tcBorders>
            <w:shd w:val="clear" w:color="auto" w:fill="auto"/>
          </w:tcPr>
          <w:p w14:paraId="5E9F1519" w14:textId="3498A10C" w:rsidR="00224B60" w:rsidRPr="00037AC4" w:rsidRDefault="00224B60" w:rsidP="00455CD5">
            <w:pPr>
              <w:autoSpaceDE w:val="0"/>
              <w:autoSpaceDN w:val="0"/>
              <w:adjustRightInd w:val="0"/>
              <w:ind w:left="357" w:hanging="357"/>
              <w:rPr>
                <w:rFonts w:eastAsia="Times New Roman" w:cs="Arial"/>
                <w:b/>
                <w:color w:val="000000"/>
                <w:szCs w:val="24"/>
                <w:lang w:eastAsia="en-GB"/>
              </w:rPr>
            </w:pPr>
            <w:r w:rsidRPr="00037AC4">
              <w:rPr>
                <w:rFonts w:eastAsia="Times New Roman" w:cs="Arial"/>
                <w:b/>
                <w:color w:val="000000"/>
                <w:szCs w:val="24"/>
                <w:lang w:eastAsia="en-GB"/>
              </w:rPr>
              <w:t>Contraindications:</w:t>
            </w:r>
          </w:p>
          <w:p w14:paraId="2F584CE5" w14:textId="77777777" w:rsidR="00455CD5" w:rsidRPr="00037AC4" w:rsidRDefault="00455CD5" w:rsidP="00BF1BE2">
            <w:pPr>
              <w:numPr>
                <w:ilvl w:val="0"/>
                <w:numId w:val="26"/>
              </w:numPr>
              <w:autoSpaceDE w:val="0"/>
              <w:autoSpaceDN w:val="0"/>
              <w:adjustRightInd w:val="0"/>
              <w:ind w:left="357" w:hanging="357"/>
              <w:contextualSpacing/>
              <w:rPr>
                <w:rFonts w:eastAsia="Times New Roman" w:cs="Arial"/>
                <w:bCs/>
                <w:iCs/>
                <w:color w:val="000000"/>
                <w:szCs w:val="24"/>
                <w:lang w:eastAsia="en-GB"/>
              </w:rPr>
            </w:pPr>
            <w:r w:rsidRPr="00037AC4">
              <w:rPr>
                <w:rFonts w:eastAsia="Times New Roman" w:cs="Arial"/>
                <w:bCs/>
                <w:iCs/>
                <w:color w:val="000000"/>
                <w:szCs w:val="24"/>
                <w:lang w:eastAsia="en-GB"/>
              </w:rPr>
              <w:t>Hypersensitivity to ciclosporin or any excipients</w:t>
            </w:r>
          </w:p>
          <w:p w14:paraId="698ABCB0" w14:textId="77777777" w:rsidR="00455CD5" w:rsidRPr="00037AC4" w:rsidRDefault="00455CD5" w:rsidP="00BF1BE2">
            <w:pPr>
              <w:numPr>
                <w:ilvl w:val="0"/>
                <w:numId w:val="26"/>
              </w:numPr>
              <w:autoSpaceDE w:val="0"/>
              <w:autoSpaceDN w:val="0"/>
              <w:adjustRightInd w:val="0"/>
              <w:ind w:left="357" w:hanging="357"/>
              <w:contextualSpacing/>
              <w:rPr>
                <w:rFonts w:eastAsia="Times New Roman" w:cs="Arial"/>
                <w:bCs/>
                <w:iCs/>
                <w:color w:val="000000"/>
                <w:szCs w:val="24"/>
                <w:lang w:eastAsia="en-GB"/>
              </w:rPr>
            </w:pPr>
            <w:r w:rsidRPr="00037AC4">
              <w:rPr>
                <w:rFonts w:eastAsia="Times New Roman" w:cs="Arial"/>
                <w:bCs/>
                <w:iCs/>
                <w:color w:val="000000"/>
                <w:szCs w:val="24"/>
                <w:lang w:eastAsia="en-GB"/>
              </w:rPr>
              <w:t>Malignancy</w:t>
            </w:r>
          </w:p>
          <w:p w14:paraId="0A75A16E" w14:textId="77777777" w:rsidR="00455CD5" w:rsidRPr="00037AC4" w:rsidRDefault="00455CD5" w:rsidP="00BF1BE2">
            <w:pPr>
              <w:numPr>
                <w:ilvl w:val="0"/>
                <w:numId w:val="26"/>
              </w:numPr>
              <w:autoSpaceDE w:val="0"/>
              <w:autoSpaceDN w:val="0"/>
              <w:adjustRightInd w:val="0"/>
              <w:ind w:left="357" w:hanging="357"/>
              <w:contextualSpacing/>
              <w:rPr>
                <w:rFonts w:eastAsia="Times New Roman" w:cs="Arial"/>
                <w:bCs/>
                <w:iCs/>
                <w:color w:val="000000"/>
                <w:szCs w:val="24"/>
                <w:lang w:eastAsia="en-GB"/>
              </w:rPr>
            </w:pPr>
            <w:r w:rsidRPr="00037AC4">
              <w:rPr>
                <w:rFonts w:eastAsia="Times New Roman" w:cs="Arial"/>
                <w:bCs/>
                <w:iCs/>
                <w:color w:val="000000"/>
                <w:szCs w:val="24"/>
                <w:lang w:eastAsia="en-GB"/>
              </w:rPr>
              <w:t>Uncontrolled hypertension</w:t>
            </w:r>
          </w:p>
          <w:p w14:paraId="5DBEA53E" w14:textId="77777777" w:rsidR="00455CD5" w:rsidRPr="00037AC4" w:rsidRDefault="00455CD5" w:rsidP="00BF1BE2">
            <w:pPr>
              <w:numPr>
                <w:ilvl w:val="0"/>
                <w:numId w:val="26"/>
              </w:numPr>
              <w:autoSpaceDE w:val="0"/>
              <w:autoSpaceDN w:val="0"/>
              <w:adjustRightInd w:val="0"/>
              <w:ind w:left="357" w:hanging="357"/>
              <w:contextualSpacing/>
              <w:rPr>
                <w:rFonts w:eastAsia="Times New Roman" w:cs="Arial"/>
                <w:bCs/>
                <w:iCs/>
                <w:color w:val="000000"/>
                <w:szCs w:val="24"/>
                <w:lang w:eastAsia="en-GB"/>
              </w:rPr>
            </w:pPr>
            <w:r w:rsidRPr="00037AC4">
              <w:rPr>
                <w:rFonts w:eastAsia="Times New Roman" w:cs="Arial"/>
                <w:bCs/>
                <w:iCs/>
                <w:color w:val="000000"/>
                <w:szCs w:val="24"/>
                <w:lang w:eastAsia="en-GB"/>
              </w:rPr>
              <w:lastRenderedPageBreak/>
              <w:t>Uncontrolled infection</w:t>
            </w:r>
          </w:p>
          <w:p w14:paraId="75D622C6" w14:textId="77777777" w:rsidR="00455CD5" w:rsidRPr="00037AC4" w:rsidRDefault="00455CD5" w:rsidP="00BF1BE2">
            <w:pPr>
              <w:numPr>
                <w:ilvl w:val="0"/>
                <w:numId w:val="26"/>
              </w:numPr>
              <w:autoSpaceDE w:val="0"/>
              <w:autoSpaceDN w:val="0"/>
              <w:adjustRightInd w:val="0"/>
              <w:ind w:left="357" w:hanging="357"/>
              <w:contextualSpacing/>
              <w:rPr>
                <w:rFonts w:eastAsia="Times New Roman" w:cs="Arial"/>
                <w:bCs/>
                <w:iCs/>
                <w:color w:val="000000"/>
                <w:szCs w:val="24"/>
                <w:lang w:eastAsia="en-GB"/>
              </w:rPr>
            </w:pPr>
            <w:r w:rsidRPr="00037AC4">
              <w:rPr>
                <w:rFonts w:eastAsia="Times New Roman" w:cs="Arial"/>
                <w:bCs/>
                <w:iCs/>
                <w:color w:val="000000"/>
                <w:szCs w:val="24"/>
                <w:lang w:eastAsia="en-GB"/>
              </w:rPr>
              <w:t xml:space="preserve">Concomitant use with </w:t>
            </w:r>
            <w:r w:rsidRPr="00037AC4">
              <w:rPr>
                <w:rFonts w:eastAsia="Times New Roman" w:cs="Arial"/>
                <w:bCs/>
                <w:i/>
                <w:iCs/>
                <w:color w:val="000000"/>
                <w:szCs w:val="24"/>
                <w:lang w:eastAsia="en-GB"/>
              </w:rPr>
              <w:t>Hypericum perforatum</w:t>
            </w:r>
            <w:r w:rsidRPr="00037AC4">
              <w:rPr>
                <w:rFonts w:eastAsia="Times New Roman" w:cs="Arial"/>
                <w:bCs/>
                <w:iCs/>
                <w:color w:val="000000"/>
                <w:szCs w:val="24"/>
                <w:lang w:eastAsia="en-GB"/>
              </w:rPr>
              <w:t xml:space="preserve"> (St John’s Wort), tacrolimus, or substrates for P-glycoprotein or organic anion transporter proteins (OATP) e.g. bosentan, dabigatran, aliskiren (see </w:t>
            </w:r>
            <w:hyperlink w:anchor="Seven_interactions" w:history="1">
              <w:r w:rsidRPr="00037AC4">
                <w:rPr>
                  <w:rFonts w:eastAsia="Times New Roman" w:cs="Arial"/>
                  <w:bCs/>
                  <w:iCs/>
                  <w:color w:val="0000FF" w:themeColor="hyperlink"/>
                  <w:szCs w:val="24"/>
                  <w:u w:val="single"/>
                  <w:lang w:eastAsia="en-GB"/>
                </w:rPr>
                <w:t>section 7</w:t>
              </w:r>
            </w:hyperlink>
            <w:r w:rsidRPr="00037AC4">
              <w:rPr>
                <w:rFonts w:eastAsia="Times New Roman" w:cs="Arial"/>
                <w:bCs/>
                <w:iCs/>
                <w:color w:val="000000"/>
                <w:szCs w:val="24"/>
                <w:lang w:eastAsia="en-GB"/>
              </w:rPr>
              <w:t>)</w:t>
            </w:r>
          </w:p>
          <w:p w14:paraId="0CA1946A" w14:textId="666D0B11" w:rsidR="001B096D" w:rsidRPr="00037AC4" w:rsidRDefault="001B096D" w:rsidP="00455CD5">
            <w:pPr>
              <w:spacing w:before="60" w:after="60" w:line="240" w:lineRule="auto"/>
              <w:contextualSpacing/>
              <w:rPr>
                <w:rFonts w:asciiTheme="minorHAnsi" w:eastAsia="Times New Roman" w:hAnsiTheme="minorHAnsi" w:cstheme="minorHAnsi"/>
                <w:bCs/>
                <w:iCs/>
                <w:sz w:val="22"/>
                <w:lang w:eastAsia="en-GB"/>
              </w:rPr>
            </w:pPr>
          </w:p>
          <w:p w14:paraId="3379B18B" w14:textId="77777777" w:rsidR="00BF1BE2" w:rsidRPr="00037AC4" w:rsidRDefault="00BF1BE2" w:rsidP="00BF1BE2">
            <w:pPr>
              <w:autoSpaceDE w:val="0"/>
              <w:autoSpaceDN w:val="0"/>
              <w:adjustRightInd w:val="0"/>
              <w:rPr>
                <w:rFonts w:eastAsia="Times New Roman" w:cstheme="minorHAnsi"/>
                <w:b/>
                <w:color w:val="000000"/>
                <w:lang w:eastAsia="en-GB"/>
              </w:rPr>
            </w:pPr>
            <w:r w:rsidRPr="00037AC4">
              <w:rPr>
                <w:rFonts w:eastAsia="Times New Roman" w:cstheme="minorHAnsi"/>
                <w:b/>
                <w:bCs/>
                <w:iCs/>
                <w:color w:val="000000"/>
                <w:lang w:eastAsia="en-GB"/>
              </w:rPr>
              <w:t>Cautions</w:t>
            </w:r>
            <w:r w:rsidRPr="00037AC4">
              <w:rPr>
                <w:rFonts w:eastAsia="Times New Roman" w:cstheme="minorHAnsi"/>
                <w:b/>
                <w:color w:val="000000"/>
                <w:lang w:eastAsia="en-GB"/>
              </w:rPr>
              <w:t>:</w:t>
            </w:r>
          </w:p>
          <w:p w14:paraId="5E9CEA53"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lang w:eastAsia="en-GB"/>
              </w:rPr>
            </w:pPr>
            <w:r w:rsidRPr="00037AC4">
              <w:rPr>
                <w:rFonts w:eastAsia="Times New Roman" w:cstheme="minorHAnsi"/>
                <w:lang w:eastAsia="en-GB"/>
              </w:rPr>
              <w:t>Hepatic impairment</w:t>
            </w:r>
          </w:p>
          <w:p w14:paraId="44D66145"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lang w:eastAsia="en-GB"/>
              </w:rPr>
            </w:pPr>
            <w:r w:rsidRPr="00037AC4">
              <w:rPr>
                <w:rFonts w:eastAsia="Times New Roman" w:cstheme="minorHAnsi"/>
                <w:lang w:eastAsia="en-GB"/>
              </w:rPr>
              <w:t>Elderly; monitor renal function particularly closely</w:t>
            </w:r>
          </w:p>
          <w:p w14:paraId="6F5E7C37"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Renal impairment – see </w:t>
            </w:r>
            <w:hyperlink w:anchor="Ten_ADRs_and_Management" w:history="1">
              <w:r w:rsidRPr="00037AC4">
                <w:rPr>
                  <w:rStyle w:val="Hyperlink"/>
                  <w:rFonts w:eastAsia="Times New Roman" w:cstheme="minorHAnsi"/>
                  <w:lang w:eastAsia="en-GB"/>
                </w:rPr>
                <w:t>section 10</w:t>
              </w:r>
            </w:hyperlink>
          </w:p>
          <w:p w14:paraId="16D03641"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Hypertension</w:t>
            </w:r>
          </w:p>
          <w:p w14:paraId="4CBE2139"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Hyperlipidaemia; ciclosporin may induce a small reversible increase in blood lipids.</w:t>
            </w:r>
          </w:p>
          <w:p w14:paraId="350D57BB"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Hyperkalaemia; the risk of hyperkalaemia is increased by ciclosporin treatment.</w:t>
            </w:r>
          </w:p>
          <w:p w14:paraId="5BEB7A79"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Hypomagnesaemia; ciclosporin increases magnesium excretion, therefore supplementation may be required.</w:t>
            </w:r>
          </w:p>
          <w:p w14:paraId="73C6501E"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Hyperuricaemia </w:t>
            </w:r>
          </w:p>
          <w:p w14:paraId="19FC78C6"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Vaccination may be less effective during treatment with ciclosporin. Live attenuated vaccines should be avoided (see </w:t>
            </w:r>
            <w:hyperlink w:anchor="Seven_interactions" w:history="1">
              <w:r w:rsidRPr="00037AC4">
                <w:rPr>
                  <w:rStyle w:val="Hyperlink"/>
                  <w:rFonts w:eastAsia="Times New Roman" w:cstheme="minorHAnsi"/>
                  <w:lang w:eastAsia="en-GB"/>
                </w:rPr>
                <w:t>section 7</w:t>
              </w:r>
            </w:hyperlink>
            <w:r w:rsidRPr="00037AC4">
              <w:rPr>
                <w:rFonts w:eastAsia="Times New Roman" w:cstheme="minorHAnsi"/>
                <w:color w:val="000000"/>
                <w:lang w:eastAsia="en-GB"/>
              </w:rPr>
              <w:t>).</w:t>
            </w:r>
          </w:p>
          <w:p w14:paraId="05B210BC"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lang w:eastAsia="en-GB"/>
              </w:rPr>
            </w:pPr>
            <w:r w:rsidRPr="00037AC4">
              <w:rPr>
                <w:rFonts w:eastAsia="Times New Roman" w:cstheme="minorHAnsi"/>
                <w:lang w:eastAsia="en-GB"/>
              </w:rPr>
              <w:t xml:space="preserve">Active herpes simplex infections. Allow infection to clear before starting and withdraw if severe infections occur during treatment.  </w:t>
            </w:r>
          </w:p>
          <w:p w14:paraId="1B38B6BE"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lang w:eastAsia="en-GB"/>
              </w:rPr>
            </w:pPr>
            <w:r w:rsidRPr="00037AC4">
              <w:rPr>
                <w:rFonts w:eastAsia="Times New Roman" w:cstheme="minorHAnsi"/>
                <w:lang w:eastAsia="en-GB"/>
              </w:rPr>
              <w:t xml:space="preserve">Staphylococcus aureus skin infections. Not an absolute contraindication if infection is controlled, but avoid erythromycin unless no other alternative (see </w:t>
            </w:r>
            <w:hyperlink w:anchor="Seven_interactions" w:history="1">
              <w:r w:rsidRPr="00037AC4">
                <w:rPr>
                  <w:rStyle w:val="Hyperlink"/>
                  <w:rFonts w:eastAsia="Times New Roman" w:cstheme="minorHAnsi"/>
                  <w:color w:val="0070C0"/>
                  <w:lang w:eastAsia="en-GB"/>
                </w:rPr>
                <w:t>section 7</w:t>
              </w:r>
            </w:hyperlink>
            <w:r w:rsidRPr="00037AC4">
              <w:rPr>
                <w:rFonts w:eastAsia="Times New Roman" w:cstheme="minorHAnsi"/>
                <w:lang w:eastAsia="en-GB"/>
              </w:rPr>
              <w:t>).</w:t>
            </w:r>
          </w:p>
          <w:p w14:paraId="69C76492"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lang w:eastAsia="en-GB"/>
              </w:rPr>
            </w:pPr>
            <w:r w:rsidRPr="00037AC4">
              <w:rPr>
                <w:rFonts w:eastAsia="Times New Roman" w:cstheme="minorHAnsi"/>
                <w:lang w:eastAsia="en-GB"/>
              </w:rPr>
              <w:t>Treat patients with malignant or pre-malignant conditions of skin only after appropriate treatment (and if no other option).</w:t>
            </w:r>
          </w:p>
          <w:p w14:paraId="216A352B"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Neurological Behçet's syndrome – monitor neurological status.</w:t>
            </w:r>
          </w:p>
          <w:p w14:paraId="02867D54"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Lymphoproliferative disorders; discontinue treatment. </w:t>
            </w:r>
          </w:p>
          <w:p w14:paraId="7C82B6A9"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Pregnancy and breastfeeding, see </w:t>
            </w:r>
            <w:hyperlink w:anchor="Twelve_pregnancy_paternity" w:history="1">
              <w:r w:rsidRPr="00037AC4">
                <w:rPr>
                  <w:rStyle w:val="Hyperlink"/>
                  <w:rFonts w:eastAsia="Times New Roman" w:cstheme="minorHAnsi"/>
                  <w:lang w:eastAsia="en-GB"/>
                </w:rPr>
                <w:t>section 12</w:t>
              </w:r>
            </w:hyperlink>
            <w:r w:rsidRPr="00037AC4">
              <w:rPr>
                <w:rFonts w:eastAsia="Times New Roman" w:cstheme="minorHAnsi"/>
                <w:color w:val="000000"/>
                <w:lang w:eastAsia="en-GB"/>
              </w:rPr>
              <w:t>.</w:t>
            </w:r>
          </w:p>
          <w:p w14:paraId="3DA6659C"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All oral dosage forms of ciclosporin contain a form of ethanol, see </w:t>
            </w:r>
            <w:hyperlink w:anchor="Six_pharmaceutical" w:history="1">
              <w:r w:rsidRPr="00037AC4">
                <w:rPr>
                  <w:rStyle w:val="Hyperlink"/>
                  <w:rFonts w:eastAsia="Times New Roman" w:cstheme="minorHAnsi"/>
                  <w:lang w:eastAsia="en-GB"/>
                </w:rPr>
                <w:t>section 6</w:t>
              </w:r>
            </w:hyperlink>
            <w:r w:rsidRPr="00037AC4">
              <w:rPr>
                <w:rFonts w:eastAsia="Times New Roman" w:cstheme="minorHAnsi"/>
                <w:color w:val="000000"/>
                <w:lang w:eastAsia="en-GB"/>
              </w:rPr>
              <w:t xml:space="preserve">. </w:t>
            </w:r>
          </w:p>
          <w:p w14:paraId="3394F7F3" w14:textId="77777777" w:rsidR="00BF1BE2" w:rsidRPr="00037AC4" w:rsidRDefault="00BF1BE2" w:rsidP="00BF1BE2">
            <w:pPr>
              <w:numPr>
                <w:ilvl w:val="0"/>
                <w:numId w:val="4"/>
              </w:numPr>
              <w:ind w:left="357" w:hanging="357"/>
              <w:contextualSpacing/>
              <w:rPr>
                <w:rFonts w:cs="Arial"/>
                <w:color w:val="000000"/>
              </w:rPr>
            </w:pPr>
            <w:r w:rsidRPr="00037AC4">
              <w:rPr>
                <w:rFonts w:cs="Arial"/>
                <w:color w:val="000000"/>
              </w:rPr>
              <w:t>Due to the increased risk of skin cancer, exposure to sunlight and UV light should be limited by wearing protective clothing and using a sunscreen with a high protection factor.</w:t>
            </w:r>
          </w:p>
          <w:p w14:paraId="42E98FFB" w14:textId="0F989D46" w:rsidR="00455CD5" w:rsidRPr="00037AC4" w:rsidRDefault="00455CD5" w:rsidP="00BF1BE2">
            <w:pPr>
              <w:contextualSpacing/>
              <w:rPr>
                <w:rFonts w:eastAsia="Times New Roman" w:cs="Arial"/>
                <w:iCs/>
              </w:rPr>
            </w:pPr>
          </w:p>
        </w:tc>
      </w:tr>
      <w:tr w:rsidR="00055685" w:rsidRPr="00037AC4" w14:paraId="36F2D6DF" w14:textId="77777777" w:rsidTr="5A73B5A2">
        <w:trPr>
          <w:jc w:val="center"/>
        </w:trPr>
        <w:tc>
          <w:tcPr>
            <w:tcW w:w="10455" w:type="dxa"/>
            <w:gridSpan w:val="3"/>
            <w:tcBorders>
              <w:bottom w:val="nil"/>
            </w:tcBorders>
            <w:shd w:val="clear" w:color="auto" w:fill="F2F2F2" w:themeFill="background1" w:themeFillShade="F2"/>
          </w:tcPr>
          <w:p w14:paraId="3A956B78" w14:textId="2E5A4A81" w:rsidR="00055685" w:rsidRPr="00037AC4" w:rsidRDefault="00055685" w:rsidP="00DE19AD">
            <w:pPr>
              <w:pStyle w:val="Heading1"/>
              <w:tabs>
                <w:tab w:val="right" w:pos="10240"/>
              </w:tabs>
              <w:rPr>
                <w:lang w:eastAsia="en-GB"/>
              </w:rPr>
            </w:pPr>
            <w:bookmarkStart w:id="9" w:name="_Initiation_and_ongoing"/>
            <w:bookmarkStart w:id="10" w:name="Five_dosing"/>
            <w:bookmarkEnd w:id="9"/>
            <w:r w:rsidRPr="00037AC4">
              <w:rPr>
                <w:lang w:eastAsia="en-GB"/>
              </w:rPr>
              <w:lastRenderedPageBreak/>
              <w:t>Initiation and ongoing dose regime</w:t>
            </w:r>
            <w:r w:rsidR="00364CD9" w:rsidRPr="00037AC4">
              <w:rPr>
                <w:lang w:eastAsia="en-GB"/>
              </w:rPr>
              <w:t>n</w:t>
            </w:r>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bookmarkEnd w:id="10"/>
          <w:p w14:paraId="23F8D839" w14:textId="1A4F740E" w:rsidR="00403A06" w:rsidRPr="00037AC4" w:rsidRDefault="00403A06" w:rsidP="00403A06">
            <w:pPr>
              <w:pStyle w:val="ListParagraph"/>
              <w:numPr>
                <w:ilvl w:val="0"/>
                <w:numId w:val="4"/>
              </w:numPr>
              <w:spacing w:after="0"/>
              <w:ind w:left="357" w:hanging="357"/>
              <w:contextualSpacing/>
              <w:rPr>
                <w:rFonts w:eastAsia="Times New Roman" w:cstheme="minorHAnsi"/>
                <w:szCs w:val="24"/>
                <w:lang w:eastAsia="en-GB"/>
              </w:rPr>
            </w:pPr>
            <w:r w:rsidRPr="00037AC4">
              <w:rPr>
                <w:rFonts w:eastAsia="Times New Roman" w:cstheme="minorHAnsi"/>
                <w:szCs w:val="24"/>
                <w:lang w:eastAsia="en-GB"/>
              </w:rPr>
              <w:t>Transfer of monitoring and prescribing to primary care is after the patient has been treated for 3 months, the dose has been optimised and with satisfactory investigation results for at least 4 weeks.</w:t>
            </w:r>
          </w:p>
          <w:p w14:paraId="1C8BDA27" w14:textId="77777777" w:rsidR="00403A06" w:rsidRPr="00037AC4" w:rsidRDefault="00403A06" w:rsidP="00403A06">
            <w:pPr>
              <w:pStyle w:val="ListParagraph"/>
              <w:numPr>
                <w:ilvl w:val="0"/>
                <w:numId w:val="4"/>
              </w:numPr>
              <w:spacing w:after="0"/>
              <w:ind w:left="357" w:hanging="357"/>
              <w:contextualSpacing/>
              <w:rPr>
                <w:rFonts w:eastAsia="Times New Roman" w:cstheme="minorHAnsi"/>
                <w:szCs w:val="24"/>
                <w:lang w:eastAsia="en-GB"/>
              </w:rPr>
            </w:pPr>
            <w:r w:rsidRPr="00037AC4">
              <w:rPr>
                <w:rFonts w:eastAsia="Times New Roman" w:cstheme="minorHAnsi"/>
                <w:szCs w:val="24"/>
                <w:lang w:eastAsia="en-GB"/>
              </w:rPr>
              <w:t>The duration of treatment &amp; frequency of review will be determined by the specialist, based on clinical response and tolerability.</w:t>
            </w:r>
          </w:p>
          <w:p w14:paraId="3C3CBCAC" w14:textId="77777777" w:rsidR="00403A06" w:rsidRPr="00037AC4" w:rsidRDefault="00403A06" w:rsidP="00403A06">
            <w:pPr>
              <w:pStyle w:val="ListParagraph"/>
              <w:numPr>
                <w:ilvl w:val="0"/>
                <w:numId w:val="4"/>
              </w:numPr>
              <w:spacing w:after="0"/>
              <w:ind w:left="357" w:hanging="357"/>
              <w:contextualSpacing/>
              <w:rPr>
                <w:rFonts w:eastAsia="Times New Roman" w:cstheme="minorHAnsi"/>
                <w:szCs w:val="24"/>
                <w:lang w:eastAsia="en-GB"/>
              </w:rPr>
            </w:pPr>
            <w:r w:rsidRPr="00037AC4">
              <w:rPr>
                <w:rFonts w:eastAsia="Times New Roman" w:cstheme="minorHAnsi"/>
                <w:szCs w:val="24"/>
                <w:lang w:eastAsia="en-GB"/>
              </w:rPr>
              <w:t>All dose or formulation adjustments will be the responsibility of the initiating specialist unless directions have been discussed and agreed with the primary care clinician.</w:t>
            </w:r>
          </w:p>
          <w:p w14:paraId="3F3031CA" w14:textId="63C16070" w:rsidR="00055685" w:rsidRPr="00037AC4" w:rsidRDefault="00403A06" w:rsidP="00403A06">
            <w:pPr>
              <w:pStyle w:val="ListParagraph"/>
              <w:numPr>
                <w:ilvl w:val="0"/>
                <w:numId w:val="8"/>
              </w:numPr>
              <w:spacing w:after="0"/>
              <w:ind w:left="357" w:hanging="357"/>
              <w:rPr>
                <w:rFonts w:eastAsia="Times New Roman" w:cs="Arial"/>
                <w:lang w:eastAsia="en-GB"/>
              </w:rPr>
            </w:pPr>
            <w:r w:rsidRPr="00037AC4">
              <w:rPr>
                <w:rFonts w:eastAsia="Times New Roman" w:cstheme="minorHAnsi"/>
                <w:szCs w:val="24"/>
                <w:lang w:eastAsia="en-GB"/>
              </w:rPr>
              <w:t>Termination of treatment will be</w:t>
            </w:r>
            <w:r w:rsidRPr="00037AC4">
              <w:rPr>
                <w:rFonts w:eastAsia="Times New Roman" w:cstheme="minorHAnsi"/>
                <w:b/>
                <w:szCs w:val="24"/>
                <w:lang w:eastAsia="en-GB"/>
              </w:rPr>
              <w:t xml:space="preserve"> </w:t>
            </w:r>
            <w:r w:rsidRPr="00037AC4">
              <w:rPr>
                <w:rFonts w:eastAsia="Times New Roman" w:cstheme="minorHAnsi"/>
                <w:szCs w:val="24"/>
                <w:lang w:eastAsia="en-GB"/>
              </w:rPr>
              <w:t>the responsibility of the specialist.</w:t>
            </w:r>
          </w:p>
        </w:tc>
      </w:tr>
      <w:tr w:rsidR="00055685" w:rsidRPr="00037AC4" w14:paraId="05FF7F42" w14:textId="77777777" w:rsidTr="5A73B5A2">
        <w:trPr>
          <w:jc w:val="center"/>
        </w:trPr>
        <w:tc>
          <w:tcPr>
            <w:tcW w:w="10455" w:type="dxa"/>
            <w:gridSpan w:val="3"/>
            <w:tcBorders>
              <w:top w:val="nil"/>
            </w:tcBorders>
            <w:shd w:val="clear" w:color="auto" w:fill="auto"/>
          </w:tcPr>
          <w:p w14:paraId="2526798E" w14:textId="77777777" w:rsidR="00403A06" w:rsidRPr="00037AC4" w:rsidRDefault="00403A06" w:rsidP="00403A06">
            <w:pPr>
              <w:rPr>
                <w:rFonts w:eastAsia="Times New Roman" w:cs="Arial"/>
                <w:b/>
                <w:iCs/>
                <w:color w:val="000000"/>
                <w:u w:val="single"/>
              </w:rPr>
            </w:pPr>
            <w:r w:rsidRPr="00037AC4">
              <w:rPr>
                <w:rFonts w:eastAsia="Times New Roman" w:cs="Arial"/>
                <w:b/>
                <w:iCs/>
                <w:color w:val="000000"/>
                <w:u w:val="single"/>
              </w:rPr>
              <w:t>Initial stabilisation:</w:t>
            </w:r>
          </w:p>
          <w:p w14:paraId="50120989" w14:textId="77777777" w:rsidR="00403A06" w:rsidRPr="00037AC4" w:rsidRDefault="00403A06" w:rsidP="00403A06">
            <w:pPr>
              <w:rPr>
                <w:rFonts w:eastAsia="Times New Roman" w:cs="Arial"/>
                <w:iCs/>
                <w:color w:val="000000"/>
              </w:rPr>
            </w:pPr>
            <w:r w:rsidRPr="00037AC4">
              <w:rPr>
                <w:rFonts w:eastAsia="Times New Roman" w:cs="Arial"/>
                <w:iCs/>
                <w:color w:val="000000"/>
              </w:rPr>
              <w:t xml:space="preserve">Starting doses range from 2.5 mg/kg/day to 5 mg/kg/day in two divided doses depending on the indication. The selected dose will be tailored to the individual patient and decided by the specialist. </w:t>
            </w:r>
          </w:p>
          <w:p w14:paraId="5F04BB83" w14:textId="77777777" w:rsidR="00403A06" w:rsidRPr="00037AC4" w:rsidRDefault="00403A06" w:rsidP="00403A06">
            <w:pPr>
              <w:rPr>
                <w:rFonts w:eastAsia="Times New Roman" w:cs="Arial"/>
                <w:iCs/>
                <w:color w:val="000000"/>
              </w:rPr>
            </w:pPr>
            <w:r w:rsidRPr="00037AC4">
              <w:rPr>
                <w:rFonts w:eastAsia="Times New Roman" w:cs="Arial"/>
                <w:b/>
                <w:iCs/>
                <w:color w:val="000000"/>
              </w:rPr>
              <w:t>The dose titration period</w:t>
            </w:r>
            <w:r w:rsidRPr="00037AC4">
              <w:rPr>
                <w:rFonts w:eastAsia="Times New Roman" w:cs="Arial"/>
                <w:iCs/>
                <w:color w:val="000000"/>
              </w:rPr>
              <w:t xml:space="preserve"> </w:t>
            </w:r>
            <w:r w:rsidRPr="00037AC4">
              <w:rPr>
                <w:rFonts w:eastAsia="Times New Roman" w:cs="Arial"/>
                <w:b/>
                <w:iCs/>
              </w:rPr>
              <w:t>must be prescribed by the initiating specialist.</w:t>
            </w:r>
          </w:p>
          <w:p w14:paraId="539A7C43" w14:textId="77777777" w:rsidR="00403A06" w:rsidRPr="00037AC4" w:rsidRDefault="00403A06" w:rsidP="00403A06">
            <w:pPr>
              <w:rPr>
                <w:rFonts w:eastAsia="Times New Roman" w:cs="Arial"/>
                <w:b/>
                <w:iCs/>
                <w:color w:val="000000"/>
                <w:u w:val="single"/>
              </w:rPr>
            </w:pPr>
          </w:p>
          <w:p w14:paraId="689DF0DA" w14:textId="77777777" w:rsidR="00403A06" w:rsidRPr="00037AC4" w:rsidRDefault="00403A06" w:rsidP="00403A06">
            <w:pPr>
              <w:rPr>
                <w:rFonts w:eastAsia="Times New Roman" w:cs="Arial"/>
                <w:iCs/>
                <w:color w:val="000000"/>
              </w:rPr>
            </w:pPr>
            <w:r w:rsidRPr="00037AC4">
              <w:rPr>
                <w:rFonts w:eastAsia="Times New Roman" w:cs="Arial"/>
                <w:b/>
                <w:iCs/>
                <w:color w:val="000000"/>
                <w:u w:val="single"/>
              </w:rPr>
              <w:t>Maintenance dose (following initial stabilisation):</w:t>
            </w:r>
          </w:p>
          <w:p w14:paraId="0E2DC539" w14:textId="77777777" w:rsidR="00403A06" w:rsidRPr="00037AC4" w:rsidRDefault="00403A06" w:rsidP="00403A06">
            <w:pPr>
              <w:rPr>
                <w:rFonts w:cs="Arial"/>
              </w:rPr>
            </w:pPr>
            <w:r w:rsidRPr="00037AC4">
              <w:rPr>
                <w:rFonts w:cs="Arial"/>
              </w:rPr>
              <w:t xml:space="preserve">The maintenance dose will be tailored to the individual patient, and should be the lowest effective and well tolerated dose. The usual maximum dose is 5 mg/kg/day in two divided doses. </w:t>
            </w:r>
          </w:p>
          <w:p w14:paraId="0CF3D003" w14:textId="77777777" w:rsidR="00403A06" w:rsidRPr="00037AC4" w:rsidRDefault="00403A06" w:rsidP="00403A06">
            <w:pPr>
              <w:rPr>
                <w:rFonts w:cs="Arial"/>
              </w:rPr>
            </w:pPr>
            <w:r w:rsidRPr="00037AC4">
              <w:rPr>
                <w:rFonts w:cs="Arial"/>
              </w:rPr>
              <w:t>In certain conditions higher doses may be used for a limited period, this should be under the direct supervision of the specialist.</w:t>
            </w:r>
          </w:p>
          <w:p w14:paraId="007FAE54" w14:textId="77777777" w:rsidR="00403A06" w:rsidRPr="00037AC4" w:rsidRDefault="00403A06" w:rsidP="00403A06">
            <w:pPr>
              <w:rPr>
                <w:rFonts w:cs="Arial"/>
              </w:rPr>
            </w:pPr>
            <w:r w:rsidRPr="00037AC4">
              <w:rPr>
                <w:rFonts w:cs="Arial"/>
              </w:rPr>
              <w:t>Please note for rheumatology conditions a patient may be initiated on more than one DMARD.</w:t>
            </w:r>
          </w:p>
          <w:p w14:paraId="3D4F7893" w14:textId="77777777" w:rsidR="00403A06" w:rsidRPr="00037AC4" w:rsidRDefault="00403A06" w:rsidP="00403A06">
            <w:pPr>
              <w:rPr>
                <w:rFonts w:eastAsia="Times New Roman" w:cs="Arial"/>
                <w:b/>
                <w:iCs/>
                <w:color w:val="000000"/>
              </w:rPr>
            </w:pPr>
            <w:r w:rsidRPr="00037AC4">
              <w:rPr>
                <w:rFonts w:eastAsia="Times New Roman" w:cs="Arial"/>
                <w:b/>
                <w:iCs/>
                <w:color w:val="000000"/>
              </w:rPr>
              <w:t>The initial maintenance dose must be prescribed by the initiating specialist.</w:t>
            </w:r>
          </w:p>
          <w:p w14:paraId="2CD171C0" w14:textId="77777777" w:rsidR="00403A06" w:rsidRPr="00037AC4" w:rsidRDefault="00403A06" w:rsidP="00403A06">
            <w:pPr>
              <w:rPr>
                <w:rFonts w:eastAsia="Times New Roman" w:cs="Arial"/>
                <w:b/>
                <w:iCs/>
                <w:color w:val="000000"/>
              </w:rPr>
            </w:pPr>
          </w:p>
          <w:p w14:paraId="7A05A997" w14:textId="77777777" w:rsidR="00403A06" w:rsidRPr="00037AC4" w:rsidRDefault="00403A06" w:rsidP="00403A06">
            <w:pPr>
              <w:rPr>
                <w:rFonts w:eastAsia="Times New Roman" w:cs="Arial"/>
                <w:b/>
                <w:iCs/>
                <w:color w:val="000000"/>
                <w:u w:val="single"/>
              </w:rPr>
            </w:pPr>
            <w:r w:rsidRPr="00037AC4">
              <w:rPr>
                <w:rFonts w:eastAsia="Times New Roman" w:cs="Arial"/>
                <w:b/>
                <w:iCs/>
                <w:color w:val="000000"/>
                <w:u w:val="single"/>
              </w:rPr>
              <w:t>Conditions requiring dose adjustment:</w:t>
            </w:r>
          </w:p>
          <w:p w14:paraId="4647F3B3" w14:textId="77777777" w:rsidR="00403A06" w:rsidRPr="00037AC4" w:rsidRDefault="00403A06" w:rsidP="00403A06">
            <w:pPr>
              <w:pStyle w:val="ListParagraph"/>
              <w:numPr>
                <w:ilvl w:val="0"/>
                <w:numId w:val="28"/>
              </w:numPr>
              <w:spacing w:after="0"/>
              <w:ind w:left="0" w:firstLine="0"/>
              <w:contextualSpacing/>
              <w:rPr>
                <w:rFonts w:eastAsia="Times New Roman" w:cs="Arial"/>
                <w:iCs/>
                <w:color w:val="000000"/>
              </w:rPr>
            </w:pPr>
            <w:r w:rsidRPr="00037AC4">
              <w:rPr>
                <w:rFonts w:eastAsia="Times New Roman" w:cs="Arial"/>
                <w:iCs/>
                <w:color w:val="000000"/>
              </w:rPr>
              <w:t xml:space="preserve">In patients with nephrotic syndrome and impaired renal function the initial dose should not exceed 2.5 mg/kg/day. </w:t>
            </w:r>
          </w:p>
          <w:p w14:paraId="515CFEF4" w14:textId="77777777" w:rsidR="00403A06" w:rsidRPr="00037AC4" w:rsidRDefault="00403A06" w:rsidP="00403A06">
            <w:pPr>
              <w:pStyle w:val="ListParagraph"/>
              <w:numPr>
                <w:ilvl w:val="0"/>
                <w:numId w:val="28"/>
              </w:numPr>
              <w:spacing w:after="0"/>
              <w:ind w:left="0" w:firstLine="0"/>
              <w:contextualSpacing/>
              <w:rPr>
                <w:rFonts w:eastAsia="Times New Roman" w:cs="Arial"/>
                <w:iCs/>
                <w:color w:val="000000"/>
              </w:rPr>
            </w:pPr>
            <w:r w:rsidRPr="00037AC4">
              <w:rPr>
                <w:rFonts w:eastAsia="Times New Roman" w:cs="Arial"/>
                <w:iCs/>
                <w:color w:val="000000"/>
              </w:rPr>
              <w:t xml:space="preserve">Deteriorating renal function. See </w:t>
            </w:r>
            <w:hyperlink w:anchor="Ten_ADRs_and_Management" w:history="1">
              <w:r w:rsidRPr="00037AC4">
                <w:rPr>
                  <w:rStyle w:val="Hyperlink"/>
                  <w:rFonts w:eastAsia="Times New Roman" w:cs="Arial"/>
                  <w:iCs/>
                </w:rPr>
                <w:t>section 10</w:t>
              </w:r>
            </w:hyperlink>
            <w:r w:rsidRPr="00037AC4">
              <w:rPr>
                <w:rFonts w:eastAsia="Times New Roman" w:cs="Arial"/>
                <w:iCs/>
                <w:color w:val="000000"/>
              </w:rPr>
              <w:t xml:space="preserve">. </w:t>
            </w:r>
          </w:p>
          <w:p w14:paraId="47EA2ADE" w14:textId="21813AB9" w:rsidR="00403A06" w:rsidRPr="00037AC4" w:rsidRDefault="00403A06" w:rsidP="005C0784">
            <w:pPr>
              <w:pStyle w:val="ListParagraph"/>
              <w:numPr>
                <w:ilvl w:val="0"/>
                <w:numId w:val="28"/>
              </w:numPr>
              <w:spacing w:after="0"/>
              <w:ind w:left="0" w:firstLine="0"/>
              <w:contextualSpacing/>
              <w:rPr>
                <w:rFonts w:eastAsia="Times New Roman" w:cs="Arial"/>
                <w:iCs/>
                <w:color w:val="000000"/>
              </w:rPr>
            </w:pPr>
            <w:r w:rsidRPr="00037AC4">
              <w:rPr>
                <w:rFonts w:eastAsia="Times New Roman" w:cs="Arial"/>
                <w:iCs/>
                <w:color w:val="000000"/>
              </w:rPr>
              <w:t>Elderly patients: dose selection should be cautious, and start at the low end of the dose range.</w:t>
            </w:r>
          </w:p>
          <w:p w14:paraId="0103B33B" w14:textId="4C2BD07D" w:rsidR="00055685" w:rsidRPr="00037AC4" w:rsidRDefault="009A16D5" w:rsidP="005C0784">
            <w:pPr>
              <w:rPr>
                <w:b/>
                <w:u w:val="single"/>
              </w:rPr>
            </w:pPr>
            <w:r w:rsidRPr="00037AC4">
              <w:t xml:space="preserve"> </w:t>
            </w:r>
          </w:p>
        </w:tc>
      </w:tr>
      <w:tr w:rsidR="00055685" w:rsidRPr="00037AC4" w14:paraId="4CDE4318" w14:textId="77777777" w:rsidTr="5A73B5A2">
        <w:trPr>
          <w:jc w:val="center"/>
        </w:trPr>
        <w:tc>
          <w:tcPr>
            <w:tcW w:w="10455" w:type="dxa"/>
            <w:gridSpan w:val="3"/>
            <w:shd w:val="clear" w:color="auto" w:fill="F2F2F2" w:themeFill="background1" w:themeFillShade="F2"/>
          </w:tcPr>
          <w:p w14:paraId="4C936032" w14:textId="4743B980" w:rsidR="00055685" w:rsidRPr="00037AC4" w:rsidRDefault="00055685" w:rsidP="00426DE1">
            <w:pPr>
              <w:pStyle w:val="Heading1"/>
              <w:tabs>
                <w:tab w:val="right" w:pos="10240"/>
              </w:tabs>
              <w:rPr>
                <w:lang w:eastAsia="en-GB"/>
              </w:rPr>
            </w:pPr>
            <w:bookmarkStart w:id="11" w:name="Six_pharmaceutical"/>
            <w:r w:rsidRPr="00037AC4">
              <w:rPr>
                <w:lang w:eastAsia="en-GB"/>
              </w:rPr>
              <w:lastRenderedPageBreak/>
              <w:t xml:space="preserve">Pharmaceutical aspects </w:t>
            </w:r>
            <w:bookmarkEnd w:id="11"/>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224B60" w:rsidRPr="00037AC4" w14:paraId="24522E4E" w14:textId="77777777" w:rsidTr="5A73B5A2">
        <w:trPr>
          <w:trHeight w:val="99"/>
          <w:jc w:val="center"/>
        </w:trPr>
        <w:tc>
          <w:tcPr>
            <w:tcW w:w="1838" w:type="dxa"/>
            <w:shd w:val="clear" w:color="auto" w:fill="auto"/>
            <w:vAlign w:val="center"/>
          </w:tcPr>
          <w:p w14:paraId="5EA76DFC" w14:textId="2E798548" w:rsidR="00224B60" w:rsidRPr="00037AC4" w:rsidRDefault="00224B60" w:rsidP="00224B60">
            <w:pPr>
              <w:rPr>
                <w:b/>
                <w:bCs/>
                <w:iCs/>
                <w:color w:val="000000"/>
                <w:lang w:eastAsia="en-GB"/>
              </w:rPr>
            </w:pPr>
            <w:r w:rsidRPr="00037AC4">
              <w:rPr>
                <w:rFonts w:eastAsia="Times New Roman" w:cstheme="minorHAnsi"/>
                <w:szCs w:val="24"/>
                <w:lang w:eastAsia="en-GB"/>
              </w:rPr>
              <w:t>Route of administration:</w:t>
            </w:r>
          </w:p>
        </w:tc>
        <w:tc>
          <w:tcPr>
            <w:tcW w:w="8617" w:type="dxa"/>
            <w:gridSpan w:val="2"/>
            <w:shd w:val="clear" w:color="auto" w:fill="auto"/>
          </w:tcPr>
          <w:p w14:paraId="48C763F3" w14:textId="64DD8913" w:rsidR="00224B60" w:rsidRPr="00037AC4" w:rsidRDefault="00224B60" w:rsidP="00224B60">
            <w:pPr>
              <w:autoSpaceDE w:val="0"/>
              <w:autoSpaceDN w:val="0"/>
              <w:adjustRightInd w:val="0"/>
              <w:spacing w:before="60" w:after="60" w:line="240" w:lineRule="auto"/>
              <w:rPr>
                <w:rFonts w:eastAsia="Times New Roman" w:cs="Arial"/>
                <w:b/>
                <w:bCs/>
                <w:iCs/>
                <w:color w:val="000000"/>
                <w:lang w:eastAsia="en-GB"/>
              </w:rPr>
            </w:pPr>
            <w:r w:rsidRPr="00037AC4">
              <w:rPr>
                <w:rFonts w:eastAsia="Times New Roman" w:cstheme="minorHAnsi"/>
                <w:szCs w:val="24"/>
                <w:lang w:eastAsia="en-GB"/>
              </w:rPr>
              <w:t>Oral</w:t>
            </w:r>
          </w:p>
        </w:tc>
      </w:tr>
      <w:tr w:rsidR="00224B60" w:rsidRPr="00037AC4" w14:paraId="4CD28C8C" w14:textId="77777777" w:rsidTr="5A73B5A2">
        <w:trPr>
          <w:trHeight w:val="97"/>
          <w:jc w:val="center"/>
        </w:trPr>
        <w:tc>
          <w:tcPr>
            <w:tcW w:w="1838" w:type="dxa"/>
            <w:shd w:val="clear" w:color="auto" w:fill="auto"/>
            <w:vAlign w:val="center"/>
          </w:tcPr>
          <w:p w14:paraId="18421745" w14:textId="3D1C11A6" w:rsidR="00224B60" w:rsidRPr="00037AC4" w:rsidRDefault="00224B60" w:rsidP="00224B60">
            <w:pPr>
              <w:rPr>
                <w:b/>
                <w:bCs/>
                <w:iCs/>
                <w:color w:val="000000"/>
                <w:lang w:eastAsia="en-GB"/>
              </w:rPr>
            </w:pPr>
            <w:r w:rsidRPr="00037AC4">
              <w:rPr>
                <w:rFonts w:eastAsia="Times New Roman" w:cstheme="minorHAnsi"/>
                <w:szCs w:val="24"/>
                <w:lang w:eastAsia="en-GB"/>
              </w:rPr>
              <w:t>Formulation:</w:t>
            </w:r>
          </w:p>
        </w:tc>
        <w:tc>
          <w:tcPr>
            <w:tcW w:w="8617" w:type="dxa"/>
            <w:gridSpan w:val="2"/>
            <w:shd w:val="clear" w:color="auto" w:fill="auto"/>
          </w:tcPr>
          <w:p w14:paraId="7A0BC821" w14:textId="77777777" w:rsidR="00403A06" w:rsidRPr="00037AC4" w:rsidRDefault="00403A06" w:rsidP="00403A06">
            <w:pPr>
              <w:autoSpaceDE w:val="0"/>
              <w:autoSpaceDN w:val="0"/>
              <w:adjustRightInd w:val="0"/>
              <w:rPr>
                <w:rFonts w:eastAsia="Times New Roman" w:cstheme="minorHAnsi"/>
                <w:b/>
                <w:bCs/>
                <w:iCs/>
                <w:color w:val="000000"/>
                <w:u w:val="single"/>
                <w:lang w:eastAsia="en-GB"/>
              </w:rPr>
            </w:pPr>
            <w:r w:rsidRPr="00037AC4">
              <w:rPr>
                <w:rFonts w:eastAsia="Times New Roman" w:cstheme="minorHAnsi"/>
                <w:b/>
                <w:bCs/>
                <w:iCs/>
                <w:color w:val="000000"/>
                <w:u w:val="single"/>
                <w:lang w:eastAsia="en-GB"/>
              </w:rPr>
              <w:t>Soft capsules</w:t>
            </w:r>
          </w:p>
          <w:p w14:paraId="31099852"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Capimune®: 25 mg, 50 mg, 100 mg</w:t>
            </w:r>
          </w:p>
          <w:p w14:paraId="58253EDB"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Capsorin®: 25 mg, 50 mg, 100 mg</w:t>
            </w:r>
          </w:p>
          <w:p w14:paraId="27E932D3"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Deximune®: 25 mg, 50 mg, 100 mg</w:t>
            </w:r>
          </w:p>
          <w:p w14:paraId="384F8545"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Neoral®: 10 mg, 25 mg, 50 mg, 100 mg</w:t>
            </w:r>
          </w:p>
          <w:p w14:paraId="5DB87FE2"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Sandimmun®: 25 mg, 50 mg, 100 mg</w:t>
            </w:r>
          </w:p>
          <w:p w14:paraId="0A0ED673"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Vanquoral®: 10mg, 25mg, 50mg, 100mg</w:t>
            </w:r>
          </w:p>
          <w:p w14:paraId="7645A8FB"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Generics: 25 mg, 50 mg, 100 mg</w:t>
            </w:r>
          </w:p>
          <w:p w14:paraId="69708FA8" w14:textId="77777777" w:rsidR="00403A06" w:rsidRPr="00037AC4" w:rsidRDefault="00403A06" w:rsidP="00403A06">
            <w:pPr>
              <w:autoSpaceDE w:val="0"/>
              <w:autoSpaceDN w:val="0"/>
              <w:adjustRightInd w:val="0"/>
              <w:rPr>
                <w:rFonts w:eastAsia="Times New Roman" w:cstheme="minorHAnsi"/>
                <w:bCs/>
                <w:iCs/>
                <w:color w:val="000000"/>
                <w:lang w:eastAsia="en-GB"/>
              </w:rPr>
            </w:pPr>
          </w:p>
          <w:p w14:paraId="1E43FE38" w14:textId="77777777" w:rsidR="00403A06" w:rsidRPr="00037AC4" w:rsidRDefault="00403A06" w:rsidP="00403A06">
            <w:pPr>
              <w:autoSpaceDE w:val="0"/>
              <w:autoSpaceDN w:val="0"/>
              <w:adjustRightInd w:val="0"/>
              <w:rPr>
                <w:rFonts w:eastAsia="Times New Roman" w:cstheme="minorHAnsi"/>
                <w:bCs/>
                <w:iCs/>
                <w:color w:val="000000"/>
                <w:u w:val="single"/>
                <w:lang w:eastAsia="en-GB"/>
              </w:rPr>
            </w:pPr>
            <w:r w:rsidRPr="00037AC4">
              <w:rPr>
                <w:rFonts w:eastAsia="Times New Roman" w:cstheme="minorHAnsi"/>
                <w:b/>
                <w:bCs/>
                <w:iCs/>
                <w:color w:val="000000"/>
                <w:u w:val="single"/>
                <w:lang w:eastAsia="en-GB"/>
              </w:rPr>
              <w:t>Oral solution</w:t>
            </w:r>
          </w:p>
          <w:p w14:paraId="317C6A2F"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Neoral®: 100 mg/mL</w:t>
            </w:r>
          </w:p>
          <w:p w14:paraId="0D025DA0"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Capsorin®: 100mg/mL</w:t>
            </w:r>
          </w:p>
          <w:p w14:paraId="2ECE80B8"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Sandimmun®: 100mg/mL</w:t>
            </w:r>
          </w:p>
          <w:p w14:paraId="432CD229" w14:textId="77777777" w:rsidR="00403A06" w:rsidRPr="00037AC4" w:rsidRDefault="00403A06" w:rsidP="00403A06">
            <w:pPr>
              <w:autoSpaceDE w:val="0"/>
              <w:autoSpaceDN w:val="0"/>
              <w:adjustRightInd w:val="0"/>
              <w:rPr>
                <w:rFonts w:eastAsia="Times New Roman" w:cstheme="minorHAnsi"/>
                <w:bCs/>
                <w:iCs/>
                <w:color w:val="000000"/>
                <w:lang w:eastAsia="en-GB"/>
              </w:rPr>
            </w:pPr>
          </w:p>
          <w:p w14:paraId="1312A1B6" w14:textId="3776A949" w:rsidR="00403A06" w:rsidRPr="00037AC4" w:rsidRDefault="00403A06" w:rsidP="00403A06">
            <w:pPr>
              <w:shd w:val="clear" w:color="auto" w:fill="FFFFFF"/>
              <w:rPr>
                <w:rFonts w:eastAsia="Times New Roman" w:cstheme="minorHAnsi"/>
                <w:bCs/>
                <w:iCs/>
                <w:color w:val="000000"/>
                <w:lang w:eastAsia="en-GB"/>
              </w:rPr>
            </w:pPr>
            <w:r w:rsidRPr="00037AC4">
              <w:rPr>
                <w:rFonts w:eastAsia="Times New Roman" w:cstheme="minorHAnsi"/>
                <w:b/>
                <w:bCs/>
                <w:iCs/>
                <w:color w:val="000000"/>
                <w:lang w:eastAsia="en-GB"/>
              </w:rPr>
              <w:t>Ciclosporin should be prescribed by brand and formulation, regardless of the indication</w:t>
            </w:r>
            <w:r w:rsidRPr="00037AC4">
              <w:rPr>
                <w:rFonts w:eastAsia="Times New Roman" w:cstheme="minorHAnsi"/>
                <w:bCs/>
                <w:iCs/>
                <w:color w:val="000000"/>
                <w:lang w:eastAsia="en-GB"/>
              </w:rPr>
              <w:t>.</w:t>
            </w:r>
            <w:r w:rsidRPr="00037AC4">
              <w:rPr>
                <w:rFonts w:eastAsia="Times New Roman" w:cstheme="minorHAnsi"/>
                <w:b/>
                <w:bCs/>
                <w:iCs/>
                <w:color w:val="000000"/>
                <w:lang w:eastAsia="en-GB"/>
              </w:rPr>
              <w:t xml:space="preserve"> </w:t>
            </w:r>
            <w:r w:rsidRPr="00037AC4">
              <w:rPr>
                <w:rFonts w:eastAsia="Times New Roman" w:cstheme="minorHAnsi"/>
                <w:bCs/>
                <w:iCs/>
                <w:color w:val="000000"/>
                <w:lang w:eastAsia="en-GB"/>
              </w:rPr>
              <w:t>Switching between formulations without close monitoring may lead to clinically important changes in blood-ciclosporin concentration.</w:t>
            </w:r>
            <w:r w:rsidRPr="00037AC4">
              <w:rPr>
                <w:rFonts w:eastAsia="Times New Roman" w:cstheme="minorHAnsi"/>
                <w:b/>
                <w:bCs/>
                <w:iCs/>
                <w:color w:val="000000"/>
                <w:lang w:eastAsia="en-GB"/>
              </w:rPr>
              <w:t xml:space="preserve"> </w:t>
            </w:r>
            <w:r w:rsidRPr="00037AC4">
              <w:rPr>
                <w:rFonts w:eastAsia="Times New Roman" w:cstheme="minorHAnsi"/>
                <w:bCs/>
                <w:iCs/>
                <w:color w:val="000000"/>
                <w:lang w:eastAsia="en-GB"/>
              </w:rPr>
              <w:t xml:space="preserve">The switch from one oral ciclosporin formulation to another should be made under specialist supervision (see </w:t>
            </w:r>
            <w:hyperlink w:anchor="Eight_specialist_monitoring" w:history="1">
              <w:r w:rsidRPr="00037AC4">
                <w:rPr>
                  <w:rStyle w:val="Hyperlink"/>
                  <w:rFonts w:eastAsia="Times New Roman" w:cstheme="minorHAnsi"/>
                  <w:bCs/>
                  <w:iCs/>
                  <w:lang w:eastAsia="en-GB"/>
                </w:rPr>
                <w:t>section 8</w:t>
              </w:r>
            </w:hyperlink>
            <w:r w:rsidRPr="00037AC4">
              <w:rPr>
                <w:rFonts w:eastAsia="Times New Roman" w:cstheme="minorHAnsi"/>
                <w:bCs/>
                <w:iCs/>
                <w:color w:val="000000"/>
                <w:lang w:eastAsia="en-GB"/>
              </w:rPr>
              <w:t>). Where possible, the brand preferred by the patient’s local health system should be chosen.</w:t>
            </w:r>
          </w:p>
        </w:tc>
      </w:tr>
      <w:tr w:rsidR="00224B60" w:rsidRPr="00037AC4" w14:paraId="32A1142F" w14:textId="77777777" w:rsidTr="5A73B5A2">
        <w:trPr>
          <w:trHeight w:val="97"/>
          <w:jc w:val="center"/>
        </w:trPr>
        <w:tc>
          <w:tcPr>
            <w:tcW w:w="1838" w:type="dxa"/>
            <w:shd w:val="clear" w:color="auto" w:fill="auto"/>
            <w:vAlign w:val="center"/>
          </w:tcPr>
          <w:p w14:paraId="33657BA5" w14:textId="6D98BB80" w:rsidR="00224B60" w:rsidRPr="00037AC4" w:rsidRDefault="00224B60" w:rsidP="00224B60">
            <w:pPr>
              <w:rPr>
                <w:b/>
                <w:bCs/>
                <w:iCs/>
                <w:color w:val="000000"/>
                <w:lang w:eastAsia="en-GB"/>
              </w:rPr>
            </w:pPr>
            <w:r w:rsidRPr="00037AC4">
              <w:rPr>
                <w:rFonts w:eastAsia="Times New Roman" w:cstheme="minorHAnsi"/>
                <w:szCs w:val="24"/>
                <w:lang w:eastAsia="en-GB"/>
              </w:rPr>
              <w:t>Administration details:</w:t>
            </w:r>
          </w:p>
        </w:tc>
        <w:tc>
          <w:tcPr>
            <w:tcW w:w="8617" w:type="dxa"/>
            <w:gridSpan w:val="2"/>
            <w:shd w:val="clear" w:color="auto" w:fill="auto"/>
          </w:tcPr>
          <w:p w14:paraId="0E53E0AD" w14:textId="71BCB656" w:rsidR="00FA56E0" w:rsidRPr="00037AC4" w:rsidRDefault="00FA56E0" w:rsidP="00FA56E0">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Ciclosporin should be taken in two divided doses equally distributed throughout the day, and on a consistent schedule with regard to time of day and in relation to meals.</w:t>
            </w:r>
          </w:p>
          <w:p w14:paraId="4466B100" w14:textId="42DF1381" w:rsidR="00224B60" w:rsidRPr="00037AC4" w:rsidRDefault="00FA56E0" w:rsidP="00FA56E0">
            <w:pPr>
              <w:rPr>
                <w:b/>
                <w:bCs/>
                <w:iCs/>
                <w:color w:val="000000"/>
                <w:lang w:eastAsia="en-GB"/>
              </w:rPr>
            </w:pPr>
            <w:r w:rsidRPr="00037AC4">
              <w:rPr>
                <w:rFonts w:eastAsia="Times New Roman" w:cstheme="minorHAnsi"/>
                <w:bCs/>
                <w:iCs/>
                <w:color w:val="000000"/>
                <w:lang w:eastAsia="en-GB"/>
              </w:rPr>
              <w:t>Neoral oral solution should be diluted prior to administration, preferably with orange or apple juice although other drinks can be used according to individual taste (licensed use). Grapefruit juice must not be used. The entire mixture should be stirred and taken immediately after preparation.</w:t>
            </w:r>
          </w:p>
        </w:tc>
      </w:tr>
      <w:tr w:rsidR="00224B60" w:rsidRPr="00037AC4" w14:paraId="7AF4C7E7" w14:textId="77777777" w:rsidTr="5A73B5A2">
        <w:trPr>
          <w:trHeight w:val="97"/>
          <w:jc w:val="center"/>
        </w:trPr>
        <w:tc>
          <w:tcPr>
            <w:tcW w:w="1838" w:type="dxa"/>
            <w:tcBorders>
              <w:bottom w:val="single" w:sz="4" w:space="0" w:color="auto"/>
            </w:tcBorders>
            <w:shd w:val="clear" w:color="auto" w:fill="auto"/>
            <w:vAlign w:val="center"/>
          </w:tcPr>
          <w:p w14:paraId="1C2DED5A" w14:textId="00071546" w:rsidR="00224B60" w:rsidRPr="00037AC4" w:rsidRDefault="00224B60" w:rsidP="00224B60">
            <w:pPr>
              <w:rPr>
                <w:b/>
                <w:bCs/>
                <w:iCs/>
                <w:color w:val="000000"/>
                <w:lang w:eastAsia="en-GB"/>
              </w:rPr>
            </w:pPr>
            <w:r w:rsidRPr="00037AC4">
              <w:rPr>
                <w:rFonts w:eastAsia="Times New Roman" w:cstheme="minorHAnsi"/>
                <w:szCs w:val="24"/>
                <w:lang w:eastAsia="en-GB"/>
              </w:rPr>
              <w:lastRenderedPageBreak/>
              <w:t>Other important information:</w:t>
            </w:r>
          </w:p>
        </w:tc>
        <w:tc>
          <w:tcPr>
            <w:tcW w:w="8617" w:type="dxa"/>
            <w:gridSpan w:val="2"/>
            <w:tcBorders>
              <w:bottom w:val="single" w:sz="4" w:space="0" w:color="auto"/>
            </w:tcBorders>
            <w:shd w:val="clear" w:color="auto" w:fill="auto"/>
          </w:tcPr>
          <w:p w14:paraId="20D781A0" w14:textId="77777777" w:rsidR="007343A7" w:rsidRPr="00037AC4" w:rsidRDefault="007343A7" w:rsidP="007343A7">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All oral dosage forms of ciclosporin contain a form of ethanol; a 500mg dose is the equivalent of up to approximately 15 ml beer or 6 ml wine. Neoral capsules and oral solution contain polyoxyl 40 hydrogenated castor oil, which may cause stomach upsets and diarrhoea.</w:t>
            </w:r>
          </w:p>
          <w:p w14:paraId="689017FA" w14:textId="0694A820" w:rsidR="00224B60" w:rsidRPr="00037AC4" w:rsidRDefault="007343A7" w:rsidP="007343A7">
            <w:pPr>
              <w:rPr>
                <w:b/>
                <w:bCs/>
                <w:iCs/>
                <w:color w:val="000000"/>
                <w:lang w:eastAsia="en-GB"/>
              </w:rPr>
            </w:pPr>
            <w:r w:rsidRPr="00037AC4">
              <w:rPr>
                <w:rFonts w:eastAsia="Times New Roman" w:cstheme="minorHAnsi"/>
                <w:bCs/>
                <w:iCs/>
                <w:color w:val="000000"/>
                <w:lang w:eastAsia="en-GB"/>
              </w:rPr>
              <w:t>Neoral oral solution has a shelf life of 2 months once opened.</w:t>
            </w:r>
          </w:p>
        </w:tc>
      </w:tr>
      <w:tr w:rsidR="009A16D5" w:rsidRPr="00037AC4" w14:paraId="43330AD8" w14:textId="77777777" w:rsidTr="5A73B5A2">
        <w:trPr>
          <w:jc w:val="center"/>
        </w:trPr>
        <w:tc>
          <w:tcPr>
            <w:tcW w:w="10455" w:type="dxa"/>
            <w:gridSpan w:val="3"/>
            <w:tcBorders>
              <w:bottom w:val="nil"/>
            </w:tcBorders>
            <w:shd w:val="clear" w:color="auto" w:fill="F2F2F2" w:themeFill="background1" w:themeFillShade="F2"/>
          </w:tcPr>
          <w:p w14:paraId="2293CECB" w14:textId="43830C9A" w:rsidR="009A16D5" w:rsidRPr="00037AC4" w:rsidRDefault="009A16D5" w:rsidP="00426DE1">
            <w:pPr>
              <w:pStyle w:val="Heading1"/>
              <w:tabs>
                <w:tab w:val="right" w:pos="10240"/>
              </w:tabs>
              <w:rPr>
                <w:lang w:eastAsia="en-GB"/>
              </w:rPr>
            </w:pPr>
            <w:bookmarkStart w:id="12" w:name="Seven_interactions"/>
            <w:r w:rsidRPr="00037AC4">
              <w:rPr>
                <w:lang w:eastAsia="en-GB"/>
              </w:rPr>
              <w:t>Significant medicine interactions</w:t>
            </w:r>
            <w:r w:rsidRPr="00037AC4">
              <w:tab/>
            </w:r>
            <w:hyperlink w:anchor="Responsibilities">
              <w:r w:rsidRPr="00037AC4">
                <w:rPr>
                  <w:rStyle w:val="Hyperlink"/>
                  <w:rFonts w:eastAsia="Times New Roman" w:cs="Arial"/>
                  <w:b w:val="0"/>
                  <w:bCs w:val="0"/>
                  <w:sz w:val="24"/>
                  <w:szCs w:val="24"/>
                  <w:lang w:eastAsia="en-GB"/>
                </w:rPr>
                <w:t>Back to top</w:t>
              </w:r>
            </w:hyperlink>
            <w:bookmarkEnd w:id="12"/>
          </w:p>
          <w:p w14:paraId="0E83BBAB" w14:textId="4181F971" w:rsidR="009A16D5" w:rsidRPr="00037AC4" w:rsidRDefault="1D25FEB4" w:rsidP="1D25FEB4">
            <w:pPr>
              <w:rPr>
                <w:rFonts w:eastAsia="Calibri"/>
                <w:color w:val="000000" w:themeColor="text1"/>
                <w:szCs w:val="24"/>
                <w:lang w:val="en-US" w:eastAsia="en-GB"/>
              </w:rPr>
            </w:pPr>
            <w:r w:rsidRPr="00037AC4">
              <w:rPr>
                <w:rFonts w:eastAsia="Arial" w:cs="Arial"/>
                <w:color w:val="000000" w:themeColor="text1"/>
                <w:szCs w:val="24"/>
                <w:lang w:val="en-US"/>
              </w:rPr>
              <w:t xml:space="preserve">The following list is not exhaustive. Please see </w:t>
            </w:r>
            <w:hyperlink r:id="rId25">
              <w:r w:rsidRPr="00037AC4">
                <w:rPr>
                  <w:rStyle w:val="Hyperlink"/>
                  <w:rFonts w:eastAsia="Arial" w:cs="Arial"/>
                  <w:szCs w:val="24"/>
                  <w:lang w:val="en-US"/>
                </w:rPr>
                <w:t>BNF</w:t>
              </w:r>
            </w:hyperlink>
            <w:r w:rsidRPr="00037AC4">
              <w:rPr>
                <w:rFonts w:eastAsia="Arial" w:cs="Arial"/>
                <w:color w:val="000000" w:themeColor="text1"/>
                <w:szCs w:val="24"/>
                <w:lang w:val="en-US"/>
              </w:rPr>
              <w:t xml:space="preserve"> or </w:t>
            </w:r>
            <w:hyperlink r:id="rId26">
              <w:r w:rsidRPr="00037AC4">
                <w:rPr>
                  <w:rStyle w:val="Hyperlink"/>
                  <w:rFonts w:eastAsia="Arial" w:cs="Arial"/>
                  <w:szCs w:val="24"/>
                  <w:lang w:val="en-US"/>
                </w:rPr>
                <w:t>SPC</w:t>
              </w:r>
            </w:hyperlink>
            <w:r w:rsidRPr="00037AC4">
              <w:rPr>
                <w:rFonts w:eastAsia="Arial" w:cs="Arial"/>
                <w:color w:val="000000" w:themeColor="text1"/>
                <w:szCs w:val="24"/>
                <w:lang w:val="en-US"/>
              </w:rPr>
              <w:t xml:space="preserve"> for comprehensive information and recommended management.</w:t>
            </w:r>
          </w:p>
          <w:p w14:paraId="561D758A" w14:textId="7C9FA0D9" w:rsidR="009A16D5" w:rsidRPr="00037AC4" w:rsidRDefault="009A16D5" w:rsidP="1D25FEB4">
            <w:pPr>
              <w:rPr>
                <w:rFonts w:eastAsia="Calibri"/>
                <w:color w:val="000000"/>
                <w:szCs w:val="24"/>
                <w:lang w:val="en-US" w:eastAsia="en-GB"/>
              </w:rPr>
            </w:pPr>
          </w:p>
        </w:tc>
      </w:tr>
      <w:tr w:rsidR="007343A7" w:rsidRPr="00037AC4" w14:paraId="44BD7062" w14:textId="77777777" w:rsidTr="5A73B5A2">
        <w:trPr>
          <w:jc w:val="center"/>
        </w:trPr>
        <w:tc>
          <w:tcPr>
            <w:tcW w:w="10455" w:type="dxa"/>
            <w:gridSpan w:val="3"/>
            <w:tcBorders>
              <w:top w:val="nil"/>
              <w:bottom w:val="single" w:sz="4" w:space="0" w:color="auto"/>
            </w:tcBorders>
            <w:shd w:val="clear" w:color="auto" w:fill="auto"/>
          </w:tcPr>
          <w:p w14:paraId="7F036508" w14:textId="77777777" w:rsidR="007343A7" w:rsidRPr="00037AC4" w:rsidRDefault="007343A7" w:rsidP="007343A7">
            <w:pPr>
              <w:autoSpaceDE w:val="0"/>
              <w:autoSpaceDN w:val="0"/>
              <w:adjustRightInd w:val="0"/>
              <w:rPr>
                <w:rFonts w:eastAsia="Times New Roman" w:cs="Arial"/>
                <w:bCs/>
                <w:iCs/>
                <w:color w:val="000000"/>
                <w:lang w:eastAsia="en-GB"/>
              </w:rPr>
            </w:pPr>
            <w:r w:rsidRPr="00037AC4">
              <w:rPr>
                <w:rFonts w:eastAsia="Times New Roman" w:cs="Arial"/>
                <w:b/>
                <w:bCs/>
                <w:iCs/>
                <w:color w:val="000000"/>
                <w:lang w:eastAsia="en-GB"/>
              </w:rPr>
              <w:t xml:space="preserve">Ciclosporin is associated with a large number of interactions, some of which are significant enough to contraindicate concurrent use, require dose adjustment and/or additional monitoring (see </w:t>
            </w:r>
            <w:hyperlink w:anchor="Four_cx_and_cautions" w:history="1">
              <w:r w:rsidRPr="00037AC4">
                <w:rPr>
                  <w:rStyle w:val="Hyperlink"/>
                  <w:rFonts w:eastAsia="Times New Roman" w:cs="Arial"/>
                  <w:b/>
                  <w:bCs/>
                  <w:iCs/>
                  <w:lang w:eastAsia="en-GB"/>
                </w:rPr>
                <w:t>section 4</w:t>
              </w:r>
            </w:hyperlink>
            <w:r w:rsidRPr="00037AC4">
              <w:rPr>
                <w:rFonts w:eastAsia="Times New Roman" w:cs="Arial"/>
                <w:b/>
                <w:bCs/>
                <w:iCs/>
                <w:color w:val="000000"/>
                <w:lang w:eastAsia="en-GB"/>
              </w:rPr>
              <w:t>).</w:t>
            </w:r>
          </w:p>
          <w:p w14:paraId="4047F2A5"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
                <w:iCs/>
                <w:color w:val="000000"/>
                <w:lang w:eastAsia="en-GB"/>
              </w:rPr>
              <w:t>Hypericum perforatum</w:t>
            </w:r>
            <w:r w:rsidRPr="00037AC4">
              <w:rPr>
                <w:rFonts w:eastAsia="Times New Roman" w:cs="Arial"/>
                <w:b/>
                <w:bCs/>
                <w:iCs/>
                <w:color w:val="000000"/>
                <w:lang w:eastAsia="en-GB"/>
              </w:rPr>
              <w:t xml:space="preserve"> (St John’s Wort): </w:t>
            </w:r>
            <w:r w:rsidRPr="00037AC4">
              <w:rPr>
                <w:rFonts w:eastAsia="Times New Roman" w:cs="Arial"/>
                <w:bCs/>
                <w:iCs/>
                <w:color w:val="000000"/>
                <w:lang w:eastAsia="en-GB"/>
              </w:rPr>
              <w:t>contraindicated due to risk of decreased ciclosporin levels.</w:t>
            </w:r>
          </w:p>
          <w:p w14:paraId="23347ED5"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Substrates for P-glycoprotein or organic anion transporter proteins (OATP)</w:t>
            </w:r>
            <w:r w:rsidRPr="00037AC4">
              <w:rPr>
                <w:rFonts w:eastAsia="Times New Roman" w:cs="Arial"/>
                <w:bCs/>
                <w:iCs/>
                <w:color w:val="000000"/>
                <w:lang w:eastAsia="en-GB"/>
              </w:rPr>
              <w:t xml:space="preserve"> for which elevated plasma concentrations are associated with serious or life-threatening events e.g. </w:t>
            </w:r>
            <w:r w:rsidRPr="00037AC4">
              <w:rPr>
                <w:rFonts w:eastAsia="Times New Roman" w:cs="Arial"/>
                <w:b/>
                <w:bCs/>
                <w:iCs/>
                <w:color w:val="000000"/>
                <w:lang w:eastAsia="en-GB"/>
              </w:rPr>
              <w:t>bosentan, dabigatran, aliskiren</w:t>
            </w:r>
            <w:r w:rsidRPr="00037AC4">
              <w:rPr>
                <w:rFonts w:eastAsia="Times New Roman" w:cs="Arial"/>
                <w:bCs/>
                <w:iCs/>
                <w:color w:val="000000"/>
                <w:lang w:eastAsia="en-GB"/>
              </w:rPr>
              <w:t>. Concomitant use is contraindicated</w:t>
            </w:r>
            <w:r w:rsidRPr="00037AC4">
              <w:rPr>
                <w:rFonts w:eastAsia="Times New Roman" w:cs="Arial"/>
                <w:bCs/>
                <w:iCs/>
                <w:color w:val="FF0000"/>
                <w:lang w:eastAsia="en-GB"/>
              </w:rPr>
              <w:t>.</w:t>
            </w:r>
            <w:r w:rsidRPr="00037AC4">
              <w:rPr>
                <w:rFonts w:eastAsia="Times New Roman" w:cs="Arial"/>
                <w:b/>
                <w:bCs/>
                <w:iCs/>
                <w:color w:val="FF0000"/>
                <w:lang w:eastAsia="en-GB"/>
              </w:rPr>
              <w:t xml:space="preserve"> </w:t>
            </w:r>
          </w:p>
          <w:p w14:paraId="2FF27185"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Digoxin, edoxaban</w:t>
            </w:r>
            <w:r w:rsidRPr="00037AC4">
              <w:rPr>
                <w:rFonts w:eastAsia="Times New Roman" w:cs="Arial"/>
                <w:bCs/>
                <w:iCs/>
                <w:color w:val="000000"/>
                <w:lang w:eastAsia="en-GB"/>
              </w:rPr>
              <w:t>: dose adjustment recommended; levels increased by ciclosporin.</w:t>
            </w:r>
            <w:r w:rsidRPr="00037AC4">
              <w:rPr>
                <w:rFonts w:eastAsia="Times New Roman" w:cs="Arial"/>
                <w:b/>
                <w:bCs/>
                <w:iCs/>
                <w:color w:val="FF0000"/>
                <w:lang w:eastAsia="en-GB"/>
              </w:rPr>
              <w:t xml:space="preserve"> </w:t>
            </w:r>
          </w:p>
          <w:p w14:paraId="02F9C161"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 xml:space="preserve">Statins, etoposide, repaglinide, ambrisentan: </w:t>
            </w:r>
            <w:r w:rsidRPr="00037AC4">
              <w:rPr>
                <w:rFonts w:eastAsia="Times New Roman" w:cs="Arial"/>
                <w:bCs/>
                <w:iCs/>
                <w:color w:val="000000"/>
                <w:lang w:eastAsia="en-GB"/>
              </w:rPr>
              <w:t xml:space="preserve">plasma levels may be increased by ciclosporin; close clinical observation for toxicity is recommended. Doses of statins should be reduced, and temporarily withheld or discontinued if patients develop signs and symptoms of myopathy or have risk factors for severe renal injury secondary to rhabdomyolysis. Avoid simvastatin and rosuvastatin. </w:t>
            </w:r>
          </w:p>
          <w:p w14:paraId="427C5358"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 xml:space="preserve">Colchicine: </w:t>
            </w:r>
            <w:r w:rsidRPr="00037AC4">
              <w:rPr>
                <w:rFonts w:eastAsia="Times New Roman" w:cs="Arial"/>
                <w:bCs/>
                <w:iCs/>
                <w:color w:val="000000"/>
                <w:lang w:eastAsia="en-GB"/>
              </w:rPr>
              <w:t>levels of ciclosporin and colchicine may be increased. Close clinical observation for toxicity is recommended.</w:t>
            </w:r>
          </w:p>
          <w:p w14:paraId="36963E26"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Inhibitors of CYP3A4, P-glycoprotein, or OATP</w:t>
            </w:r>
            <w:r w:rsidRPr="00037AC4">
              <w:rPr>
                <w:rFonts w:eastAsia="Times New Roman" w:cs="Arial"/>
                <w:bCs/>
                <w:iCs/>
                <w:color w:val="000000"/>
                <w:lang w:eastAsia="en-GB"/>
              </w:rPr>
              <w:t xml:space="preserve">: may increase plasma levels of ciclosporin. Frequent assessment of renal function and careful monitoring for ciclosporin-related side effects may be required; seek specialist advice, e.g. </w:t>
            </w:r>
            <w:r w:rsidRPr="00037AC4">
              <w:rPr>
                <w:rFonts w:eastAsia="Times New Roman" w:cs="Arial"/>
                <w:b/>
                <w:bCs/>
                <w:iCs/>
                <w:color w:val="000000"/>
                <w:lang w:eastAsia="en-GB"/>
              </w:rPr>
              <w:t>nicardipine, metoclopramide, oral contraceptives, methylprednisolone (high dose), allopurinol, cholic acid and derivatives, protease inhibitors, imatinib, nefazodone.</w:t>
            </w:r>
          </w:p>
          <w:p w14:paraId="3CDB06DB"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lastRenderedPageBreak/>
              <w:t>Inducers of CYP3A4, P-glycoprotein, or OATP</w:t>
            </w:r>
            <w:r w:rsidRPr="00037AC4">
              <w:rPr>
                <w:rFonts w:eastAsia="Times New Roman" w:cs="Arial"/>
                <w:bCs/>
                <w:iCs/>
                <w:color w:val="000000"/>
                <w:lang w:eastAsia="en-GB"/>
              </w:rPr>
              <w:t xml:space="preserve">: may reduce plasma levels of ciclosporin, e.g., </w:t>
            </w:r>
            <w:r w:rsidRPr="00037AC4">
              <w:rPr>
                <w:rFonts w:eastAsia="Times New Roman" w:cs="Arial"/>
                <w:b/>
                <w:bCs/>
                <w:iCs/>
                <w:color w:val="000000"/>
                <w:lang w:eastAsia="en-GB"/>
              </w:rPr>
              <w:t>barbiturates, carbamazepine, oxcarbazepine, phenytoin and fosphenytoin, primidone; nafcillin, intravenous sulfadimidine, probucol, orlistat, ticlopidine, sulfinpyrazone, terbinafine, apalutamide, enzalutamide, lumacaftor, pitolisant.</w:t>
            </w:r>
          </w:p>
          <w:p w14:paraId="39A2CB3D"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Macrolide antibiotics: erythromycin</w:t>
            </w:r>
            <w:r w:rsidRPr="00037AC4">
              <w:rPr>
                <w:rFonts w:eastAsia="Times New Roman" w:cs="Arial"/>
                <w:bCs/>
                <w:iCs/>
                <w:color w:val="000000"/>
                <w:lang w:eastAsia="en-GB"/>
              </w:rPr>
              <w:t xml:space="preserve"> can increase ciclosporin exposure 4- to 7-fold and may result in nephrotoxicity. </w:t>
            </w:r>
            <w:r w:rsidRPr="00037AC4">
              <w:rPr>
                <w:rFonts w:eastAsia="Times New Roman" w:cs="Arial"/>
                <w:b/>
                <w:bCs/>
                <w:iCs/>
                <w:color w:val="000000"/>
                <w:lang w:eastAsia="en-GB"/>
              </w:rPr>
              <w:t>Clarithromycin and azithromycin</w:t>
            </w:r>
            <w:r w:rsidRPr="00037AC4">
              <w:rPr>
                <w:rFonts w:eastAsia="Times New Roman" w:cs="Arial"/>
                <w:bCs/>
                <w:iCs/>
                <w:color w:val="000000"/>
                <w:lang w:eastAsia="en-GB"/>
              </w:rPr>
              <w:t xml:space="preserve"> also increases ciclosporin levels.</w:t>
            </w:r>
          </w:p>
          <w:p w14:paraId="355BA82C"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 xml:space="preserve">Nephrotoxic drugs, e.g. aminoglycosides (including gentamicin, tobramycin), colistimethate, amphotericin B, ciprofloxacin, vancomycin, trimethoprim (+ sulfamethoxazole); fibric acid derivatives (e.g. bezafibrate, fenofibrate); non-steroidal anti-inflammatory drugs (NSAIDs, including diclofenac, naproxen, sulindac); melphalan, histamine H2-receptor antagonists (e.g. cimetidine, ranitidine); methotrexate: </w:t>
            </w:r>
            <w:r w:rsidRPr="00037AC4">
              <w:rPr>
                <w:rFonts w:eastAsia="Times New Roman" w:cs="Arial"/>
                <w:bCs/>
                <w:iCs/>
                <w:color w:val="000000"/>
                <w:lang w:eastAsia="en-GB"/>
              </w:rPr>
              <w:t xml:space="preserve">may have synergistic effects; close monitoring of renal function is recommended. </w:t>
            </w:r>
          </w:p>
          <w:p w14:paraId="184F5EA1"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Doxycycline, tigecycline:</w:t>
            </w:r>
            <w:r w:rsidRPr="00037AC4">
              <w:rPr>
                <w:rFonts w:eastAsia="Times New Roman" w:cs="Arial"/>
                <w:bCs/>
                <w:iCs/>
                <w:color w:val="000000"/>
                <w:lang w:eastAsia="en-GB"/>
              </w:rPr>
              <w:t xml:space="preserve"> may increase ciclosporin concentrations. Monitoring may be required. </w:t>
            </w:r>
          </w:p>
          <w:p w14:paraId="37EDF445"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 xml:space="preserve">Ticagrelor: </w:t>
            </w:r>
            <w:r w:rsidRPr="00037AC4">
              <w:rPr>
                <w:rFonts w:eastAsia="Times New Roman" w:cs="Arial"/>
                <w:bCs/>
                <w:iCs/>
                <w:color w:val="000000"/>
                <w:lang w:eastAsia="en-GB"/>
              </w:rPr>
              <w:t xml:space="preserve">exposure increased by ciclosporin. Use with caution or avoid. </w:t>
            </w:r>
          </w:p>
          <w:p w14:paraId="3EC0D43B"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Potassium-sparing medicines, including potassium-sparing diuretics, angiotensin converting enzyme (ACE) inhibitors, angiotensin II receptor antagonists (ARBs), and potassium-containing medicines</w:t>
            </w:r>
            <w:r w:rsidRPr="00037AC4">
              <w:rPr>
                <w:rFonts w:eastAsia="Times New Roman" w:cs="Arial"/>
                <w:bCs/>
                <w:iCs/>
                <w:color w:val="000000"/>
                <w:lang w:eastAsia="en-GB"/>
              </w:rPr>
              <w:t>: may lead to significant increases in serum potassium.</w:t>
            </w:r>
          </w:p>
          <w:p w14:paraId="069ABB1F"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Lercanidipine:</w:t>
            </w:r>
            <w:r w:rsidRPr="00037AC4">
              <w:rPr>
                <w:rFonts w:eastAsia="Times New Roman" w:cs="Arial"/>
                <w:bCs/>
                <w:iCs/>
                <w:color w:val="000000"/>
                <w:lang w:eastAsia="en-GB"/>
              </w:rPr>
              <w:t xml:space="preserve"> exposure increased by ciclosporin, avoid or use with caution and separate doses by at least 3 hours. </w:t>
            </w:r>
          </w:p>
          <w:p w14:paraId="79094603"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Nifedipine: </w:t>
            </w:r>
            <w:r w:rsidRPr="00037AC4">
              <w:rPr>
                <w:rFonts w:eastAsia="Times New Roman" w:cs="Arial"/>
                <w:bCs/>
                <w:iCs/>
                <w:color w:val="000000"/>
                <w:lang w:eastAsia="en-GB"/>
              </w:rPr>
              <w:t>increased risk of gingival hyperplasia.</w:t>
            </w:r>
          </w:p>
          <w:p w14:paraId="73CFD24E"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Azole antimycotics (e.g. ketoconazole, fluconazole, itraconazole and voriconazole), verapamil, telaprevir:</w:t>
            </w:r>
            <w:r w:rsidRPr="00037AC4">
              <w:rPr>
                <w:rFonts w:eastAsia="Times New Roman" w:cs="Arial"/>
                <w:bCs/>
                <w:iCs/>
                <w:color w:val="000000"/>
                <w:lang w:eastAsia="en-GB"/>
              </w:rPr>
              <w:t xml:space="preserve"> increase exposure to ciclosporin by at least 2-fold.</w:t>
            </w:r>
          </w:p>
          <w:p w14:paraId="06C3E5DD"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Caspofungin:</w:t>
            </w:r>
            <w:r w:rsidRPr="00037AC4">
              <w:rPr>
                <w:rFonts w:eastAsia="Times New Roman" w:cs="Arial"/>
                <w:bCs/>
                <w:iCs/>
                <w:color w:val="000000"/>
                <w:lang w:eastAsia="en-GB"/>
              </w:rPr>
              <w:t xml:space="preserve"> exposure increased by ciclosporin. Liver monitoring recommended. </w:t>
            </w:r>
          </w:p>
          <w:p w14:paraId="2455F593"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Amiodarone and dronedarone: </w:t>
            </w:r>
            <w:r w:rsidRPr="00037AC4">
              <w:rPr>
                <w:rFonts w:eastAsia="Times New Roman" w:cs="Arial"/>
                <w:bCs/>
                <w:iCs/>
                <w:color w:val="000000"/>
                <w:lang w:eastAsia="en-GB"/>
              </w:rPr>
              <w:t xml:space="preserve"> increases ciclosporin levels. This interaction can occur for a long time after withdrawal of amiodarone, due to its very long half-life (about 50 days). Amiodarone increases serum creatinine. </w:t>
            </w:r>
          </w:p>
          <w:p w14:paraId="10BADB47"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Danazol, diltiazem </w:t>
            </w:r>
            <w:r w:rsidRPr="00037AC4">
              <w:rPr>
                <w:rFonts w:eastAsia="Times New Roman" w:cs="Arial"/>
                <w:bCs/>
                <w:iCs/>
                <w:color w:val="000000"/>
                <w:lang w:eastAsia="en-GB"/>
              </w:rPr>
              <w:t>(at doses of 90 mg/day)</w:t>
            </w:r>
            <w:r w:rsidRPr="00037AC4">
              <w:rPr>
                <w:rFonts w:eastAsia="Times New Roman" w:cs="Arial"/>
                <w:b/>
                <w:bCs/>
                <w:iCs/>
                <w:color w:val="000000"/>
                <w:lang w:eastAsia="en-GB"/>
              </w:rPr>
              <w:t>:</w:t>
            </w:r>
            <w:r w:rsidRPr="00037AC4">
              <w:rPr>
                <w:rFonts w:eastAsia="Times New Roman" w:cs="Arial"/>
                <w:bCs/>
                <w:iCs/>
                <w:color w:val="000000"/>
                <w:lang w:eastAsia="en-GB"/>
              </w:rPr>
              <w:t xml:space="preserve">  may increase ciclosporin blood concentrations by up to 50%.</w:t>
            </w:r>
          </w:p>
          <w:p w14:paraId="6B7AE238"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Rifampicin</w:t>
            </w:r>
            <w:r w:rsidRPr="00037AC4">
              <w:rPr>
                <w:rFonts w:eastAsia="Times New Roman" w:cs="Arial"/>
                <w:bCs/>
                <w:iCs/>
                <w:color w:val="000000"/>
                <w:lang w:eastAsia="en-GB"/>
              </w:rPr>
              <w:t xml:space="preserve">: induces ciclosporin metabolism; ciclosporin doses may need to be increased 3- to 5-fold. </w:t>
            </w:r>
          </w:p>
          <w:p w14:paraId="64457DB8"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lastRenderedPageBreak/>
              <w:t>Rifaximin:</w:t>
            </w:r>
            <w:r w:rsidRPr="00037AC4">
              <w:rPr>
                <w:rFonts w:eastAsia="Times New Roman" w:cs="Arial"/>
                <w:bCs/>
                <w:iCs/>
                <w:color w:val="000000"/>
                <w:lang w:eastAsia="en-GB"/>
              </w:rPr>
              <w:t xml:space="preserve"> levels markedly increased by ciclosporin. Caution advised. </w:t>
            </w:r>
          </w:p>
          <w:p w14:paraId="58F4F3F4"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Octreotide, pasireotide, lanreotide: </w:t>
            </w:r>
            <w:r w:rsidRPr="00037AC4">
              <w:rPr>
                <w:rFonts w:eastAsia="Times New Roman" w:cs="Arial"/>
                <w:bCs/>
                <w:iCs/>
                <w:color w:val="000000"/>
                <w:lang w:eastAsia="en-GB"/>
              </w:rPr>
              <w:t>decreases oral absorption of ciclosporin; increase in the ciclosporin dose or a switch to intravenous administration could be necessary.</w:t>
            </w:r>
          </w:p>
          <w:p w14:paraId="483FB800"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Tacrolimus:</w:t>
            </w:r>
            <w:r w:rsidRPr="00037AC4">
              <w:rPr>
                <w:rFonts w:eastAsia="Times New Roman" w:cs="Arial"/>
                <w:bCs/>
                <w:iCs/>
                <w:color w:val="000000"/>
                <w:lang w:eastAsia="en-GB"/>
              </w:rPr>
              <w:t xml:space="preserve"> risk of pharmacokinetic interaction and nephrotoxicity. Avoid. </w:t>
            </w:r>
          </w:p>
          <w:p w14:paraId="4F82A21A"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Everolimus and sirolimus</w:t>
            </w:r>
            <w:r w:rsidRPr="00037AC4">
              <w:rPr>
                <w:rFonts w:eastAsia="Times New Roman" w:cs="Arial"/>
                <w:bCs/>
                <w:iCs/>
                <w:color w:val="000000"/>
                <w:lang w:eastAsia="en-GB"/>
              </w:rPr>
              <w:t xml:space="preserve">: ciclosporin increases levels of both drugs, and may increase serum creatinine. </w:t>
            </w:r>
          </w:p>
          <w:p w14:paraId="6191B1EF"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Baricitinib, filgotinib, tofacitinib</w:t>
            </w:r>
            <w:r w:rsidRPr="00037AC4">
              <w:rPr>
                <w:rFonts w:eastAsia="Times New Roman" w:cs="Arial"/>
                <w:bCs/>
                <w:iCs/>
                <w:color w:val="000000"/>
                <w:lang w:eastAsia="en-GB"/>
              </w:rPr>
              <w:t xml:space="preserve">: Increased risk of immunosuppression. </w:t>
            </w:r>
          </w:p>
          <w:p w14:paraId="2D640CA5"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Ritonavir</w:t>
            </w:r>
            <w:r w:rsidRPr="00037AC4">
              <w:rPr>
                <w:rFonts w:eastAsia="Times New Roman" w:cs="Arial"/>
                <w:bCs/>
                <w:iCs/>
                <w:color w:val="000000"/>
                <w:lang w:eastAsia="en-GB"/>
              </w:rPr>
              <w:t>: close monitoring advised, ciclosporin dose adjustment may be needed.</w:t>
            </w:r>
          </w:p>
          <w:p w14:paraId="7245E237"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Grapefruit and grapefruit juice: </w:t>
            </w:r>
            <w:r w:rsidRPr="00037AC4">
              <w:rPr>
                <w:rFonts w:eastAsia="Times New Roman" w:cs="Arial"/>
                <w:bCs/>
                <w:iCs/>
                <w:color w:val="000000"/>
                <w:lang w:eastAsia="en-GB"/>
              </w:rPr>
              <w:t>predicted to increase ciclosporin exposure.</w:t>
            </w:r>
          </w:p>
          <w:p w14:paraId="7E0454BC"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Vaccination:</w:t>
            </w:r>
            <w:r w:rsidRPr="00037AC4">
              <w:rPr>
                <w:rFonts w:eastAsia="Times New Roman" w:cs="Arial"/>
                <w:bCs/>
                <w:iCs/>
                <w:color w:val="000000"/>
                <w:lang w:eastAsia="en-GB"/>
              </w:rPr>
              <w:t xml:space="preserve"> During treatment with ciclosporin, vaccination may be less effective and the use of live attenuated vaccines should be avoided.</w:t>
            </w:r>
          </w:p>
          <w:p w14:paraId="5652356E" w14:textId="77777777" w:rsidR="0022582A"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Aprepitant, netupitant: </w:t>
            </w:r>
            <w:r w:rsidRPr="00037AC4">
              <w:rPr>
                <w:rFonts w:eastAsia="Times New Roman" w:cs="Arial"/>
                <w:bCs/>
                <w:iCs/>
                <w:color w:val="000000"/>
                <w:lang w:eastAsia="en-GB"/>
              </w:rPr>
              <w:t xml:space="preserve">predicted to increase ciclosporin levels. Use caution. </w:t>
            </w:r>
          </w:p>
          <w:p w14:paraId="3B09676A"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Anti-cancer medicines: </w:t>
            </w:r>
            <w:r w:rsidRPr="00037AC4">
              <w:rPr>
                <w:rFonts w:eastAsia="Times New Roman" w:cs="Arial"/>
                <w:bCs/>
                <w:iCs/>
                <w:color w:val="000000"/>
                <w:lang w:eastAsia="en-GB"/>
              </w:rPr>
              <w:t xml:space="preserve">levels of either medicine may be altered, or risk of immunosuppression increased. </w:t>
            </w:r>
          </w:p>
          <w:p w14:paraId="24289A8A" w14:textId="62E30A27" w:rsidR="0022582A" w:rsidRPr="00037AC4" w:rsidRDefault="0022582A" w:rsidP="0022582A">
            <w:pPr>
              <w:pStyle w:val="ListParagraph"/>
              <w:autoSpaceDE w:val="0"/>
              <w:autoSpaceDN w:val="0"/>
              <w:adjustRightInd w:val="0"/>
              <w:spacing w:after="0"/>
              <w:ind w:left="357"/>
              <w:contextualSpacing/>
              <w:rPr>
                <w:rFonts w:eastAsia="Times New Roman" w:cs="Arial"/>
                <w:b/>
                <w:bCs/>
                <w:iCs/>
                <w:color w:val="000000"/>
                <w:lang w:eastAsia="en-GB"/>
              </w:rPr>
            </w:pPr>
          </w:p>
        </w:tc>
      </w:tr>
      <w:tr w:rsidR="007343A7" w:rsidRPr="00037AC4" w14:paraId="24EF260A" w14:textId="77777777" w:rsidTr="5A73B5A2">
        <w:trPr>
          <w:jc w:val="center"/>
        </w:trPr>
        <w:tc>
          <w:tcPr>
            <w:tcW w:w="10455" w:type="dxa"/>
            <w:gridSpan w:val="3"/>
            <w:tcBorders>
              <w:bottom w:val="nil"/>
            </w:tcBorders>
            <w:shd w:val="clear" w:color="auto" w:fill="F2F2F2" w:themeFill="background1" w:themeFillShade="F2"/>
          </w:tcPr>
          <w:p w14:paraId="330C008F" w14:textId="60A4E5CB" w:rsidR="007343A7" w:rsidRPr="00037AC4" w:rsidRDefault="007343A7" w:rsidP="007343A7">
            <w:pPr>
              <w:pStyle w:val="Heading1"/>
              <w:tabs>
                <w:tab w:val="right" w:pos="10240"/>
              </w:tabs>
              <w:rPr>
                <w:rFonts w:eastAsia="Times New Roman" w:cs="Arial"/>
                <w:color w:val="0000FF" w:themeColor="hyperlink"/>
                <w:szCs w:val="24"/>
                <w:u w:val="single"/>
                <w:lang w:eastAsia="en-GB"/>
              </w:rPr>
            </w:pPr>
            <w:bookmarkStart w:id="13" w:name="_Baseline_investigations,_initial"/>
            <w:bookmarkStart w:id="14" w:name="Eight_specialist_monitoring"/>
            <w:bookmarkEnd w:id="13"/>
            <w:r w:rsidRPr="00037AC4">
              <w:rPr>
                <w:lang w:eastAsia="en-GB"/>
              </w:rPr>
              <w:lastRenderedPageBreak/>
              <w:t>Baseline investigations, initial monitoring and ongoing monitoring to be undertaken by specialist</w:t>
            </w:r>
            <w:bookmarkEnd w:id="14"/>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p w14:paraId="57CB14F0" w14:textId="744198CF" w:rsidR="007343A7" w:rsidRPr="00037AC4" w:rsidRDefault="007343A7" w:rsidP="007343A7">
            <w:pPr>
              <w:rPr>
                <w:lang w:eastAsia="en-GB"/>
              </w:rPr>
            </w:pPr>
            <w:r w:rsidRPr="00037AC4">
              <w:rPr>
                <w:rFonts w:eastAsia="Times New Roman" w:cstheme="minorHAnsi"/>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7343A7" w:rsidRPr="00037AC4" w14:paraId="03C811CF" w14:textId="77777777" w:rsidTr="5A73B5A2">
        <w:trPr>
          <w:jc w:val="center"/>
        </w:trPr>
        <w:tc>
          <w:tcPr>
            <w:tcW w:w="10455" w:type="dxa"/>
            <w:gridSpan w:val="3"/>
            <w:tcBorders>
              <w:top w:val="nil"/>
            </w:tcBorders>
            <w:shd w:val="clear" w:color="auto" w:fill="auto"/>
          </w:tcPr>
          <w:p w14:paraId="1CF2C1D4" w14:textId="77777777" w:rsidR="007343A7" w:rsidRPr="00037AC4" w:rsidRDefault="007343A7" w:rsidP="007343A7">
            <w:pPr>
              <w:autoSpaceDE w:val="0"/>
              <w:autoSpaceDN w:val="0"/>
              <w:adjustRightInd w:val="0"/>
              <w:spacing w:line="240" w:lineRule="auto"/>
              <w:rPr>
                <w:rFonts w:cs="Arial"/>
                <w:b/>
                <w:szCs w:val="24"/>
              </w:rPr>
            </w:pPr>
            <w:r w:rsidRPr="00037AC4">
              <w:rPr>
                <w:rFonts w:cs="Arial"/>
                <w:b/>
                <w:szCs w:val="24"/>
              </w:rPr>
              <w:t xml:space="preserve">Baseline investigations: </w:t>
            </w:r>
          </w:p>
          <w:p w14:paraId="2802B2A4"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 xml:space="preserve">Height and weight </w:t>
            </w:r>
          </w:p>
          <w:p w14:paraId="0A8C0224"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Blood pressure (BP)</w:t>
            </w:r>
          </w:p>
          <w:p w14:paraId="383ADA46"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HbA1c</w:t>
            </w:r>
          </w:p>
          <w:p w14:paraId="44D475F0"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Full blood count (FBC)</w:t>
            </w:r>
          </w:p>
          <w:p w14:paraId="25BD4F1B"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Urea and electrolytes (U&amp;Es) &amp; creatinine clearance (CrCl), ideally on two occasions prior to starting ciclosporin</w:t>
            </w:r>
          </w:p>
          <w:p w14:paraId="6A908D42"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Serum magnesium</w:t>
            </w:r>
          </w:p>
          <w:p w14:paraId="4687FDA2"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Alanine aminotransferase (ALT) and/or aspartate aminotransferase (AST),  albumin, and bilirubin</w:t>
            </w:r>
          </w:p>
          <w:p w14:paraId="6A1A15D4"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Serum lipids and uric acid</w:t>
            </w:r>
          </w:p>
          <w:p w14:paraId="05C44807" w14:textId="77777777" w:rsidR="007343A7" w:rsidRPr="00037AC4" w:rsidRDefault="007343A7" w:rsidP="007343A7">
            <w:pPr>
              <w:pStyle w:val="ListParagraph"/>
              <w:numPr>
                <w:ilvl w:val="0"/>
                <w:numId w:val="31"/>
              </w:numPr>
              <w:spacing w:after="0"/>
              <w:ind w:left="357" w:hanging="357"/>
              <w:contextualSpacing/>
              <w:rPr>
                <w:rFonts w:eastAsia="Times New Roman" w:cs="Arial"/>
                <w:szCs w:val="24"/>
                <w:lang w:eastAsia="en-GB"/>
              </w:rPr>
            </w:pPr>
            <w:r w:rsidRPr="00037AC4">
              <w:rPr>
                <w:rFonts w:eastAsia="Times New Roman" w:cs="Arial"/>
                <w:szCs w:val="24"/>
                <w:lang w:eastAsia="en-GB"/>
              </w:rPr>
              <w:lastRenderedPageBreak/>
              <w:t>Screening for HIV and hepatitis B and C</w:t>
            </w:r>
          </w:p>
          <w:p w14:paraId="560BD822" w14:textId="77777777" w:rsidR="007343A7" w:rsidRPr="00037AC4" w:rsidRDefault="007343A7" w:rsidP="007343A7">
            <w:pPr>
              <w:pStyle w:val="ListParagraph"/>
              <w:numPr>
                <w:ilvl w:val="0"/>
                <w:numId w:val="31"/>
              </w:numPr>
              <w:spacing w:after="0"/>
              <w:ind w:left="357" w:hanging="357"/>
              <w:contextualSpacing/>
              <w:rPr>
                <w:rFonts w:cs="Arial"/>
                <w:bCs/>
                <w:szCs w:val="24"/>
              </w:rPr>
            </w:pPr>
            <w:r w:rsidRPr="00037AC4">
              <w:rPr>
                <w:rFonts w:cs="Arial"/>
                <w:bCs/>
                <w:szCs w:val="24"/>
              </w:rPr>
              <w:t>Screening for lung disease, including tuberculosis, should be undertaken at clinician discretion on a case by case basis</w:t>
            </w:r>
          </w:p>
          <w:p w14:paraId="1F6F74E8" w14:textId="77777777" w:rsidR="007343A7" w:rsidRPr="00037AC4" w:rsidRDefault="007343A7" w:rsidP="007343A7">
            <w:pPr>
              <w:pStyle w:val="ListParagraph"/>
              <w:numPr>
                <w:ilvl w:val="0"/>
                <w:numId w:val="31"/>
              </w:numPr>
              <w:spacing w:after="0"/>
              <w:ind w:left="357" w:hanging="357"/>
              <w:contextualSpacing/>
              <w:rPr>
                <w:rFonts w:cs="Arial"/>
                <w:bCs/>
                <w:szCs w:val="24"/>
              </w:rPr>
            </w:pPr>
            <w:r w:rsidRPr="00037AC4">
              <w:rPr>
                <w:rFonts w:cs="Arial"/>
                <w:bCs/>
                <w:szCs w:val="24"/>
              </w:rPr>
              <w:t>Consider baseline pregnancy testing, if clinically appropriate</w:t>
            </w:r>
          </w:p>
          <w:p w14:paraId="11E4B8FB" w14:textId="77777777" w:rsidR="007343A7" w:rsidRPr="00037AC4" w:rsidRDefault="007343A7" w:rsidP="007343A7">
            <w:pPr>
              <w:pStyle w:val="ListParagraph"/>
              <w:numPr>
                <w:ilvl w:val="0"/>
                <w:numId w:val="31"/>
              </w:numPr>
              <w:spacing w:after="0"/>
              <w:ind w:left="357" w:hanging="357"/>
              <w:contextualSpacing/>
              <w:rPr>
                <w:rFonts w:eastAsia="Times New Roman" w:cs="Arial"/>
                <w:bCs/>
                <w:iCs/>
                <w:szCs w:val="24"/>
                <w:lang w:eastAsia="en-GB"/>
              </w:rPr>
            </w:pPr>
            <w:r w:rsidRPr="00037AC4">
              <w:rPr>
                <w:rFonts w:eastAsia="Times New Roman" w:cs="Arial"/>
                <w:bCs/>
                <w:iCs/>
                <w:szCs w:val="24"/>
                <w:lang w:eastAsia="en-GB"/>
              </w:rPr>
              <w:t>Provide or request appropriate vaccination prior to treatment initiation, according to local arrangements (e.g. pneumococcal, shingles, influenza, COVID-19)</w:t>
            </w:r>
          </w:p>
          <w:p w14:paraId="0E9940B7" w14:textId="77777777" w:rsidR="007343A7" w:rsidRPr="00037AC4" w:rsidRDefault="007343A7" w:rsidP="007343A7">
            <w:pPr>
              <w:framePr w:hSpace="180" w:wrap="around" w:vAnchor="page" w:hAnchor="margin" w:xAlign="center" w:y="1081"/>
              <w:autoSpaceDE w:val="0"/>
              <w:autoSpaceDN w:val="0"/>
              <w:adjustRightInd w:val="0"/>
              <w:spacing w:line="240" w:lineRule="auto"/>
              <w:rPr>
                <w:rFonts w:cs="Arial"/>
                <w:color w:val="000000"/>
                <w:szCs w:val="24"/>
              </w:rPr>
            </w:pPr>
          </w:p>
          <w:p w14:paraId="2854638E" w14:textId="77777777" w:rsidR="007343A7" w:rsidRPr="00037AC4" w:rsidRDefault="007343A7" w:rsidP="007343A7">
            <w:pPr>
              <w:framePr w:hSpace="180" w:wrap="around" w:vAnchor="page" w:hAnchor="margin" w:xAlign="center" w:y="1081"/>
              <w:autoSpaceDE w:val="0"/>
              <w:autoSpaceDN w:val="0"/>
              <w:adjustRightInd w:val="0"/>
              <w:rPr>
                <w:rFonts w:cs="Arial"/>
                <w:b/>
                <w:color w:val="000000"/>
                <w:szCs w:val="24"/>
              </w:rPr>
            </w:pPr>
            <w:r w:rsidRPr="00037AC4">
              <w:rPr>
                <w:rFonts w:cs="Arial"/>
                <w:b/>
                <w:color w:val="000000"/>
                <w:szCs w:val="24"/>
              </w:rPr>
              <w:t xml:space="preserve">Initial monitoring and at dose change: </w:t>
            </w:r>
          </w:p>
          <w:p w14:paraId="487C0578" w14:textId="77777777" w:rsidR="007343A7" w:rsidRPr="00037AC4" w:rsidRDefault="007343A7" w:rsidP="007343A7">
            <w:pPr>
              <w:autoSpaceDE w:val="0"/>
              <w:autoSpaceDN w:val="0"/>
              <w:adjustRightInd w:val="0"/>
              <w:rPr>
                <w:rFonts w:eastAsia="Times New Roman" w:cs="Arial"/>
                <w:szCs w:val="24"/>
                <w:lang w:eastAsia="en-GB"/>
              </w:rPr>
            </w:pPr>
            <w:r w:rsidRPr="00037AC4">
              <w:rPr>
                <w:rFonts w:eastAsia="Times New Roman" w:cs="Arial"/>
                <w:szCs w:val="24"/>
                <w:lang w:eastAsia="en-GB"/>
              </w:rPr>
              <w:t xml:space="preserve">To be repeated every 2 weeks until the dose has been stable for 6 weeks, then monthly. After which, the transfer of prescribing to primary care should normally only take place when the patient has received a stable dose for at least 4 weeks and their blood and physical tests results have been satisfactory. It is anticipated that this should be around 12 weeks after initiation of the medicine, but may be sooner in some indications. </w:t>
            </w:r>
          </w:p>
          <w:p w14:paraId="58EA9FFD" w14:textId="77777777" w:rsidR="007343A7" w:rsidRPr="00037AC4" w:rsidRDefault="007343A7" w:rsidP="007343A7">
            <w:pPr>
              <w:numPr>
                <w:ilvl w:val="0"/>
                <w:numId w:val="23"/>
              </w:numPr>
              <w:autoSpaceDE w:val="0"/>
              <w:autoSpaceDN w:val="0"/>
              <w:adjustRightInd w:val="0"/>
              <w:ind w:left="357" w:hanging="357"/>
              <w:contextualSpacing/>
              <w:rPr>
                <w:rFonts w:eastAsia="Times New Roman" w:cs="Arial"/>
                <w:szCs w:val="24"/>
                <w:lang w:eastAsia="en-GB"/>
              </w:rPr>
            </w:pPr>
            <w:r w:rsidRPr="00037AC4">
              <w:rPr>
                <w:rFonts w:eastAsia="Times New Roman" w:cs="Arial"/>
                <w:szCs w:val="24"/>
                <w:lang w:eastAsia="en-GB"/>
              </w:rPr>
              <w:t>BP</w:t>
            </w:r>
          </w:p>
          <w:p w14:paraId="3C088D1E" w14:textId="77777777" w:rsidR="007343A7" w:rsidRPr="00037AC4" w:rsidRDefault="007343A7" w:rsidP="007343A7">
            <w:pPr>
              <w:numPr>
                <w:ilvl w:val="0"/>
                <w:numId w:val="23"/>
              </w:numPr>
              <w:autoSpaceDE w:val="0"/>
              <w:autoSpaceDN w:val="0"/>
              <w:adjustRightInd w:val="0"/>
              <w:ind w:left="357" w:hanging="357"/>
              <w:contextualSpacing/>
              <w:rPr>
                <w:rFonts w:eastAsia="Times New Roman" w:cs="Arial"/>
                <w:szCs w:val="24"/>
                <w:lang w:eastAsia="en-GB"/>
              </w:rPr>
            </w:pPr>
            <w:r w:rsidRPr="00037AC4">
              <w:rPr>
                <w:rFonts w:cs="Arial"/>
                <w:szCs w:val="24"/>
              </w:rPr>
              <w:t>HbA1c</w:t>
            </w:r>
          </w:p>
          <w:p w14:paraId="2F1A9A6E" w14:textId="77777777" w:rsidR="007343A7" w:rsidRPr="00037AC4" w:rsidRDefault="007343A7" w:rsidP="007343A7">
            <w:pPr>
              <w:numPr>
                <w:ilvl w:val="0"/>
                <w:numId w:val="23"/>
              </w:numPr>
              <w:autoSpaceDE w:val="0"/>
              <w:autoSpaceDN w:val="0"/>
              <w:adjustRightInd w:val="0"/>
              <w:ind w:left="357" w:hanging="357"/>
              <w:contextualSpacing/>
              <w:rPr>
                <w:rFonts w:eastAsia="Times New Roman" w:cs="Arial"/>
                <w:szCs w:val="24"/>
                <w:lang w:eastAsia="en-GB"/>
              </w:rPr>
            </w:pPr>
            <w:r w:rsidRPr="00037AC4">
              <w:rPr>
                <w:rFonts w:eastAsia="Times New Roman" w:cs="Arial"/>
                <w:szCs w:val="24"/>
                <w:lang w:eastAsia="en-GB"/>
              </w:rPr>
              <w:t>FBC</w:t>
            </w:r>
          </w:p>
          <w:p w14:paraId="2AA34255" w14:textId="77777777" w:rsidR="007343A7" w:rsidRPr="00037AC4" w:rsidRDefault="007343A7" w:rsidP="007343A7">
            <w:pPr>
              <w:numPr>
                <w:ilvl w:val="0"/>
                <w:numId w:val="23"/>
              </w:numPr>
              <w:autoSpaceDE w:val="0"/>
              <w:autoSpaceDN w:val="0"/>
              <w:adjustRightInd w:val="0"/>
              <w:ind w:left="357" w:hanging="357"/>
              <w:contextualSpacing/>
              <w:rPr>
                <w:rFonts w:eastAsia="Times New Roman" w:cs="Arial"/>
                <w:szCs w:val="24"/>
                <w:lang w:eastAsia="en-GB"/>
              </w:rPr>
            </w:pPr>
            <w:r w:rsidRPr="00037AC4">
              <w:rPr>
                <w:rFonts w:eastAsia="Times New Roman" w:cs="Arial"/>
                <w:szCs w:val="24"/>
                <w:lang w:eastAsia="en-GB"/>
              </w:rPr>
              <w:t>U&amp;Es, including creatinine and CrCl</w:t>
            </w:r>
          </w:p>
          <w:p w14:paraId="54347E96" w14:textId="77777777" w:rsidR="007343A7" w:rsidRPr="00037AC4" w:rsidRDefault="007343A7" w:rsidP="007343A7">
            <w:pPr>
              <w:numPr>
                <w:ilvl w:val="0"/>
                <w:numId w:val="23"/>
              </w:numPr>
              <w:autoSpaceDE w:val="0"/>
              <w:autoSpaceDN w:val="0"/>
              <w:adjustRightInd w:val="0"/>
              <w:ind w:left="357" w:hanging="357"/>
              <w:contextualSpacing/>
              <w:rPr>
                <w:rFonts w:eastAsia="Times New Roman" w:cs="Arial"/>
                <w:szCs w:val="24"/>
                <w:lang w:eastAsia="en-GB"/>
              </w:rPr>
            </w:pPr>
            <w:r w:rsidRPr="00037AC4">
              <w:rPr>
                <w:rFonts w:eastAsia="Times New Roman" w:cs="Arial"/>
                <w:szCs w:val="24"/>
                <w:lang w:eastAsia="en-GB"/>
              </w:rPr>
              <w:t>AST and/or ALT, albumin, and bilirubin</w:t>
            </w:r>
          </w:p>
          <w:p w14:paraId="7CE913CF" w14:textId="77777777" w:rsidR="007343A7" w:rsidRPr="00037AC4" w:rsidRDefault="007343A7" w:rsidP="007343A7">
            <w:pPr>
              <w:numPr>
                <w:ilvl w:val="0"/>
                <w:numId w:val="23"/>
              </w:numPr>
              <w:autoSpaceDE w:val="0"/>
              <w:autoSpaceDN w:val="0"/>
              <w:adjustRightInd w:val="0"/>
              <w:ind w:left="357" w:hanging="357"/>
              <w:contextualSpacing/>
              <w:rPr>
                <w:rFonts w:eastAsia="Times New Roman" w:cs="Arial"/>
                <w:szCs w:val="24"/>
                <w:lang w:eastAsia="en-GB"/>
              </w:rPr>
            </w:pPr>
            <w:r w:rsidRPr="00037AC4">
              <w:rPr>
                <w:rFonts w:eastAsia="Times New Roman" w:cs="Arial"/>
                <w:szCs w:val="24"/>
                <w:lang w:eastAsia="en-GB"/>
              </w:rPr>
              <w:t xml:space="preserve">Rheumatology patients: C-reactive protein (CRP) &amp;/or erythrocyte sedimentation rate (ESR)  </w:t>
            </w:r>
          </w:p>
          <w:p w14:paraId="14A9EBCE" w14:textId="77777777" w:rsidR="007343A7" w:rsidRPr="00037AC4" w:rsidRDefault="007343A7" w:rsidP="007343A7">
            <w:pPr>
              <w:framePr w:hSpace="180" w:wrap="around" w:vAnchor="page" w:hAnchor="margin" w:xAlign="center" w:y="1081"/>
              <w:autoSpaceDE w:val="0"/>
              <w:autoSpaceDN w:val="0"/>
              <w:adjustRightInd w:val="0"/>
              <w:rPr>
                <w:rFonts w:cs="Arial"/>
                <w:szCs w:val="24"/>
                <w:lang w:eastAsia="en-GB"/>
              </w:rPr>
            </w:pPr>
            <w:r w:rsidRPr="00037AC4">
              <w:rPr>
                <w:rFonts w:cs="Arial"/>
                <w:szCs w:val="24"/>
                <w:lang w:eastAsia="en-GB"/>
              </w:rPr>
              <w:t>Following a dose change repeat every 2 weeks</w:t>
            </w:r>
            <w:r w:rsidRPr="00037AC4">
              <w:rPr>
                <w:rFonts w:cs="Arial"/>
                <w:color w:val="000000"/>
                <w:szCs w:val="24"/>
              </w:rPr>
              <w:t xml:space="preserve"> </w:t>
            </w:r>
            <w:r w:rsidRPr="00037AC4">
              <w:rPr>
                <w:rFonts w:cs="Arial"/>
                <w:szCs w:val="24"/>
                <w:lang w:eastAsia="en-GB"/>
              </w:rPr>
              <w:t>until the dose has been stable for 6 weeks, then revert to previous schedule.</w:t>
            </w:r>
          </w:p>
          <w:p w14:paraId="55C7FE33" w14:textId="77777777" w:rsidR="007343A7" w:rsidRPr="00037AC4" w:rsidRDefault="007343A7" w:rsidP="007343A7">
            <w:pPr>
              <w:framePr w:hSpace="180" w:wrap="around" w:vAnchor="page" w:hAnchor="margin" w:xAlign="center" w:y="1081"/>
              <w:autoSpaceDE w:val="0"/>
              <w:autoSpaceDN w:val="0"/>
              <w:adjustRightInd w:val="0"/>
              <w:spacing w:line="240" w:lineRule="auto"/>
              <w:rPr>
                <w:rFonts w:cs="Arial"/>
                <w:szCs w:val="24"/>
                <w:lang w:eastAsia="en-GB"/>
              </w:rPr>
            </w:pPr>
          </w:p>
          <w:p w14:paraId="746FC57D" w14:textId="77777777" w:rsidR="007343A7" w:rsidRPr="00037AC4" w:rsidRDefault="007343A7" w:rsidP="007343A7">
            <w:pPr>
              <w:framePr w:hSpace="180" w:wrap="around" w:vAnchor="page" w:hAnchor="margin" w:xAlign="center" w:y="1081"/>
              <w:autoSpaceDE w:val="0"/>
              <w:autoSpaceDN w:val="0"/>
              <w:adjustRightInd w:val="0"/>
              <w:ind w:left="357" w:hanging="357"/>
              <w:rPr>
                <w:rFonts w:cs="Arial"/>
                <w:szCs w:val="24"/>
                <w:lang w:eastAsia="en-GB"/>
              </w:rPr>
            </w:pPr>
            <w:r w:rsidRPr="00037AC4">
              <w:rPr>
                <w:rFonts w:cs="Arial"/>
                <w:szCs w:val="24"/>
                <w:lang w:eastAsia="en-GB"/>
              </w:rPr>
              <w:t>After one month of treatment:</w:t>
            </w:r>
          </w:p>
          <w:p w14:paraId="7EF839E0" w14:textId="77777777" w:rsidR="007343A7" w:rsidRPr="00037AC4" w:rsidRDefault="007343A7" w:rsidP="007343A7">
            <w:pPr>
              <w:pStyle w:val="ListParagraph"/>
              <w:framePr w:hSpace="180" w:wrap="around" w:vAnchor="page" w:hAnchor="margin" w:xAlign="center" w:y="1081"/>
              <w:numPr>
                <w:ilvl w:val="0"/>
                <w:numId w:val="23"/>
              </w:numPr>
              <w:autoSpaceDE w:val="0"/>
              <w:autoSpaceDN w:val="0"/>
              <w:adjustRightInd w:val="0"/>
              <w:spacing w:after="0"/>
              <w:ind w:left="357" w:hanging="357"/>
              <w:contextualSpacing/>
              <w:rPr>
                <w:rFonts w:cs="Arial"/>
                <w:szCs w:val="24"/>
                <w:lang w:eastAsia="en-GB"/>
              </w:rPr>
            </w:pPr>
            <w:r w:rsidRPr="00037AC4">
              <w:rPr>
                <w:rFonts w:cs="Arial"/>
                <w:szCs w:val="24"/>
                <w:lang w:eastAsia="en-GB"/>
              </w:rPr>
              <w:t>Serum lipids</w:t>
            </w:r>
          </w:p>
          <w:p w14:paraId="13D1551E" w14:textId="77777777" w:rsidR="007343A7" w:rsidRPr="00037AC4" w:rsidRDefault="007343A7" w:rsidP="007343A7">
            <w:pPr>
              <w:framePr w:hSpace="180" w:wrap="around" w:vAnchor="page" w:hAnchor="margin" w:xAlign="center" w:y="1081"/>
              <w:autoSpaceDE w:val="0"/>
              <w:autoSpaceDN w:val="0"/>
              <w:adjustRightInd w:val="0"/>
              <w:spacing w:line="240" w:lineRule="auto"/>
              <w:rPr>
                <w:rFonts w:cs="Arial"/>
                <w:color w:val="000000"/>
                <w:szCs w:val="24"/>
              </w:rPr>
            </w:pPr>
          </w:p>
          <w:p w14:paraId="60BB146C" w14:textId="77777777" w:rsidR="007343A7" w:rsidRPr="00037AC4" w:rsidRDefault="007343A7" w:rsidP="007343A7">
            <w:pPr>
              <w:autoSpaceDE w:val="0"/>
              <w:autoSpaceDN w:val="0"/>
              <w:adjustRightInd w:val="0"/>
              <w:rPr>
                <w:rFonts w:eastAsia="Times New Roman" w:cs="Arial"/>
                <w:szCs w:val="24"/>
                <w:lang w:eastAsia="en-GB"/>
              </w:rPr>
            </w:pPr>
            <w:r w:rsidRPr="00037AC4">
              <w:rPr>
                <w:rFonts w:cs="Arial"/>
                <w:szCs w:val="24"/>
              </w:rPr>
              <w:t xml:space="preserve">More frequent monitoring is appropriate in patients at higher risk of toxicity. </w:t>
            </w:r>
            <w:r w:rsidRPr="00037AC4">
              <w:rPr>
                <w:rFonts w:eastAsia="Times New Roman" w:cs="Arial"/>
                <w:szCs w:val="24"/>
                <w:lang w:eastAsia="en-GB"/>
              </w:rPr>
              <w:t>Monitoring of ciclosporin drug levels, where clinically appropriate, would usually be undertaken by the specialist if indicated.</w:t>
            </w:r>
          </w:p>
          <w:p w14:paraId="040B59BE" w14:textId="77777777" w:rsidR="007343A7" w:rsidRPr="00037AC4" w:rsidRDefault="007343A7" w:rsidP="007343A7">
            <w:pPr>
              <w:autoSpaceDE w:val="0"/>
              <w:autoSpaceDN w:val="0"/>
              <w:adjustRightInd w:val="0"/>
              <w:rPr>
                <w:rFonts w:eastAsia="Times New Roman" w:cs="Arial"/>
                <w:szCs w:val="24"/>
                <w:lang w:eastAsia="en-GB"/>
              </w:rPr>
            </w:pPr>
            <w:r w:rsidRPr="00037AC4">
              <w:rPr>
                <w:rFonts w:eastAsia="Times New Roman" w:cs="Arial"/>
                <w:szCs w:val="24"/>
                <w:lang w:eastAsia="en-GB"/>
              </w:rPr>
              <w:t>Prescribing and dispensing of ciclosporin should be by brand name to avoid inadvertent switching.</w:t>
            </w:r>
          </w:p>
          <w:p w14:paraId="427E6DB8" w14:textId="77777777" w:rsidR="007343A7" w:rsidRPr="00037AC4" w:rsidRDefault="007343A7" w:rsidP="007343A7">
            <w:pPr>
              <w:autoSpaceDE w:val="0"/>
              <w:autoSpaceDN w:val="0"/>
              <w:adjustRightInd w:val="0"/>
              <w:rPr>
                <w:rFonts w:eastAsia="Times New Roman" w:cs="Arial"/>
                <w:szCs w:val="24"/>
                <w:lang w:eastAsia="en-GB"/>
              </w:rPr>
            </w:pPr>
            <w:r w:rsidRPr="00037AC4">
              <w:rPr>
                <w:rFonts w:eastAsia="Times New Roman" w:cs="Arial"/>
                <w:szCs w:val="24"/>
                <w:lang w:eastAsia="en-GB"/>
              </w:rPr>
              <w:t>If it is necessary to switch a patient to a different brand, this should be done cautiously under specialist supervision. The patient should be monitored closely for changes in the following:</w:t>
            </w:r>
          </w:p>
          <w:p w14:paraId="0743FF51" w14:textId="77777777" w:rsidR="007343A7" w:rsidRPr="00037AC4" w:rsidRDefault="007343A7" w:rsidP="007343A7">
            <w:pPr>
              <w:numPr>
                <w:ilvl w:val="0"/>
                <w:numId w:val="30"/>
              </w:numPr>
              <w:autoSpaceDE w:val="0"/>
              <w:autoSpaceDN w:val="0"/>
              <w:adjustRightInd w:val="0"/>
              <w:ind w:left="714" w:hanging="357"/>
              <w:contextualSpacing/>
              <w:rPr>
                <w:rFonts w:eastAsia="Times New Roman" w:cs="Arial"/>
                <w:szCs w:val="24"/>
                <w:lang w:eastAsia="en-GB"/>
              </w:rPr>
            </w:pPr>
            <w:r w:rsidRPr="00037AC4">
              <w:rPr>
                <w:rFonts w:eastAsia="Times New Roman" w:cs="Arial"/>
                <w:szCs w:val="24"/>
                <w:lang w:eastAsia="en-GB"/>
              </w:rPr>
              <w:t>Serum creatinine</w:t>
            </w:r>
          </w:p>
          <w:p w14:paraId="56A6873D" w14:textId="77777777" w:rsidR="007343A7" w:rsidRPr="00037AC4" w:rsidRDefault="007343A7" w:rsidP="007343A7">
            <w:pPr>
              <w:numPr>
                <w:ilvl w:val="0"/>
                <w:numId w:val="30"/>
              </w:numPr>
              <w:autoSpaceDE w:val="0"/>
              <w:autoSpaceDN w:val="0"/>
              <w:adjustRightInd w:val="0"/>
              <w:ind w:left="714" w:hanging="357"/>
              <w:contextualSpacing/>
              <w:rPr>
                <w:rFonts w:eastAsia="Times New Roman" w:cs="Arial"/>
                <w:szCs w:val="24"/>
                <w:lang w:eastAsia="en-GB"/>
              </w:rPr>
            </w:pPr>
            <w:r w:rsidRPr="00037AC4">
              <w:rPr>
                <w:rFonts w:eastAsia="Times New Roman" w:cs="Arial"/>
                <w:szCs w:val="24"/>
                <w:lang w:eastAsia="en-GB"/>
              </w:rPr>
              <w:t>BP</w:t>
            </w:r>
          </w:p>
          <w:p w14:paraId="4D9F0D92" w14:textId="77777777" w:rsidR="007343A7" w:rsidRPr="00037AC4" w:rsidRDefault="007343A7" w:rsidP="007343A7">
            <w:pPr>
              <w:autoSpaceDE w:val="0"/>
              <w:autoSpaceDN w:val="0"/>
              <w:adjustRightInd w:val="0"/>
              <w:spacing w:before="60" w:after="60" w:line="240" w:lineRule="auto"/>
              <w:rPr>
                <w:rFonts w:eastAsia="Times New Roman" w:cs="Arial"/>
                <w:szCs w:val="24"/>
                <w:lang w:eastAsia="en-GB"/>
              </w:rPr>
            </w:pPr>
          </w:p>
          <w:p w14:paraId="69D86EC8" w14:textId="77777777" w:rsidR="007343A7" w:rsidRPr="00037AC4" w:rsidRDefault="007343A7" w:rsidP="007343A7">
            <w:pPr>
              <w:autoSpaceDE w:val="0"/>
              <w:autoSpaceDN w:val="0"/>
              <w:adjustRightInd w:val="0"/>
              <w:rPr>
                <w:rFonts w:eastAsia="Times New Roman" w:cs="Arial"/>
                <w:szCs w:val="24"/>
                <w:lang w:eastAsia="en-GB"/>
              </w:rPr>
            </w:pPr>
            <w:r w:rsidRPr="00037AC4">
              <w:rPr>
                <w:rFonts w:eastAsia="Times New Roman" w:cs="Arial"/>
                <w:szCs w:val="24"/>
                <w:lang w:eastAsia="en-GB"/>
              </w:rPr>
              <w:t>At initiation of shared care, communication to primary care should include current and ongoing dose, any relevant test results, date the next monitoring is required, anticipated duration of treatment, and stop date for ciclosporin (if applicable).</w:t>
            </w:r>
          </w:p>
          <w:p w14:paraId="2F1ED935" w14:textId="77777777" w:rsidR="007343A7" w:rsidRPr="00037AC4" w:rsidRDefault="007343A7" w:rsidP="007343A7">
            <w:pPr>
              <w:autoSpaceDE w:val="0"/>
              <w:autoSpaceDN w:val="0"/>
              <w:adjustRightInd w:val="0"/>
              <w:rPr>
                <w:rFonts w:eastAsia="Times New Roman" w:cs="Arial"/>
                <w:szCs w:val="24"/>
                <w:lang w:eastAsia="en-GB"/>
              </w:rPr>
            </w:pPr>
            <w:r w:rsidRPr="00037AC4">
              <w:rPr>
                <w:rFonts w:eastAsia="Times New Roman" w:cs="Arial"/>
                <w:szCs w:val="24"/>
                <w:lang w:eastAsia="en-GB"/>
              </w:rPr>
              <w:t>The specialist will retain the responsibility for monitoring the patient’s ongoing response to treatment, and advise if a dose change or treatment cessation is appropriate. This should usually be undertaken annually.</w:t>
            </w:r>
          </w:p>
          <w:p w14:paraId="4D7F84F8" w14:textId="77777777" w:rsidR="007343A7" w:rsidRPr="00037AC4" w:rsidRDefault="007343A7" w:rsidP="007343A7">
            <w:pPr>
              <w:autoSpaceDE w:val="0"/>
              <w:autoSpaceDN w:val="0"/>
              <w:adjustRightInd w:val="0"/>
              <w:rPr>
                <w:rFonts w:eastAsia="Times New Roman" w:cs="Arial"/>
                <w:szCs w:val="24"/>
                <w:lang w:eastAsia="en-GB"/>
              </w:rPr>
            </w:pPr>
            <w:r w:rsidRPr="00037AC4">
              <w:rPr>
                <w:rFonts w:eastAsia="Times New Roman" w:cs="Arial"/>
                <w:szCs w:val="24"/>
                <w:lang w:eastAsia="en-GB"/>
              </w:rPr>
              <w:t xml:space="preserve">When a patient is reviewed, advise primary care whether treatment should be continued and for how long, confirm the ongoing dose, and whether the ongoing monitoring outlined in </w:t>
            </w:r>
            <w:hyperlink w:anchor="Nine_primary_care_monitoring" w:history="1">
              <w:r w:rsidRPr="00037AC4">
                <w:rPr>
                  <w:rStyle w:val="Hyperlink"/>
                  <w:rFonts w:eastAsia="Times New Roman" w:cs="Arial"/>
                  <w:szCs w:val="24"/>
                  <w:lang w:eastAsia="en-GB"/>
                </w:rPr>
                <w:t>section 9</w:t>
              </w:r>
            </w:hyperlink>
            <w:r w:rsidRPr="00037AC4">
              <w:rPr>
                <w:rFonts w:eastAsia="Times New Roman" w:cs="Arial"/>
                <w:szCs w:val="24"/>
                <w:lang w:eastAsia="en-GB"/>
              </w:rPr>
              <w:t xml:space="preserve"> remains appropriate. </w:t>
            </w:r>
          </w:p>
          <w:p w14:paraId="01BE7CD8" w14:textId="647F4B44" w:rsidR="007343A7" w:rsidRPr="00037AC4" w:rsidRDefault="007343A7" w:rsidP="007343A7">
            <w:pPr>
              <w:autoSpaceDE w:val="0"/>
              <w:autoSpaceDN w:val="0"/>
              <w:adjustRightInd w:val="0"/>
              <w:spacing w:before="60" w:after="60" w:line="240" w:lineRule="auto"/>
              <w:contextualSpacing/>
              <w:rPr>
                <w:rFonts w:eastAsia="Times New Roman" w:cs="Arial"/>
                <w:szCs w:val="24"/>
                <w:lang w:eastAsia="en-GB"/>
              </w:rPr>
            </w:pPr>
            <w:r w:rsidRPr="00037AC4">
              <w:rPr>
                <w:rFonts w:eastAsia="Times New Roman" w:cs="Arial"/>
                <w:szCs w:val="24"/>
                <w:lang w:eastAsia="en-GB"/>
              </w:rPr>
              <w:t xml:space="preserve"> </w:t>
            </w:r>
          </w:p>
        </w:tc>
      </w:tr>
      <w:tr w:rsidR="007343A7" w:rsidRPr="00037AC4" w14:paraId="6695C431" w14:textId="77777777" w:rsidTr="5A73B5A2">
        <w:trPr>
          <w:jc w:val="center"/>
        </w:trPr>
        <w:tc>
          <w:tcPr>
            <w:tcW w:w="10455" w:type="dxa"/>
            <w:gridSpan w:val="3"/>
            <w:shd w:val="clear" w:color="auto" w:fill="F2F2F2" w:themeFill="background1" w:themeFillShade="F2"/>
          </w:tcPr>
          <w:p w14:paraId="631F17A8" w14:textId="533F0BDD" w:rsidR="007343A7" w:rsidRPr="00037AC4" w:rsidRDefault="007343A7" w:rsidP="007343A7">
            <w:pPr>
              <w:pStyle w:val="Heading1"/>
              <w:tabs>
                <w:tab w:val="right" w:pos="10238"/>
              </w:tabs>
              <w:spacing w:after="240"/>
              <w:rPr>
                <w:strike/>
                <w:lang w:eastAsia="en-GB"/>
              </w:rPr>
            </w:pPr>
            <w:bookmarkStart w:id="15" w:name="Nine_primary_care_monitoring"/>
            <w:r w:rsidRPr="00037AC4">
              <w:rPr>
                <w:lang w:eastAsia="en-GB"/>
              </w:rPr>
              <w:lastRenderedPageBreak/>
              <w:t xml:space="preserve">Ongoing monitoring requirements to be undertaken </w:t>
            </w:r>
            <w:r w:rsidRPr="00037AC4">
              <w:rPr>
                <w:lang w:eastAsia="en-GB"/>
              </w:rPr>
              <w:br/>
              <w:t>by primary care</w:t>
            </w:r>
            <w:bookmarkEnd w:id="15"/>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p w14:paraId="25F94340" w14:textId="50E56A73" w:rsidR="007343A7" w:rsidRPr="00037AC4" w:rsidRDefault="007343A7" w:rsidP="007343A7">
            <w:pPr>
              <w:rPr>
                <w:b/>
                <w:szCs w:val="24"/>
                <w:lang w:eastAsia="en-GB"/>
              </w:rPr>
            </w:pPr>
            <w:r w:rsidRPr="00037AC4">
              <w:rPr>
                <w:lang w:eastAsia="en-GB"/>
              </w:rPr>
              <w:t xml:space="preserve">See </w:t>
            </w:r>
            <w:hyperlink w:anchor="Ten_ADRs_and_Management" w:history="1">
              <w:r w:rsidRPr="00037AC4">
                <w:rPr>
                  <w:rStyle w:val="Hyperlink"/>
                  <w:rFonts w:eastAsia="Times New Roman" w:cs="Arial"/>
                  <w:iCs/>
                  <w:lang w:eastAsia="en-GB"/>
                </w:rPr>
                <w:t>section 10</w:t>
              </w:r>
            </w:hyperlink>
            <w:r w:rsidRPr="00037AC4">
              <w:rPr>
                <w:lang w:eastAsia="en-GB"/>
              </w:rPr>
              <w:t xml:space="preserve"> for further guidance on management of adverse effects/responding to monitoring results.</w:t>
            </w:r>
          </w:p>
        </w:tc>
      </w:tr>
      <w:tr w:rsidR="007343A7" w:rsidRPr="00037AC4" w14:paraId="636A3198" w14:textId="77777777" w:rsidTr="5A73B5A2">
        <w:trPr>
          <w:trHeight w:val="140"/>
          <w:jc w:val="center"/>
        </w:trPr>
        <w:tc>
          <w:tcPr>
            <w:tcW w:w="5227" w:type="dxa"/>
            <w:gridSpan w:val="2"/>
            <w:shd w:val="clear" w:color="auto" w:fill="F2F2F2" w:themeFill="background1" w:themeFillShade="F2"/>
          </w:tcPr>
          <w:p w14:paraId="4512E5AE" w14:textId="07A0FCFB" w:rsidR="007343A7" w:rsidRPr="00037AC4" w:rsidRDefault="007343A7" w:rsidP="007343A7">
            <w:pPr>
              <w:keepNext/>
              <w:spacing w:before="60" w:after="60" w:line="240" w:lineRule="auto"/>
              <w:jc w:val="center"/>
              <w:rPr>
                <w:rFonts w:eastAsia="Times New Roman" w:cs="Arial"/>
                <w:b/>
                <w:szCs w:val="24"/>
                <w:lang w:eastAsia="en-GB"/>
              </w:rPr>
            </w:pPr>
            <w:r w:rsidRPr="00037AC4">
              <w:rPr>
                <w:rFonts w:eastAsia="Times New Roman" w:cstheme="minorHAnsi"/>
                <w:b/>
                <w:szCs w:val="24"/>
                <w:lang w:eastAsia="en-GB"/>
              </w:rPr>
              <w:t>Monitoring</w:t>
            </w:r>
          </w:p>
        </w:tc>
        <w:tc>
          <w:tcPr>
            <w:tcW w:w="5228" w:type="dxa"/>
            <w:shd w:val="clear" w:color="auto" w:fill="F2F2F2" w:themeFill="background1" w:themeFillShade="F2"/>
          </w:tcPr>
          <w:p w14:paraId="5B122D8C" w14:textId="4615D877" w:rsidR="007343A7" w:rsidRPr="00037AC4" w:rsidRDefault="007343A7" w:rsidP="007343A7">
            <w:pPr>
              <w:spacing w:before="60" w:after="60" w:line="240" w:lineRule="auto"/>
              <w:jc w:val="center"/>
              <w:rPr>
                <w:rFonts w:eastAsia="Times New Roman" w:cs="Arial"/>
                <w:b/>
                <w:szCs w:val="24"/>
                <w:lang w:eastAsia="en-GB"/>
              </w:rPr>
            </w:pPr>
            <w:r w:rsidRPr="00037AC4">
              <w:rPr>
                <w:rFonts w:eastAsia="Times New Roman" w:cstheme="minorHAnsi"/>
                <w:b/>
                <w:szCs w:val="24"/>
                <w:lang w:eastAsia="en-GB"/>
              </w:rPr>
              <w:t>Frequency</w:t>
            </w:r>
          </w:p>
        </w:tc>
      </w:tr>
      <w:tr w:rsidR="007343A7" w:rsidRPr="00037AC4" w14:paraId="6767A09B" w14:textId="77777777" w:rsidTr="5A73B5A2">
        <w:trPr>
          <w:trHeight w:val="140"/>
          <w:jc w:val="center"/>
        </w:trPr>
        <w:tc>
          <w:tcPr>
            <w:tcW w:w="5227" w:type="dxa"/>
            <w:gridSpan w:val="2"/>
            <w:shd w:val="clear" w:color="auto" w:fill="auto"/>
          </w:tcPr>
          <w:p w14:paraId="12C191B8" w14:textId="77777777"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BP</w:t>
            </w:r>
          </w:p>
          <w:p w14:paraId="26FFE828" w14:textId="77777777"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Arial"/>
                <w:color w:val="000000"/>
                <w:lang w:eastAsia="en-GB"/>
              </w:rPr>
            </w:pPr>
            <w:r w:rsidRPr="00037AC4">
              <w:rPr>
                <w:rFonts w:cs="Arial"/>
              </w:rPr>
              <w:t>HbA1c</w:t>
            </w:r>
          </w:p>
          <w:p w14:paraId="427A15BB" w14:textId="77777777"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FBC </w:t>
            </w:r>
          </w:p>
          <w:p w14:paraId="60A0808C" w14:textId="77777777"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theme="minorHAnsi"/>
                <w:b/>
                <w:szCs w:val="24"/>
                <w:lang w:eastAsia="en-GB"/>
              </w:rPr>
            </w:pPr>
            <w:r w:rsidRPr="00037AC4">
              <w:rPr>
                <w:rFonts w:eastAsia="Times New Roman" w:cstheme="minorHAnsi"/>
                <w:color w:val="000000"/>
                <w:lang w:eastAsia="en-GB"/>
              </w:rPr>
              <w:t>U&amp;Es including creatinine and CrCl</w:t>
            </w:r>
          </w:p>
          <w:p w14:paraId="5D331C29" w14:textId="77777777" w:rsidR="0093601C" w:rsidRPr="00037AC4" w:rsidRDefault="006A1763" w:rsidP="0093601C">
            <w:pPr>
              <w:pStyle w:val="ListParagraph"/>
              <w:numPr>
                <w:ilvl w:val="0"/>
                <w:numId w:val="32"/>
              </w:numPr>
              <w:autoSpaceDE w:val="0"/>
              <w:autoSpaceDN w:val="0"/>
              <w:adjustRightInd w:val="0"/>
              <w:spacing w:after="0"/>
              <w:ind w:left="357" w:hanging="357"/>
              <w:contextualSpacing/>
              <w:rPr>
                <w:rFonts w:eastAsia="Times New Roman" w:cstheme="minorHAnsi"/>
                <w:b/>
                <w:szCs w:val="24"/>
                <w:lang w:eastAsia="en-GB"/>
              </w:rPr>
            </w:pPr>
            <w:r w:rsidRPr="00037AC4">
              <w:rPr>
                <w:rFonts w:eastAsia="Times New Roman" w:cstheme="minorHAnsi"/>
                <w:color w:val="000000"/>
                <w:lang w:eastAsia="en-GB"/>
              </w:rPr>
              <w:t>ALT and/or AST, albumin, and bilirubin</w:t>
            </w:r>
          </w:p>
          <w:p w14:paraId="37E7F176" w14:textId="6F564F75" w:rsidR="007343A7" w:rsidRPr="00037AC4" w:rsidRDefault="006A1763" w:rsidP="0093601C">
            <w:pPr>
              <w:pStyle w:val="ListParagraph"/>
              <w:numPr>
                <w:ilvl w:val="0"/>
                <w:numId w:val="32"/>
              </w:numPr>
              <w:autoSpaceDE w:val="0"/>
              <w:autoSpaceDN w:val="0"/>
              <w:adjustRightInd w:val="0"/>
              <w:spacing w:after="0"/>
              <w:ind w:left="357" w:hanging="357"/>
              <w:contextualSpacing/>
              <w:rPr>
                <w:rFonts w:eastAsia="Times New Roman" w:cstheme="minorHAnsi"/>
                <w:b/>
                <w:szCs w:val="24"/>
                <w:lang w:eastAsia="en-GB"/>
              </w:rPr>
            </w:pPr>
            <w:r w:rsidRPr="00037AC4">
              <w:rPr>
                <w:rFonts w:eastAsia="Times New Roman" w:cstheme="minorHAnsi"/>
                <w:szCs w:val="24"/>
                <w:lang w:eastAsia="en-GB"/>
              </w:rPr>
              <w:t xml:space="preserve">Rheumatology patients: CRP &amp;/or ESR  </w:t>
            </w:r>
          </w:p>
        </w:tc>
        <w:tc>
          <w:tcPr>
            <w:tcW w:w="5228" w:type="dxa"/>
            <w:shd w:val="clear" w:color="auto" w:fill="auto"/>
          </w:tcPr>
          <w:p w14:paraId="23B89FE3" w14:textId="77777777" w:rsidR="006A1763" w:rsidRPr="00037AC4" w:rsidRDefault="006A1763" w:rsidP="001C5879">
            <w:pPr>
              <w:rPr>
                <w:rFonts w:eastAsia="Times New Roman" w:cstheme="minorHAnsi"/>
                <w:iCs/>
                <w:color w:val="000000"/>
                <w:lang w:eastAsia="en-GB"/>
              </w:rPr>
            </w:pPr>
            <w:r w:rsidRPr="00037AC4">
              <w:rPr>
                <w:rFonts w:eastAsia="Times New Roman" w:cstheme="minorHAnsi"/>
                <w:iCs/>
                <w:color w:val="000000"/>
                <w:lang w:eastAsia="en-GB"/>
              </w:rPr>
              <w:t xml:space="preserve">Monthly.  Patients who have been stable for 12 months can be considered for reduced frequency monitoring on a case-by-case basis. </w:t>
            </w:r>
          </w:p>
          <w:p w14:paraId="5CBD5B62" w14:textId="7CDA7D2F" w:rsidR="007343A7" w:rsidRPr="00037AC4" w:rsidRDefault="006A1763" w:rsidP="001C5879">
            <w:pPr>
              <w:rPr>
                <w:rFonts w:cs="Arial"/>
                <w:b/>
                <w:szCs w:val="24"/>
                <w:lang w:eastAsia="en-GB"/>
              </w:rPr>
            </w:pPr>
            <w:r w:rsidRPr="00037AC4">
              <w:rPr>
                <w:rFonts w:eastAsia="Times New Roman" w:cstheme="minorHAnsi"/>
                <w:b/>
                <w:iCs/>
                <w:color w:val="000000"/>
                <w:lang w:eastAsia="en-GB"/>
              </w:rPr>
              <w:t>The exact frequency of monitoring to be communicated by the specialist team in all cases</w:t>
            </w:r>
            <w:r w:rsidRPr="00037AC4">
              <w:rPr>
                <w:rFonts w:eastAsia="Times New Roman" w:cstheme="minorHAnsi"/>
                <w:iCs/>
                <w:color w:val="000000"/>
                <w:lang w:eastAsia="en-GB"/>
              </w:rPr>
              <w:t>.</w:t>
            </w:r>
          </w:p>
        </w:tc>
      </w:tr>
      <w:tr w:rsidR="006A1763" w:rsidRPr="00037AC4" w14:paraId="0F742B31" w14:textId="77777777" w:rsidTr="5A73B5A2">
        <w:trPr>
          <w:trHeight w:val="140"/>
          <w:jc w:val="center"/>
        </w:trPr>
        <w:tc>
          <w:tcPr>
            <w:tcW w:w="5227" w:type="dxa"/>
            <w:gridSpan w:val="2"/>
            <w:shd w:val="clear" w:color="auto" w:fill="auto"/>
          </w:tcPr>
          <w:p w14:paraId="15AA79C8" w14:textId="77777777"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Serum lipids </w:t>
            </w:r>
          </w:p>
          <w:p w14:paraId="480EBAAF" w14:textId="77777777"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Uric acid</w:t>
            </w:r>
          </w:p>
          <w:p w14:paraId="23499D02" w14:textId="781C9AEC"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Serum magnesium</w:t>
            </w:r>
          </w:p>
        </w:tc>
        <w:tc>
          <w:tcPr>
            <w:tcW w:w="5228" w:type="dxa"/>
            <w:shd w:val="clear" w:color="auto" w:fill="auto"/>
          </w:tcPr>
          <w:p w14:paraId="5A19162A" w14:textId="239ECC09" w:rsidR="006A1763" w:rsidRPr="00037AC4" w:rsidRDefault="006A1763" w:rsidP="001C5879">
            <w:pPr>
              <w:rPr>
                <w:rFonts w:cs="Arial"/>
                <w:b/>
                <w:szCs w:val="24"/>
                <w:lang w:eastAsia="en-GB"/>
              </w:rPr>
            </w:pPr>
            <w:r w:rsidRPr="00037AC4">
              <w:rPr>
                <w:rFonts w:eastAsia="Times New Roman" w:cstheme="minorHAnsi"/>
                <w:iCs/>
                <w:color w:val="000000"/>
                <w:lang w:eastAsia="en-GB"/>
              </w:rPr>
              <w:t>6 monthly</w:t>
            </w:r>
          </w:p>
        </w:tc>
      </w:tr>
      <w:tr w:rsidR="007343A7" w:rsidRPr="00037AC4" w14:paraId="0F38AB0A" w14:textId="77777777" w:rsidTr="5A73B5A2">
        <w:trPr>
          <w:trHeight w:val="140"/>
          <w:jc w:val="center"/>
        </w:trPr>
        <w:tc>
          <w:tcPr>
            <w:tcW w:w="5227" w:type="dxa"/>
            <w:gridSpan w:val="2"/>
            <w:shd w:val="clear" w:color="auto" w:fill="auto"/>
          </w:tcPr>
          <w:p w14:paraId="48F1568A" w14:textId="77777777" w:rsidR="006A1763" w:rsidRPr="00037AC4" w:rsidRDefault="006A1763" w:rsidP="001C5879">
            <w:pPr>
              <w:pStyle w:val="Default"/>
              <w:numPr>
                <w:ilvl w:val="0"/>
                <w:numId w:val="19"/>
              </w:numPr>
              <w:spacing w:line="360" w:lineRule="atLeast"/>
              <w:ind w:left="357" w:hanging="357"/>
              <w:contextualSpacing/>
              <w:rPr>
                <w:lang w:eastAsia="en-GB"/>
              </w:rPr>
            </w:pPr>
            <w:r w:rsidRPr="00037AC4">
              <w:rPr>
                <w:lang w:eastAsia="en-GB"/>
              </w:rPr>
              <w:t xml:space="preserve">Patients aged 70-79 years old could be eligible for the shingles vaccine (herpes  zoster). A non-live shingles vaccine is available; specialist input may be required.  </w:t>
            </w:r>
            <w:r w:rsidRPr="00037AC4">
              <w:rPr>
                <w:lang w:eastAsia="en-GB"/>
              </w:rPr>
              <w:lastRenderedPageBreak/>
              <w:t>R</w:t>
            </w:r>
            <w:r w:rsidRPr="00037AC4">
              <w:t xml:space="preserve">efer to </w:t>
            </w:r>
            <w:hyperlink r:id="rId27" w:history="1">
              <w:r w:rsidRPr="00037AC4">
                <w:rPr>
                  <w:rStyle w:val="Hyperlink"/>
                </w:rPr>
                <w:t>Green Book Chapter 6 (Contraindications and special considerations)</w:t>
              </w:r>
            </w:hyperlink>
            <w:r w:rsidRPr="00037AC4">
              <w:rPr>
                <w:rStyle w:val="Hyperlink"/>
                <w:color w:val="000000"/>
                <w:u w:val="none"/>
              </w:rPr>
              <w:t xml:space="preserve"> and</w:t>
            </w:r>
            <w:r w:rsidRPr="00037AC4">
              <w:rPr>
                <w:rStyle w:val="Hyperlink"/>
                <w:u w:val="none"/>
              </w:rPr>
              <w:t xml:space="preserve"> </w:t>
            </w:r>
            <w:hyperlink r:id="rId28" w:history="1">
              <w:r w:rsidRPr="00037AC4">
                <w:rPr>
                  <w:rStyle w:val="Hyperlink"/>
                </w:rPr>
                <w:t>Green Book Chapter 28a (Shingles)</w:t>
              </w:r>
            </w:hyperlink>
            <w:r w:rsidRPr="00037AC4">
              <w:t xml:space="preserve"> </w:t>
            </w:r>
            <w:r w:rsidRPr="00037AC4">
              <w:rPr>
                <w:lang w:eastAsia="en-GB"/>
              </w:rPr>
              <w:t>for further details.</w:t>
            </w:r>
          </w:p>
          <w:p w14:paraId="6D91DAA6" w14:textId="77777777" w:rsidR="006A1763" w:rsidRPr="00037AC4" w:rsidRDefault="006A1763" w:rsidP="001C5879">
            <w:pPr>
              <w:pStyle w:val="Default"/>
              <w:numPr>
                <w:ilvl w:val="0"/>
                <w:numId w:val="19"/>
              </w:numPr>
              <w:spacing w:line="360" w:lineRule="atLeast"/>
              <w:ind w:left="357" w:hanging="357"/>
              <w:contextualSpacing/>
              <w:rPr>
                <w:bCs/>
                <w:iCs/>
              </w:rPr>
            </w:pPr>
            <w:r w:rsidRPr="00037AC4">
              <w:rPr>
                <w:b/>
                <w:bCs/>
                <w:iCs/>
              </w:rPr>
              <w:t xml:space="preserve">Annual </w:t>
            </w:r>
            <w:r w:rsidRPr="00037AC4">
              <w:rPr>
                <w:bCs/>
                <w:iCs/>
              </w:rPr>
              <w:t>influenza (</w:t>
            </w:r>
            <w:hyperlink r:id="rId29" w:history="1">
              <w:r w:rsidRPr="00037AC4">
                <w:rPr>
                  <w:rStyle w:val="Hyperlink"/>
                  <w:bCs/>
                  <w:iCs/>
                </w:rPr>
                <w:t>The Green Book, Chapter 19</w:t>
              </w:r>
            </w:hyperlink>
            <w:r w:rsidRPr="00037AC4">
              <w:rPr>
                <w:bCs/>
                <w:iCs/>
              </w:rPr>
              <w:t>) vaccinations are recommended.</w:t>
            </w:r>
          </w:p>
          <w:p w14:paraId="0F7E0F70" w14:textId="77777777" w:rsidR="006A1763" w:rsidRPr="00037AC4" w:rsidRDefault="006A1763" w:rsidP="001C5879">
            <w:pPr>
              <w:pStyle w:val="Default"/>
              <w:numPr>
                <w:ilvl w:val="0"/>
                <w:numId w:val="19"/>
              </w:numPr>
              <w:spacing w:line="360" w:lineRule="atLeast"/>
              <w:ind w:left="357" w:hanging="357"/>
              <w:contextualSpacing/>
              <w:rPr>
                <w:bCs/>
                <w:iCs/>
              </w:rPr>
            </w:pPr>
            <w:r w:rsidRPr="00037AC4">
              <w:rPr>
                <w:bCs/>
              </w:rPr>
              <w:t xml:space="preserve">COVID-19 vaccination is safe and recommended. </w:t>
            </w:r>
          </w:p>
          <w:p w14:paraId="072D2682" w14:textId="7222FC59" w:rsidR="007343A7" w:rsidRPr="00037AC4" w:rsidRDefault="006A1763" w:rsidP="001C5879">
            <w:pPr>
              <w:pStyle w:val="ListParagraph"/>
              <w:numPr>
                <w:ilvl w:val="0"/>
                <w:numId w:val="19"/>
              </w:numPr>
              <w:autoSpaceDE w:val="0"/>
              <w:autoSpaceDN w:val="0"/>
              <w:adjustRightInd w:val="0"/>
              <w:spacing w:after="0"/>
              <w:ind w:left="357" w:hanging="357"/>
              <w:contextualSpacing/>
              <w:rPr>
                <w:rFonts w:eastAsia="Times New Roman" w:cs="Arial"/>
                <w:bCs/>
                <w:iCs/>
                <w:color w:val="000000"/>
                <w:szCs w:val="24"/>
                <w:lang w:eastAsia="en-GB"/>
              </w:rPr>
            </w:pPr>
            <w:r w:rsidRPr="00037AC4">
              <w:rPr>
                <w:rFonts w:cs="Arial"/>
                <w:bCs/>
                <w:iCs/>
                <w:szCs w:val="24"/>
              </w:rPr>
              <w:t xml:space="preserve">Repeat pneumococcal vaccine may be indicated. See </w:t>
            </w:r>
            <w:hyperlink r:id="rId30" w:history="1">
              <w:r w:rsidRPr="00037AC4">
                <w:rPr>
                  <w:rStyle w:val="Hyperlink"/>
                  <w:rFonts w:cs="Arial"/>
                  <w:bCs/>
                  <w:iCs/>
                  <w:szCs w:val="24"/>
                </w:rPr>
                <w:t>Green Book Chapter 25</w:t>
              </w:r>
            </w:hyperlink>
            <w:r w:rsidRPr="00037AC4">
              <w:rPr>
                <w:rFonts w:cs="Arial"/>
                <w:bCs/>
                <w:iCs/>
                <w:szCs w:val="24"/>
              </w:rPr>
              <w:t xml:space="preserve"> for advice.</w:t>
            </w:r>
          </w:p>
        </w:tc>
        <w:tc>
          <w:tcPr>
            <w:tcW w:w="5228" w:type="dxa"/>
            <w:shd w:val="clear" w:color="auto" w:fill="auto"/>
          </w:tcPr>
          <w:p w14:paraId="63E1400A" w14:textId="77777777" w:rsidR="006A1763" w:rsidRPr="00037AC4" w:rsidRDefault="006A1763" w:rsidP="001C5879">
            <w:pPr>
              <w:pStyle w:val="ListParagraph"/>
              <w:numPr>
                <w:ilvl w:val="0"/>
                <w:numId w:val="20"/>
              </w:numPr>
              <w:spacing w:after="0"/>
              <w:ind w:left="357" w:hanging="357"/>
              <w:contextualSpacing/>
              <w:rPr>
                <w:rFonts w:eastAsia="Times New Roman" w:cstheme="minorHAnsi"/>
                <w:b/>
                <w:szCs w:val="24"/>
                <w:lang w:eastAsia="en-GB"/>
              </w:rPr>
            </w:pPr>
            <w:r w:rsidRPr="00037AC4">
              <w:rPr>
                <w:rFonts w:eastAsia="Times New Roman" w:cstheme="minorHAnsi"/>
                <w:iCs/>
                <w:color w:val="000000"/>
                <w:lang w:eastAsia="en-GB"/>
              </w:rPr>
              <w:lastRenderedPageBreak/>
              <w:t>Shingles vaccination: one-off.</w:t>
            </w:r>
          </w:p>
          <w:p w14:paraId="53629FD7" w14:textId="77777777" w:rsidR="006A1763" w:rsidRPr="00037AC4" w:rsidRDefault="006A1763" w:rsidP="001C5879">
            <w:pPr>
              <w:pStyle w:val="ListParagraph"/>
              <w:numPr>
                <w:ilvl w:val="0"/>
                <w:numId w:val="20"/>
              </w:numPr>
              <w:spacing w:after="0"/>
              <w:ind w:left="357" w:hanging="357"/>
              <w:contextualSpacing/>
              <w:rPr>
                <w:rFonts w:eastAsia="Times New Roman" w:cstheme="minorHAnsi"/>
                <w:b/>
                <w:szCs w:val="24"/>
                <w:lang w:eastAsia="en-GB"/>
              </w:rPr>
            </w:pPr>
            <w:r w:rsidRPr="00037AC4">
              <w:rPr>
                <w:rFonts w:eastAsia="Times New Roman" w:cstheme="minorHAnsi"/>
                <w:iCs/>
                <w:color w:val="000000"/>
                <w:lang w:eastAsia="en-GB"/>
              </w:rPr>
              <w:t xml:space="preserve">Influenza vaccination: annual. </w:t>
            </w:r>
            <w:r w:rsidRPr="00037AC4">
              <w:rPr>
                <w:rFonts w:eastAsia="Times New Roman" w:cstheme="minorHAnsi"/>
                <w:bCs/>
                <w:iCs/>
                <w:color w:val="000000"/>
                <w:lang w:eastAsia="en-GB"/>
              </w:rPr>
              <w:t>It is advisable to add the patient to the influenza vaccine list.</w:t>
            </w:r>
          </w:p>
          <w:p w14:paraId="6A2B03AB" w14:textId="099ADDA4" w:rsidR="007343A7" w:rsidRPr="00037AC4" w:rsidRDefault="006A1763" w:rsidP="001C5879">
            <w:pPr>
              <w:pStyle w:val="ListParagraph"/>
              <w:numPr>
                <w:ilvl w:val="0"/>
                <w:numId w:val="20"/>
              </w:numPr>
              <w:spacing w:after="0"/>
              <w:ind w:left="357" w:hanging="357"/>
              <w:rPr>
                <w:rFonts w:cs="Arial"/>
                <w:lang w:eastAsia="en-GB"/>
              </w:rPr>
            </w:pPr>
            <w:r w:rsidRPr="00037AC4">
              <w:rPr>
                <w:rFonts w:eastAsia="Times New Roman" w:cstheme="minorHAnsi"/>
                <w:bCs/>
                <w:iCs/>
                <w:color w:val="000000"/>
                <w:lang w:eastAsia="en-GB"/>
              </w:rPr>
              <w:lastRenderedPageBreak/>
              <w:t>Other vaccinations as per national schedule.</w:t>
            </w:r>
          </w:p>
        </w:tc>
      </w:tr>
      <w:tr w:rsidR="5A73B5A2" w:rsidRPr="00037AC4" w14:paraId="69C30699" w14:textId="77777777" w:rsidTr="5A73B5A2">
        <w:trPr>
          <w:trHeight w:val="140"/>
          <w:jc w:val="center"/>
        </w:trPr>
        <w:tc>
          <w:tcPr>
            <w:tcW w:w="10455" w:type="dxa"/>
            <w:gridSpan w:val="3"/>
            <w:shd w:val="clear" w:color="auto" w:fill="auto"/>
          </w:tcPr>
          <w:p w14:paraId="6983947A" w14:textId="60CC14A5" w:rsidR="5A73B5A2" w:rsidRPr="00037AC4" w:rsidRDefault="5A73B5A2" w:rsidP="5A73B5A2">
            <w:pPr>
              <w:pStyle w:val="Default"/>
              <w:spacing w:line="360" w:lineRule="atLeast"/>
              <w:rPr>
                <w:rFonts w:eastAsia="Calibri"/>
                <w:color w:val="000000" w:themeColor="text1"/>
                <w:lang w:eastAsia="en-GB"/>
              </w:rPr>
            </w:pPr>
            <w:r w:rsidRPr="00037AC4">
              <w:rPr>
                <w:rFonts w:eastAsia="Arial"/>
                <w:b/>
                <w:bCs/>
              </w:rPr>
              <w:lastRenderedPageBreak/>
              <w:t>(If relevant) If monitoring results are forwarded to the specialist team, please include clear clinical information on the reason for sending, to inform action to be taken by secondary care.</w:t>
            </w:r>
          </w:p>
          <w:p w14:paraId="786D837D" w14:textId="39F25EC5" w:rsidR="5A73B5A2" w:rsidRPr="00037AC4" w:rsidRDefault="5A73B5A2" w:rsidP="5A73B5A2">
            <w:pPr>
              <w:pStyle w:val="Default"/>
              <w:spacing w:line="360" w:lineRule="atLeast"/>
              <w:rPr>
                <w:rFonts w:eastAsia="Calibri"/>
                <w:color w:val="000000" w:themeColor="text1"/>
                <w:lang w:eastAsia="en-GB"/>
              </w:rPr>
            </w:pPr>
          </w:p>
        </w:tc>
      </w:tr>
      <w:tr w:rsidR="007343A7" w:rsidRPr="00037AC4" w14:paraId="042BD065" w14:textId="77777777" w:rsidTr="5A73B5A2">
        <w:trPr>
          <w:jc w:val="center"/>
        </w:trPr>
        <w:tc>
          <w:tcPr>
            <w:tcW w:w="10455" w:type="dxa"/>
            <w:gridSpan w:val="3"/>
            <w:shd w:val="clear" w:color="auto" w:fill="F2F2F2" w:themeFill="background1" w:themeFillShade="F2"/>
          </w:tcPr>
          <w:p w14:paraId="32599F9D" w14:textId="4BCAEC5E" w:rsidR="007343A7" w:rsidRPr="00037AC4" w:rsidRDefault="007343A7" w:rsidP="007343A7">
            <w:pPr>
              <w:pStyle w:val="Heading1"/>
              <w:tabs>
                <w:tab w:val="right" w:pos="10238"/>
              </w:tabs>
              <w:ind w:left="599" w:hanging="599"/>
              <w:rPr>
                <w:lang w:eastAsia="en-GB"/>
              </w:rPr>
            </w:pPr>
            <w:bookmarkStart w:id="16" w:name="Ten_ADRs_and_Management"/>
            <w:r w:rsidRPr="00037AC4">
              <w:rPr>
                <w:lang w:eastAsia="en-GB"/>
              </w:rPr>
              <w:t>Adverse effects and other management</w:t>
            </w:r>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bookmarkEnd w:id="16"/>
          <w:p w14:paraId="334D0561" w14:textId="77777777" w:rsidR="007343A7" w:rsidRPr="00037AC4" w:rsidRDefault="007343A7" w:rsidP="007343A7">
            <w:pPr>
              <w:spacing w:after="120"/>
              <w:rPr>
                <w:rStyle w:val="Hyperlink"/>
                <w:rFonts w:eastAsia="Calibri" w:cs="Arial"/>
                <w:noProof/>
                <w:szCs w:val="24"/>
                <w:lang w:eastAsia="en-GB"/>
              </w:rPr>
            </w:pPr>
            <w:r w:rsidRPr="00037AC4">
              <w:rPr>
                <w:b/>
                <w:bCs/>
                <w:szCs w:val="24"/>
              </w:rPr>
              <w:t xml:space="preserve">Any serious adverse reactions should be reported to the MHRA via the Yellow Card scheme. Visit </w:t>
            </w:r>
            <w:hyperlink r:id="rId31" w:tooltip="http://www.mhra.gov.uk/yellowcard" w:history="1">
              <w:r w:rsidRPr="00037AC4">
                <w:rPr>
                  <w:rStyle w:val="Hyperlink"/>
                  <w:rFonts w:eastAsia="Calibri" w:cs="Arial"/>
                  <w:noProof/>
                  <w:szCs w:val="24"/>
                  <w:lang w:eastAsia="en-GB"/>
                </w:rPr>
                <w:t>www.mhra.gov.uk/yellowcard</w:t>
              </w:r>
            </w:hyperlink>
          </w:p>
          <w:p w14:paraId="6CDD62FF" w14:textId="1A075E71" w:rsidR="001C5879" w:rsidRPr="00037AC4" w:rsidRDefault="007343A7" w:rsidP="007343A7">
            <w:pPr>
              <w:spacing w:after="120"/>
              <w:rPr>
                <w:rFonts w:eastAsia="Calibri" w:cs="Arial"/>
                <w:noProof/>
                <w:color w:val="000000"/>
                <w:szCs w:val="24"/>
                <w:lang w:eastAsia="en-GB"/>
              </w:rPr>
            </w:pPr>
            <w:r w:rsidRPr="00037AC4">
              <w:rPr>
                <w:rStyle w:val="Hyperlink"/>
                <w:rFonts w:eastAsia="Calibri" w:cs="Arial"/>
                <w:noProof/>
                <w:color w:val="000000"/>
                <w:szCs w:val="24"/>
                <w:u w:val="none"/>
                <w:lang w:eastAsia="en-GB"/>
              </w:rPr>
              <w:t>For information on incidence of ADRs see relevant summaries of product characteristics</w:t>
            </w:r>
            <w:r w:rsidR="001C5879" w:rsidRPr="00037AC4">
              <w:rPr>
                <w:rStyle w:val="Hyperlink"/>
                <w:rFonts w:eastAsia="Calibri" w:cs="Arial"/>
                <w:noProof/>
                <w:color w:val="000000"/>
                <w:szCs w:val="24"/>
                <w:u w:val="none"/>
                <w:lang w:eastAsia="en-GB"/>
              </w:rPr>
              <w:t>.</w:t>
            </w:r>
          </w:p>
        </w:tc>
      </w:tr>
      <w:tr w:rsidR="007343A7" w:rsidRPr="00037AC4" w14:paraId="3C261EF2" w14:textId="77777777" w:rsidTr="5A73B5A2">
        <w:trPr>
          <w:jc w:val="center"/>
        </w:trPr>
        <w:tc>
          <w:tcPr>
            <w:tcW w:w="5227" w:type="dxa"/>
            <w:gridSpan w:val="2"/>
            <w:shd w:val="clear" w:color="auto" w:fill="F2F2F2" w:themeFill="background1" w:themeFillShade="F2"/>
          </w:tcPr>
          <w:p w14:paraId="516C3772" w14:textId="24C8DC24" w:rsidR="007343A7" w:rsidRPr="00037AC4" w:rsidRDefault="007343A7" w:rsidP="007343A7">
            <w:pPr>
              <w:jc w:val="center"/>
              <w:rPr>
                <w:rFonts w:eastAsia="Times New Roman" w:cs="Arial"/>
                <w:b/>
                <w:lang w:eastAsia="en-GB"/>
              </w:rPr>
            </w:pPr>
            <w:r w:rsidRPr="00037AC4">
              <w:rPr>
                <w:rFonts w:eastAsia="Times New Roman" w:cs="Arial"/>
                <w:b/>
                <w:lang w:eastAsia="en-GB"/>
              </w:rPr>
              <w:t>Result</w:t>
            </w:r>
          </w:p>
        </w:tc>
        <w:tc>
          <w:tcPr>
            <w:tcW w:w="5228" w:type="dxa"/>
            <w:shd w:val="clear" w:color="auto" w:fill="F2F2F2" w:themeFill="background1" w:themeFillShade="F2"/>
          </w:tcPr>
          <w:p w14:paraId="0CA8A09B" w14:textId="4301643C" w:rsidR="007343A7" w:rsidRPr="00037AC4" w:rsidRDefault="007343A7" w:rsidP="007343A7">
            <w:pPr>
              <w:jc w:val="center"/>
              <w:rPr>
                <w:rFonts w:eastAsia="Times New Roman" w:cs="Arial"/>
                <w:b/>
                <w:lang w:eastAsia="en-GB"/>
              </w:rPr>
            </w:pPr>
            <w:r w:rsidRPr="00037AC4">
              <w:rPr>
                <w:rFonts w:eastAsia="Times New Roman" w:cs="Arial"/>
                <w:b/>
                <w:lang w:eastAsia="en-GB"/>
              </w:rPr>
              <w:t>Action for primary care</w:t>
            </w:r>
          </w:p>
        </w:tc>
      </w:tr>
      <w:tr w:rsidR="007343A7" w:rsidRPr="00037AC4" w14:paraId="6C44DC1D" w14:textId="77777777" w:rsidTr="5A73B5A2">
        <w:trPr>
          <w:jc w:val="center"/>
        </w:trPr>
        <w:tc>
          <w:tcPr>
            <w:tcW w:w="10455" w:type="dxa"/>
            <w:gridSpan w:val="3"/>
            <w:shd w:val="clear" w:color="auto" w:fill="auto"/>
          </w:tcPr>
          <w:p w14:paraId="310DE6EA" w14:textId="64D2E2CD" w:rsidR="001C5879" w:rsidRPr="00037AC4" w:rsidRDefault="001C5879" w:rsidP="001C5879">
            <w:pPr>
              <w:jc w:val="center"/>
              <w:rPr>
                <w:rFonts w:cs="Arial"/>
                <w:b/>
                <w:bCs/>
                <w:lang w:eastAsia="en-GB"/>
              </w:rPr>
            </w:pPr>
            <w:r w:rsidRPr="00037AC4">
              <w:rPr>
                <w:rFonts w:eastAsia="Times New Roman" w:cstheme="minorHAnsi"/>
                <w:b/>
                <w:lang w:eastAsia="en-GB"/>
              </w:rPr>
              <w:t>As well as responding to absolute values in laboratory tests, a rapid change or a consistent trend in any value should prompt caution and extra vigilance</w:t>
            </w:r>
          </w:p>
          <w:p w14:paraId="00D7A796" w14:textId="73AF8F00" w:rsidR="001C5879" w:rsidRPr="00037AC4" w:rsidRDefault="001C5879" w:rsidP="007343A7">
            <w:pPr>
              <w:jc w:val="center"/>
              <w:rPr>
                <w:rFonts w:cs="Arial"/>
                <w:b/>
                <w:bCs/>
                <w:lang w:eastAsia="en-GB"/>
              </w:rPr>
            </w:pPr>
          </w:p>
        </w:tc>
      </w:tr>
      <w:tr w:rsidR="007343A7" w:rsidRPr="00037AC4" w14:paraId="1FA82767" w14:textId="77777777" w:rsidTr="5A73B5A2">
        <w:trPr>
          <w:trHeight w:val="78"/>
          <w:jc w:val="center"/>
        </w:trPr>
        <w:tc>
          <w:tcPr>
            <w:tcW w:w="5227" w:type="dxa"/>
            <w:gridSpan w:val="2"/>
            <w:shd w:val="clear" w:color="auto" w:fill="auto"/>
          </w:tcPr>
          <w:p w14:paraId="5E67BF74" w14:textId="77777777" w:rsidR="001C5879" w:rsidRPr="00037AC4" w:rsidRDefault="001C5879" w:rsidP="003734C9">
            <w:pPr>
              <w:pStyle w:val="Heading1"/>
              <w:numPr>
                <w:ilvl w:val="0"/>
                <w:numId w:val="0"/>
              </w:numPr>
              <w:spacing w:after="0" w:line="360" w:lineRule="atLeast"/>
              <w:contextualSpacing/>
              <w:rPr>
                <w:b w:val="0"/>
                <w:color w:val="000000"/>
                <w:sz w:val="22"/>
              </w:rPr>
            </w:pPr>
            <w:r w:rsidRPr="00037AC4">
              <w:rPr>
                <w:color w:val="000000"/>
                <w:sz w:val="22"/>
              </w:rPr>
              <w:lastRenderedPageBreak/>
              <w:t>Full blood count</w:t>
            </w:r>
            <w:r w:rsidRPr="00037AC4">
              <w:rPr>
                <w:b w:val="0"/>
                <w:color w:val="000000"/>
                <w:sz w:val="22"/>
              </w:rPr>
              <w:t xml:space="preserve">: </w:t>
            </w:r>
          </w:p>
          <w:p w14:paraId="4D28B8E8" w14:textId="77777777" w:rsidR="001C5879" w:rsidRPr="00037AC4" w:rsidRDefault="001C5879" w:rsidP="003734C9">
            <w:pPr>
              <w:pStyle w:val="ListParagraph"/>
              <w:numPr>
                <w:ilvl w:val="0"/>
                <w:numId w:val="37"/>
              </w:numPr>
              <w:spacing w:after="0"/>
              <w:ind w:left="0" w:firstLine="0"/>
              <w:contextualSpacing/>
              <w:rPr>
                <w:b/>
              </w:rPr>
            </w:pPr>
            <w:r w:rsidRPr="00037AC4">
              <w:t>White blood cells less than 3.5x10</w:t>
            </w:r>
            <w:r w:rsidRPr="00037AC4">
              <w:rPr>
                <w:vertAlign w:val="superscript"/>
              </w:rPr>
              <w:t>9</w:t>
            </w:r>
            <w:r w:rsidRPr="00037AC4">
              <w:t>/L</w:t>
            </w:r>
          </w:p>
          <w:p w14:paraId="2E4A681C" w14:textId="77777777" w:rsidR="001C5879" w:rsidRPr="00037AC4" w:rsidRDefault="001C5879" w:rsidP="003734C9">
            <w:pPr>
              <w:pStyle w:val="ListParagraph"/>
              <w:numPr>
                <w:ilvl w:val="0"/>
                <w:numId w:val="36"/>
              </w:numPr>
              <w:spacing w:after="0"/>
              <w:ind w:left="0" w:firstLine="0"/>
              <w:contextualSpacing/>
              <w:rPr>
                <w:rFonts w:cstheme="minorHAnsi"/>
                <w:color w:val="000000"/>
              </w:rPr>
            </w:pPr>
            <w:r w:rsidRPr="00037AC4">
              <w:rPr>
                <w:rFonts w:cstheme="minorHAnsi"/>
                <w:color w:val="000000"/>
              </w:rPr>
              <w:t>Lymphocytes less than 0.5x10</w:t>
            </w:r>
            <w:r w:rsidRPr="00037AC4">
              <w:rPr>
                <w:rFonts w:cstheme="minorHAnsi"/>
                <w:color w:val="000000"/>
                <w:vertAlign w:val="superscript"/>
              </w:rPr>
              <w:t>9</w:t>
            </w:r>
            <w:r w:rsidRPr="00037AC4">
              <w:rPr>
                <w:rFonts w:cstheme="minorHAnsi"/>
                <w:color w:val="000000"/>
              </w:rPr>
              <w:t>/L</w:t>
            </w:r>
          </w:p>
          <w:p w14:paraId="7788CD1D" w14:textId="77777777" w:rsidR="001C5879" w:rsidRPr="00037AC4" w:rsidRDefault="001C5879" w:rsidP="003734C9">
            <w:pPr>
              <w:pStyle w:val="ListParagraph"/>
              <w:numPr>
                <w:ilvl w:val="0"/>
                <w:numId w:val="36"/>
              </w:numPr>
              <w:spacing w:after="0"/>
              <w:ind w:left="0" w:firstLine="0"/>
              <w:contextualSpacing/>
              <w:rPr>
                <w:rFonts w:cstheme="minorHAnsi"/>
                <w:color w:val="000000"/>
              </w:rPr>
            </w:pPr>
            <w:r w:rsidRPr="00037AC4">
              <w:rPr>
                <w:rFonts w:cstheme="minorHAnsi"/>
                <w:color w:val="000000"/>
              </w:rPr>
              <w:t>Neutrophils less than1.6x10</w:t>
            </w:r>
            <w:r w:rsidRPr="00037AC4">
              <w:rPr>
                <w:rFonts w:cstheme="minorHAnsi"/>
                <w:color w:val="000000"/>
                <w:vertAlign w:val="superscript"/>
              </w:rPr>
              <w:t>9</w:t>
            </w:r>
            <w:r w:rsidRPr="00037AC4">
              <w:rPr>
                <w:rFonts w:cstheme="minorHAnsi"/>
                <w:color w:val="000000"/>
              </w:rPr>
              <w:t>/L</w:t>
            </w:r>
          </w:p>
          <w:p w14:paraId="6BCBD105" w14:textId="77777777" w:rsidR="0022582A" w:rsidRPr="00037AC4" w:rsidRDefault="001C5879" w:rsidP="003734C9">
            <w:pPr>
              <w:pStyle w:val="ListParagraph"/>
              <w:numPr>
                <w:ilvl w:val="0"/>
                <w:numId w:val="36"/>
              </w:numPr>
              <w:spacing w:after="0"/>
              <w:ind w:left="0" w:firstLine="0"/>
              <w:contextualSpacing/>
              <w:rPr>
                <w:rFonts w:eastAsia="Times New Roman" w:cstheme="minorHAnsi"/>
                <w:b/>
                <w:lang w:eastAsia="en-GB"/>
              </w:rPr>
            </w:pPr>
            <w:r w:rsidRPr="00037AC4">
              <w:rPr>
                <w:rFonts w:cstheme="minorHAnsi"/>
                <w:color w:val="000000"/>
              </w:rPr>
              <w:t>Platelets less than140x10</w:t>
            </w:r>
            <w:r w:rsidRPr="00037AC4">
              <w:rPr>
                <w:rFonts w:cstheme="minorHAnsi"/>
                <w:color w:val="000000"/>
                <w:vertAlign w:val="superscript"/>
              </w:rPr>
              <w:t>9</w:t>
            </w:r>
            <w:r w:rsidRPr="00037AC4">
              <w:rPr>
                <w:rFonts w:cstheme="minorHAnsi"/>
                <w:color w:val="000000"/>
              </w:rPr>
              <w:t>/L</w:t>
            </w:r>
          </w:p>
          <w:p w14:paraId="02EB5D0E" w14:textId="14285EDC" w:rsidR="007343A7" w:rsidRPr="00037AC4" w:rsidRDefault="001C5879" w:rsidP="003734C9">
            <w:pPr>
              <w:pStyle w:val="ListParagraph"/>
              <w:numPr>
                <w:ilvl w:val="0"/>
                <w:numId w:val="36"/>
              </w:numPr>
              <w:spacing w:after="0"/>
              <w:ind w:left="0" w:firstLine="0"/>
              <w:contextualSpacing/>
              <w:rPr>
                <w:rFonts w:eastAsia="Times New Roman" w:cstheme="minorHAnsi"/>
                <w:b/>
                <w:lang w:eastAsia="en-GB"/>
              </w:rPr>
            </w:pPr>
            <w:r w:rsidRPr="00037AC4">
              <w:rPr>
                <w:rFonts w:cstheme="minorHAnsi"/>
                <w:color w:val="000000"/>
              </w:rPr>
              <w:t>Eosinophilia greater than0.5x10</w:t>
            </w:r>
            <w:r w:rsidRPr="00037AC4">
              <w:rPr>
                <w:rFonts w:cstheme="minorHAnsi"/>
                <w:color w:val="000000"/>
                <w:vertAlign w:val="superscript"/>
              </w:rPr>
              <w:t>9</w:t>
            </w:r>
            <w:r w:rsidRPr="00037AC4">
              <w:rPr>
                <w:rFonts w:cstheme="minorHAnsi"/>
                <w:color w:val="000000"/>
              </w:rPr>
              <w:t>/L</w:t>
            </w:r>
          </w:p>
        </w:tc>
        <w:tc>
          <w:tcPr>
            <w:tcW w:w="5228" w:type="dxa"/>
            <w:shd w:val="clear" w:color="auto" w:fill="auto"/>
          </w:tcPr>
          <w:p w14:paraId="504BBF7D" w14:textId="77777777" w:rsidR="001C5879" w:rsidRPr="00037AC4" w:rsidRDefault="001C5879" w:rsidP="003734C9">
            <w:pPr>
              <w:pStyle w:val="Heading1"/>
              <w:numPr>
                <w:ilvl w:val="0"/>
                <w:numId w:val="0"/>
              </w:numPr>
              <w:spacing w:after="0" w:line="360" w:lineRule="atLeast"/>
              <w:contextualSpacing/>
              <w:rPr>
                <w:b w:val="0"/>
                <w:color w:val="000000"/>
                <w:sz w:val="22"/>
              </w:rPr>
            </w:pPr>
            <w:r w:rsidRPr="00037AC4">
              <w:rPr>
                <w:b w:val="0"/>
                <w:color w:val="000000"/>
                <w:sz w:val="22"/>
              </w:rPr>
              <w:t>Withhold and discuss with specialist team.</w:t>
            </w:r>
          </w:p>
          <w:p w14:paraId="6897B92F" w14:textId="55DE4D5E" w:rsidR="007343A7" w:rsidRPr="00037AC4" w:rsidRDefault="007343A7" w:rsidP="003734C9">
            <w:pPr>
              <w:rPr>
                <w:rFonts w:eastAsia="Times New Roman" w:cs="Arial"/>
                <w:b/>
                <w:lang w:eastAsia="en-GB"/>
              </w:rPr>
            </w:pPr>
          </w:p>
        </w:tc>
      </w:tr>
      <w:tr w:rsidR="007343A7" w:rsidRPr="00037AC4" w14:paraId="66089C4A" w14:textId="77777777" w:rsidTr="5A73B5A2">
        <w:trPr>
          <w:trHeight w:val="78"/>
          <w:jc w:val="center"/>
        </w:trPr>
        <w:tc>
          <w:tcPr>
            <w:tcW w:w="5227" w:type="dxa"/>
            <w:gridSpan w:val="2"/>
            <w:shd w:val="clear" w:color="auto" w:fill="auto"/>
          </w:tcPr>
          <w:p w14:paraId="786F5C7A" w14:textId="317ACB29" w:rsidR="007343A7" w:rsidRPr="00037AC4" w:rsidRDefault="001C5879" w:rsidP="003734C9">
            <w:pPr>
              <w:rPr>
                <w:rFonts w:eastAsia="Times New Roman" w:cs="Arial"/>
                <w:b/>
                <w:lang w:eastAsia="en-GB"/>
              </w:rPr>
            </w:pPr>
            <w:r w:rsidRPr="00037AC4">
              <w:rPr>
                <w:rFonts w:cstheme="minorHAnsi"/>
                <w:color w:val="000000"/>
              </w:rPr>
              <w:t>Mean cell volume  &gt;105 fL</w:t>
            </w:r>
          </w:p>
        </w:tc>
        <w:tc>
          <w:tcPr>
            <w:tcW w:w="5228" w:type="dxa"/>
            <w:shd w:val="clear" w:color="auto" w:fill="auto"/>
          </w:tcPr>
          <w:p w14:paraId="3BF1E33E" w14:textId="77777777" w:rsidR="001C5879" w:rsidRPr="00037AC4" w:rsidRDefault="001C5879" w:rsidP="003734C9">
            <w:pPr>
              <w:rPr>
                <w:rFonts w:cstheme="minorHAnsi"/>
                <w:color w:val="000000"/>
              </w:rPr>
            </w:pPr>
            <w:r w:rsidRPr="00037AC4">
              <w:rPr>
                <w:rFonts w:cstheme="minorHAnsi"/>
                <w:color w:val="000000"/>
              </w:rPr>
              <w:t xml:space="preserve">Consider interruption in treatment. </w:t>
            </w:r>
          </w:p>
          <w:p w14:paraId="469F3D89" w14:textId="49A78A5A" w:rsidR="007343A7" w:rsidRPr="00037AC4" w:rsidRDefault="001C5879" w:rsidP="003734C9">
            <w:pPr>
              <w:rPr>
                <w:rFonts w:eastAsia="Times New Roman" w:cs="Arial"/>
                <w:b/>
                <w:lang w:eastAsia="en-GB"/>
              </w:rPr>
            </w:pPr>
            <w:r w:rsidRPr="00037AC4">
              <w:rPr>
                <w:rFonts w:cstheme="minorHAnsi"/>
                <w:color w:val="000000"/>
              </w:rPr>
              <w:t>Check serum folate, B12, alcohol history and TSH and treat any underlying abnormality. If results of these additional investigations are normal discuss with specialist team urgently.</w:t>
            </w:r>
          </w:p>
        </w:tc>
      </w:tr>
      <w:tr w:rsidR="007343A7" w:rsidRPr="00037AC4" w14:paraId="602C2B8E" w14:textId="77777777" w:rsidTr="5A73B5A2">
        <w:trPr>
          <w:trHeight w:val="78"/>
          <w:jc w:val="center"/>
        </w:trPr>
        <w:tc>
          <w:tcPr>
            <w:tcW w:w="5227" w:type="dxa"/>
            <w:gridSpan w:val="2"/>
            <w:shd w:val="clear" w:color="auto" w:fill="auto"/>
          </w:tcPr>
          <w:p w14:paraId="760699F1" w14:textId="2A7456C3" w:rsidR="007343A7" w:rsidRPr="00037AC4" w:rsidRDefault="00092CAD" w:rsidP="003734C9">
            <w:pPr>
              <w:rPr>
                <w:rFonts w:eastAsia="Times New Roman" w:cs="Arial"/>
                <w:b/>
                <w:lang w:eastAsia="en-GB"/>
              </w:rPr>
            </w:pPr>
            <w:r w:rsidRPr="00037AC4">
              <w:rPr>
                <w:rFonts w:eastAsia="Times New Roman" w:cstheme="minorHAnsi"/>
                <w:bCs/>
                <w:color w:val="000000"/>
                <w:lang w:eastAsia="en-GB"/>
              </w:rPr>
              <w:t>Infection requiring antibiotics</w:t>
            </w:r>
          </w:p>
        </w:tc>
        <w:tc>
          <w:tcPr>
            <w:tcW w:w="5228" w:type="dxa"/>
            <w:shd w:val="clear" w:color="auto" w:fill="auto"/>
          </w:tcPr>
          <w:p w14:paraId="7360B5D2" w14:textId="621DDAF6" w:rsidR="007343A7" w:rsidRPr="00037AC4" w:rsidRDefault="00092CAD" w:rsidP="003734C9">
            <w:pPr>
              <w:rPr>
                <w:rFonts w:eastAsia="Times New Roman" w:cs="Arial"/>
                <w:b/>
                <w:lang w:eastAsia="en-GB"/>
              </w:rPr>
            </w:pPr>
            <w:r w:rsidRPr="00037AC4">
              <w:rPr>
                <w:rFonts w:eastAsia="Times New Roman" w:cstheme="minorHAnsi"/>
                <w:bCs/>
                <w:color w:val="000000"/>
                <w:lang w:eastAsia="en-GB"/>
              </w:rPr>
              <w:t>During serious infections temporarily withhold ciclosporin until the patient has recovered. Consider additional investigations (e.g. FBC), if clinically appropriate.</w:t>
            </w:r>
          </w:p>
        </w:tc>
      </w:tr>
      <w:tr w:rsidR="007343A7" w:rsidRPr="00037AC4" w14:paraId="3ADBA703" w14:textId="77777777" w:rsidTr="5A73B5A2">
        <w:trPr>
          <w:trHeight w:val="78"/>
          <w:jc w:val="center"/>
        </w:trPr>
        <w:tc>
          <w:tcPr>
            <w:tcW w:w="5227" w:type="dxa"/>
            <w:gridSpan w:val="2"/>
            <w:shd w:val="clear" w:color="auto" w:fill="auto"/>
          </w:tcPr>
          <w:p w14:paraId="7662628D" w14:textId="77777777" w:rsidR="00092CAD" w:rsidRPr="00037AC4" w:rsidRDefault="00092CAD" w:rsidP="003734C9">
            <w:pPr>
              <w:rPr>
                <w:rFonts w:cstheme="minorHAnsi"/>
                <w:color w:val="000000"/>
              </w:rPr>
            </w:pPr>
            <w:r w:rsidRPr="00037AC4">
              <w:rPr>
                <w:rFonts w:cstheme="minorHAnsi"/>
                <w:b/>
                <w:color w:val="000000"/>
              </w:rPr>
              <w:t>Liver function tests</w:t>
            </w:r>
            <w:r w:rsidRPr="00037AC4">
              <w:rPr>
                <w:rFonts w:cstheme="minorHAnsi"/>
                <w:color w:val="000000"/>
              </w:rPr>
              <w:t>:</w:t>
            </w:r>
          </w:p>
          <w:p w14:paraId="376BB428" w14:textId="77777777" w:rsidR="00092CAD" w:rsidRPr="00037AC4" w:rsidRDefault="00092CAD" w:rsidP="003734C9">
            <w:pPr>
              <w:rPr>
                <w:rFonts w:cstheme="minorHAnsi"/>
                <w:color w:val="000000"/>
              </w:rPr>
            </w:pPr>
            <w:r w:rsidRPr="00037AC4">
              <w:rPr>
                <w:rFonts w:cstheme="minorHAnsi"/>
                <w:color w:val="000000"/>
              </w:rPr>
              <w:t xml:space="preserve">ALT or AST &gt;100 units/L, or any sudden increases (e.g. double of baseline), </w:t>
            </w:r>
          </w:p>
          <w:p w14:paraId="39EB42F7" w14:textId="77777777" w:rsidR="00092CAD" w:rsidRPr="00037AC4" w:rsidRDefault="00092CAD" w:rsidP="003734C9">
            <w:pPr>
              <w:rPr>
                <w:rFonts w:cstheme="minorHAnsi"/>
                <w:color w:val="000000"/>
              </w:rPr>
            </w:pPr>
            <w:r w:rsidRPr="00037AC4">
              <w:rPr>
                <w:rFonts w:cstheme="minorHAnsi"/>
                <w:color w:val="000000"/>
              </w:rPr>
              <w:t>Unexplained fall in serum albumin &lt;30g/L</w:t>
            </w:r>
          </w:p>
          <w:p w14:paraId="54080CBD" w14:textId="1174CECE" w:rsidR="007343A7" w:rsidRPr="00037AC4" w:rsidRDefault="00092CAD" w:rsidP="003734C9">
            <w:pPr>
              <w:rPr>
                <w:rFonts w:eastAsia="Times New Roman" w:cs="Arial"/>
                <w:b/>
                <w:lang w:eastAsia="en-GB"/>
              </w:rPr>
            </w:pPr>
            <w:r w:rsidRPr="00037AC4">
              <w:rPr>
                <w:rFonts w:cstheme="minorHAnsi"/>
                <w:color w:val="000000"/>
              </w:rPr>
              <w:t>Jaundice</w:t>
            </w:r>
          </w:p>
        </w:tc>
        <w:tc>
          <w:tcPr>
            <w:tcW w:w="5228" w:type="dxa"/>
            <w:shd w:val="clear" w:color="auto" w:fill="auto"/>
          </w:tcPr>
          <w:p w14:paraId="5568751D" w14:textId="77777777" w:rsidR="009A544D" w:rsidRPr="00037AC4" w:rsidRDefault="00092CAD" w:rsidP="003734C9">
            <w:pPr>
              <w:rPr>
                <w:rFonts w:eastAsia="Times New Roman" w:cstheme="minorHAnsi"/>
                <w:color w:val="000000"/>
                <w:lang w:eastAsia="en-GB"/>
              </w:rPr>
            </w:pPr>
            <w:r w:rsidRPr="00037AC4">
              <w:rPr>
                <w:rFonts w:eastAsia="Times New Roman" w:cstheme="minorHAnsi"/>
                <w:color w:val="000000"/>
                <w:lang w:eastAsia="en-GB"/>
              </w:rPr>
              <w:t>Withhold and discuss with specialist team.</w:t>
            </w:r>
          </w:p>
          <w:p w14:paraId="198FC094" w14:textId="120142B3" w:rsidR="007343A7" w:rsidRPr="00037AC4" w:rsidRDefault="00092CAD" w:rsidP="003734C9">
            <w:pPr>
              <w:rPr>
                <w:rFonts w:eastAsia="Times New Roman" w:cstheme="minorHAnsi"/>
                <w:color w:val="000000"/>
                <w:lang w:eastAsia="en-GB"/>
              </w:rPr>
            </w:pPr>
            <w:r w:rsidRPr="00037AC4">
              <w:rPr>
                <w:rFonts w:eastAsia="Times New Roman" w:cstheme="minorHAnsi"/>
                <w:color w:val="000000"/>
                <w:lang w:eastAsia="en-GB"/>
              </w:rPr>
              <w:t>Assess for other causes of hepatic dysfunction such as alcohol history and drug interactions, including OTC or complementary medication.</w:t>
            </w:r>
          </w:p>
        </w:tc>
      </w:tr>
      <w:tr w:rsidR="001C5879" w:rsidRPr="00037AC4" w14:paraId="58009B17" w14:textId="77777777" w:rsidTr="5A73B5A2">
        <w:trPr>
          <w:trHeight w:val="78"/>
          <w:jc w:val="center"/>
        </w:trPr>
        <w:tc>
          <w:tcPr>
            <w:tcW w:w="5227" w:type="dxa"/>
            <w:gridSpan w:val="2"/>
            <w:shd w:val="clear" w:color="auto" w:fill="auto"/>
          </w:tcPr>
          <w:p w14:paraId="2F2B1CDE" w14:textId="77777777" w:rsidR="00092CAD" w:rsidRPr="00037AC4" w:rsidRDefault="00092CAD" w:rsidP="003734C9">
            <w:pPr>
              <w:rPr>
                <w:rFonts w:eastAsia="Times New Roman" w:cstheme="minorHAnsi"/>
                <w:color w:val="000000"/>
                <w:lang w:eastAsia="en-GB"/>
              </w:rPr>
            </w:pPr>
            <w:r w:rsidRPr="00037AC4">
              <w:rPr>
                <w:rFonts w:eastAsia="Times New Roman" w:cstheme="minorHAnsi"/>
                <w:b/>
                <w:color w:val="000000"/>
                <w:lang w:eastAsia="en-GB"/>
              </w:rPr>
              <w:t>Renal function</w:t>
            </w:r>
            <w:r w:rsidRPr="00037AC4">
              <w:rPr>
                <w:rFonts w:eastAsia="Times New Roman" w:cstheme="minorHAnsi"/>
                <w:color w:val="000000"/>
                <w:lang w:eastAsia="en-GB"/>
              </w:rPr>
              <w:t xml:space="preserve">: </w:t>
            </w:r>
          </w:p>
          <w:p w14:paraId="2D9F3374" w14:textId="23FF4159" w:rsidR="001C5879" w:rsidRPr="00037AC4" w:rsidRDefault="00092CAD" w:rsidP="003734C9">
            <w:pPr>
              <w:rPr>
                <w:rFonts w:eastAsia="Times New Roman" w:cs="Arial"/>
                <w:b/>
                <w:lang w:eastAsia="en-GB"/>
              </w:rPr>
            </w:pPr>
            <w:r w:rsidRPr="00037AC4">
              <w:rPr>
                <w:rFonts w:eastAsia="Times New Roman" w:cstheme="minorHAnsi"/>
                <w:color w:val="000000"/>
                <w:lang w:eastAsia="en-GB"/>
              </w:rPr>
              <w:t>Creatinine increase of greater than 30% from baseline in the last 12 months or CrCl reduces to less than 60mL/min</w:t>
            </w:r>
          </w:p>
        </w:tc>
        <w:tc>
          <w:tcPr>
            <w:tcW w:w="5228" w:type="dxa"/>
            <w:shd w:val="clear" w:color="auto" w:fill="auto"/>
          </w:tcPr>
          <w:p w14:paraId="69308824" w14:textId="77777777" w:rsidR="00092CAD" w:rsidRPr="00037AC4" w:rsidRDefault="00092CAD" w:rsidP="003734C9">
            <w:pPr>
              <w:rPr>
                <w:rFonts w:eastAsia="Times New Roman" w:cstheme="minorHAnsi"/>
                <w:color w:val="000000"/>
                <w:lang w:eastAsia="en-GB"/>
              </w:rPr>
            </w:pPr>
            <w:r w:rsidRPr="00037AC4">
              <w:rPr>
                <w:rFonts w:eastAsia="Times New Roman" w:cstheme="minorHAnsi"/>
                <w:color w:val="000000"/>
                <w:lang w:eastAsia="en-GB"/>
              </w:rPr>
              <w:t xml:space="preserve">Withhold and discuss with specialist team. </w:t>
            </w:r>
          </w:p>
          <w:p w14:paraId="4F85B86A" w14:textId="77777777" w:rsidR="001C5879" w:rsidRPr="00037AC4" w:rsidRDefault="001C5879" w:rsidP="003734C9">
            <w:pPr>
              <w:rPr>
                <w:rFonts w:eastAsia="Times New Roman" w:cs="Arial"/>
                <w:b/>
                <w:lang w:eastAsia="en-GB"/>
              </w:rPr>
            </w:pPr>
          </w:p>
        </w:tc>
      </w:tr>
      <w:tr w:rsidR="007343A7" w:rsidRPr="00037AC4" w14:paraId="60C0C622" w14:textId="77777777" w:rsidTr="5A73B5A2">
        <w:trPr>
          <w:trHeight w:val="78"/>
          <w:jc w:val="center"/>
        </w:trPr>
        <w:tc>
          <w:tcPr>
            <w:tcW w:w="5227" w:type="dxa"/>
            <w:gridSpan w:val="2"/>
            <w:shd w:val="clear" w:color="auto" w:fill="auto"/>
          </w:tcPr>
          <w:p w14:paraId="26B69ADA" w14:textId="3DAA5630" w:rsidR="007343A7" w:rsidRPr="00037AC4" w:rsidRDefault="00092CAD" w:rsidP="003734C9">
            <w:pPr>
              <w:rPr>
                <w:rFonts w:eastAsia="Times New Roman" w:cs="Arial"/>
                <w:b/>
                <w:lang w:eastAsia="en-GB"/>
              </w:rPr>
            </w:pPr>
            <w:r w:rsidRPr="00037AC4">
              <w:rPr>
                <w:rFonts w:eastAsia="Times New Roman" w:cstheme="minorHAnsi"/>
                <w:lang w:eastAsia="en-GB"/>
              </w:rPr>
              <w:t>Hyperkalaemia</w:t>
            </w:r>
          </w:p>
        </w:tc>
        <w:tc>
          <w:tcPr>
            <w:tcW w:w="5228" w:type="dxa"/>
            <w:shd w:val="clear" w:color="auto" w:fill="auto"/>
          </w:tcPr>
          <w:p w14:paraId="17A2EF3D" w14:textId="72682CBD" w:rsidR="007343A7" w:rsidRPr="00037AC4" w:rsidRDefault="00092CAD" w:rsidP="003734C9">
            <w:pPr>
              <w:rPr>
                <w:rFonts w:eastAsia="Times New Roman" w:cs="Arial"/>
                <w:b/>
                <w:lang w:eastAsia="en-GB"/>
              </w:rPr>
            </w:pPr>
            <w:r w:rsidRPr="00037AC4">
              <w:rPr>
                <w:rFonts w:eastAsia="Times New Roman" w:cstheme="minorHAnsi"/>
                <w:lang w:eastAsia="en-GB"/>
              </w:rPr>
              <w:t>Review other medicines affecting potassium levels, e.g. ACE inhibitors, diuretics. Discuss with specialist team.</w:t>
            </w:r>
          </w:p>
        </w:tc>
      </w:tr>
      <w:tr w:rsidR="001C5879" w:rsidRPr="00037AC4" w14:paraId="0A3FD46A" w14:textId="77777777" w:rsidTr="5A73B5A2">
        <w:trPr>
          <w:trHeight w:val="78"/>
          <w:jc w:val="center"/>
        </w:trPr>
        <w:tc>
          <w:tcPr>
            <w:tcW w:w="5227" w:type="dxa"/>
            <w:gridSpan w:val="2"/>
            <w:shd w:val="clear" w:color="auto" w:fill="auto"/>
          </w:tcPr>
          <w:p w14:paraId="3EF49B87" w14:textId="4BCE1643" w:rsidR="001C5879" w:rsidRPr="00037AC4" w:rsidRDefault="00092CAD" w:rsidP="003734C9">
            <w:pPr>
              <w:rPr>
                <w:rFonts w:eastAsia="Times New Roman" w:cs="Arial"/>
                <w:b/>
                <w:lang w:eastAsia="en-GB"/>
              </w:rPr>
            </w:pPr>
            <w:r w:rsidRPr="00037AC4">
              <w:rPr>
                <w:rFonts w:eastAsia="Times New Roman" w:cstheme="minorHAnsi"/>
                <w:lang w:eastAsia="en-GB"/>
              </w:rPr>
              <w:t>Elevated uric acid</w:t>
            </w:r>
          </w:p>
        </w:tc>
        <w:tc>
          <w:tcPr>
            <w:tcW w:w="5228" w:type="dxa"/>
            <w:shd w:val="clear" w:color="auto" w:fill="auto"/>
          </w:tcPr>
          <w:p w14:paraId="48FF6E86" w14:textId="28BA3A96" w:rsidR="001C5879" w:rsidRPr="00037AC4" w:rsidRDefault="00DB65C7" w:rsidP="003734C9">
            <w:pPr>
              <w:rPr>
                <w:rFonts w:eastAsia="Times New Roman" w:cs="Arial"/>
                <w:b/>
                <w:lang w:eastAsia="en-GB"/>
              </w:rPr>
            </w:pPr>
            <w:r w:rsidRPr="00037AC4">
              <w:rPr>
                <w:rFonts w:eastAsia="Times New Roman" w:cstheme="minorHAnsi"/>
                <w:lang w:eastAsia="en-GB"/>
              </w:rPr>
              <w:t xml:space="preserve">If intending to treat as gout, discuss with specialist team due to the potential for </w:t>
            </w:r>
            <w:r w:rsidRPr="00037AC4">
              <w:rPr>
                <w:rFonts w:eastAsia="Times New Roman" w:cstheme="minorHAnsi"/>
                <w:lang w:eastAsia="en-GB"/>
              </w:rPr>
              <w:lastRenderedPageBreak/>
              <w:t>interaction of urate-lowering medicines with ciclosporin.</w:t>
            </w:r>
          </w:p>
        </w:tc>
      </w:tr>
      <w:tr w:rsidR="001C5879" w:rsidRPr="00037AC4" w14:paraId="010F55EE" w14:textId="77777777" w:rsidTr="5A73B5A2">
        <w:trPr>
          <w:trHeight w:val="78"/>
          <w:jc w:val="center"/>
        </w:trPr>
        <w:tc>
          <w:tcPr>
            <w:tcW w:w="5227" w:type="dxa"/>
            <w:gridSpan w:val="2"/>
            <w:shd w:val="clear" w:color="auto" w:fill="auto"/>
          </w:tcPr>
          <w:p w14:paraId="5F9CD08B" w14:textId="08196899" w:rsidR="001C5879" w:rsidRPr="00037AC4" w:rsidRDefault="00DB65C7" w:rsidP="003734C9">
            <w:pPr>
              <w:rPr>
                <w:rFonts w:eastAsia="Times New Roman" w:cs="Arial"/>
                <w:b/>
                <w:lang w:eastAsia="en-GB"/>
              </w:rPr>
            </w:pPr>
            <w:r w:rsidRPr="00037AC4">
              <w:rPr>
                <w:rFonts w:eastAsia="Times New Roman" w:cstheme="minorHAnsi"/>
                <w:lang w:eastAsia="en-GB"/>
              </w:rPr>
              <w:lastRenderedPageBreak/>
              <w:t>Blood pressure</w:t>
            </w:r>
          </w:p>
        </w:tc>
        <w:tc>
          <w:tcPr>
            <w:tcW w:w="5228" w:type="dxa"/>
            <w:shd w:val="clear" w:color="auto" w:fill="auto"/>
          </w:tcPr>
          <w:p w14:paraId="118467FF" w14:textId="77777777" w:rsidR="00DB65C7" w:rsidRPr="00037AC4" w:rsidRDefault="00DB65C7" w:rsidP="003734C9">
            <w:pPr>
              <w:rPr>
                <w:rFonts w:eastAsia="Times New Roman" w:cstheme="minorHAnsi"/>
                <w:lang w:eastAsia="en-GB"/>
              </w:rPr>
            </w:pPr>
            <w:r w:rsidRPr="00037AC4">
              <w:rPr>
                <w:rFonts w:eastAsia="Times New Roman" w:cstheme="minorHAnsi"/>
                <w:lang w:eastAsia="en-GB"/>
              </w:rPr>
              <w:t xml:space="preserve">Manage hypertension according to local pathways. Care should be taken to avoid drugs which may interact (see </w:t>
            </w:r>
            <w:hyperlink w:anchor="Seven_interactions" w:history="1">
              <w:r w:rsidRPr="00037AC4">
                <w:rPr>
                  <w:rStyle w:val="Hyperlink"/>
                  <w:rFonts w:eastAsia="Times New Roman" w:cstheme="minorHAnsi"/>
                  <w:lang w:eastAsia="en-GB"/>
                </w:rPr>
                <w:t>section 7</w:t>
              </w:r>
            </w:hyperlink>
            <w:r w:rsidRPr="00037AC4">
              <w:rPr>
                <w:rFonts w:eastAsia="Times New Roman" w:cstheme="minorHAnsi"/>
                <w:lang w:eastAsia="en-GB"/>
              </w:rPr>
              <w:t>). Discuss the management with specialist team if required.</w:t>
            </w:r>
          </w:p>
          <w:p w14:paraId="1DF953C4" w14:textId="1F966D18" w:rsidR="001C5879" w:rsidRPr="00037AC4" w:rsidRDefault="00DB65C7" w:rsidP="003734C9">
            <w:pPr>
              <w:rPr>
                <w:rFonts w:eastAsia="Times New Roman" w:cs="Arial"/>
                <w:b/>
                <w:lang w:eastAsia="en-GB"/>
              </w:rPr>
            </w:pPr>
            <w:r w:rsidRPr="00037AC4">
              <w:rPr>
                <w:rFonts w:eastAsia="Times New Roman" w:cstheme="minorHAnsi"/>
                <w:lang w:eastAsia="en-GB"/>
              </w:rPr>
              <w:t>Discuss with specialist if hypertension does not respond to treatment; discontinuation of ciclosporin may be indicated.</w:t>
            </w:r>
          </w:p>
        </w:tc>
      </w:tr>
      <w:tr w:rsidR="001C5879" w:rsidRPr="00037AC4" w14:paraId="31CDAD77" w14:textId="77777777" w:rsidTr="5A73B5A2">
        <w:trPr>
          <w:trHeight w:val="78"/>
          <w:jc w:val="center"/>
        </w:trPr>
        <w:tc>
          <w:tcPr>
            <w:tcW w:w="5227" w:type="dxa"/>
            <w:gridSpan w:val="2"/>
            <w:shd w:val="clear" w:color="auto" w:fill="auto"/>
          </w:tcPr>
          <w:p w14:paraId="04932118" w14:textId="454B143D" w:rsidR="001C5879" w:rsidRPr="00037AC4" w:rsidRDefault="00DB65C7" w:rsidP="003734C9">
            <w:pPr>
              <w:rPr>
                <w:rFonts w:eastAsia="Times New Roman" w:cs="Arial"/>
                <w:b/>
                <w:lang w:eastAsia="en-GB"/>
              </w:rPr>
            </w:pPr>
            <w:r w:rsidRPr="00037AC4">
              <w:rPr>
                <w:rFonts w:eastAsia="Times New Roman" w:cstheme="minorHAnsi"/>
                <w:lang w:eastAsia="en-GB"/>
              </w:rPr>
              <w:t>Hyperlipidaemia</w:t>
            </w:r>
          </w:p>
        </w:tc>
        <w:tc>
          <w:tcPr>
            <w:tcW w:w="5228" w:type="dxa"/>
            <w:shd w:val="clear" w:color="auto" w:fill="auto"/>
          </w:tcPr>
          <w:p w14:paraId="1B694D78" w14:textId="450204D4" w:rsidR="001C5879" w:rsidRPr="00037AC4" w:rsidRDefault="00DB65C7" w:rsidP="003734C9">
            <w:pPr>
              <w:rPr>
                <w:rFonts w:eastAsia="Times New Roman" w:cs="Arial"/>
                <w:b/>
                <w:lang w:eastAsia="en-GB"/>
              </w:rPr>
            </w:pPr>
            <w:r w:rsidRPr="00037AC4">
              <w:rPr>
                <w:rFonts w:eastAsia="Times New Roman" w:cstheme="minorHAnsi"/>
                <w:lang w:eastAsia="en-GB"/>
              </w:rPr>
              <w:t>Discuss with specialist team; reduction of ciclosporin dose may be considered.</w:t>
            </w:r>
          </w:p>
        </w:tc>
      </w:tr>
      <w:tr w:rsidR="007343A7" w:rsidRPr="00037AC4" w14:paraId="121D5EF6" w14:textId="77777777" w:rsidTr="5A73B5A2">
        <w:trPr>
          <w:trHeight w:val="78"/>
          <w:jc w:val="center"/>
        </w:trPr>
        <w:tc>
          <w:tcPr>
            <w:tcW w:w="5227" w:type="dxa"/>
            <w:gridSpan w:val="2"/>
            <w:shd w:val="clear" w:color="auto" w:fill="auto"/>
          </w:tcPr>
          <w:p w14:paraId="44FF10ED" w14:textId="3F492DAD" w:rsidR="007343A7" w:rsidRPr="00037AC4" w:rsidRDefault="00DB65C7" w:rsidP="003734C9">
            <w:pPr>
              <w:rPr>
                <w:rFonts w:cs="Arial"/>
                <w:b/>
                <w:lang w:eastAsia="en-GB"/>
              </w:rPr>
            </w:pPr>
            <w:r w:rsidRPr="00037AC4">
              <w:rPr>
                <w:rFonts w:eastAsia="Times New Roman" w:cstheme="minorHAnsi"/>
                <w:lang w:eastAsia="en-GB"/>
              </w:rPr>
              <w:t>Gum hypertrophy</w:t>
            </w:r>
          </w:p>
        </w:tc>
        <w:tc>
          <w:tcPr>
            <w:tcW w:w="5228" w:type="dxa"/>
            <w:shd w:val="clear" w:color="auto" w:fill="auto"/>
          </w:tcPr>
          <w:p w14:paraId="08391D15" w14:textId="30DABCE4" w:rsidR="007343A7" w:rsidRPr="00037AC4" w:rsidRDefault="00DB65C7" w:rsidP="003734C9">
            <w:pPr>
              <w:rPr>
                <w:rFonts w:cs="Arial"/>
                <w:lang w:eastAsia="en-GB"/>
              </w:rPr>
            </w:pPr>
            <w:r w:rsidRPr="00037AC4">
              <w:rPr>
                <w:rFonts w:eastAsia="Times New Roman" w:cstheme="minorHAnsi"/>
                <w:lang w:eastAsia="en-GB"/>
              </w:rPr>
              <w:t>Discuss with specialist team.</w:t>
            </w:r>
          </w:p>
        </w:tc>
      </w:tr>
      <w:tr w:rsidR="007343A7" w:rsidRPr="00037AC4" w14:paraId="17877724" w14:textId="77777777" w:rsidTr="5A73B5A2">
        <w:trPr>
          <w:trHeight w:val="78"/>
          <w:jc w:val="center"/>
        </w:trPr>
        <w:tc>
          <w:tcPr>
            <w:tcW w:w="5227" w:type="dxa"/>
            <w:gridSpan w:val="2"/>
            <w:tcBorders>
              <w:bottom w:val="single" w:sz="4" w:space="0" w:color="auto"/>
            </w:tcBorders>
            <w:shd w:val="clear" w:color="auto" w:fill="auto"/>
          </w:tcPr>
          <w:p w14:paraId="0EC60364" w14:textId="60B882C1" w:rsidR="007343A7" w:rsidRPr="00037AC4" w:rsidRDefault="00DB65C7" w:rsidP="003734C9">
            <w:pPr>
              <w:rPr>
                <w:rFonts w:eastAsia="Times New Roman" w:cs="Arial"/>
                <w:lang w:eastAsia="en-GB"/>
              </w:rPr>
            </w:pPr>
            <w:r w:rsidRPr="00037AC4">
              <w:rPr>
                <w:rFonts w:cstheme="minorHAnsi"/>
                <w:color w:val="000000"/>
              </w:rPr>
              <w:t>Signs or symptoms of bone marrow suppression, e.g. unexplained bleeding or bruising with or without sore throat, purpura, mouth ulcers.</w:t>
            </w:r>
          </w:p>
        </w:tc>
        <w:tc>
          <w:tcPr>
            <w:tcW w:w="5228" w:type="dxa"/>
            <w:tcBorders>
              <w:bottom w:val="single" w:sz="4" w:space="0" w:color="auto"/>
            </w:tcBorders>
            <w:shd w:val="clear" w:color="auto" w:fill="auto"/>
          </w:tcPr>
          <w:p w14:paraId="5D7CCB13" w14:textId="0C745883" w:rsidR="007343A7" w:rsidRPr="00037AC4" w:rsidRDefault="00DB65C7" w:rsidP="003734C9">
            <w:pPr>
              <w:rPr>
                <w:rFonts w:eastAsia="Times New Roman" w:cs="Arial"/>
                <w:lang w:eastAsia="en-GB"/>
              </w:rPr>
            </w:pPr>
            <w:r w:rsidRPr="00037AC4">
              <w:rPr>
                <w:rFonts w:eastAsia="Times New Roman" w:cstheme="minorHAnsi"/>
                <w:bCs/>
                <w:color w:val="000000"/>
                <w:lang w:eastAsia="en-GB"/>
              </w:rPr>
              <w:t>Check FBC immediately, withhold treatment while awaiting results, and discuss with the specialist team. See haematological monitoring above.</w:t>
            </w:r>
          </w:p>
        </w:tc>
      </w:tr>
      <w:tr w:rsidR="007343A7" w:rsidRPr="00037AC4" w14:paraId="2008B3A6" w14:textId="77777777" w:rsidTr="5A73B5A2">
        <w:trPr>
          <w:jc w:val="center"/>
        </w:trPr>
        <w:tc>
          <w:tcPr>
            <w:tcW w:w="10455" w:type="dxa"/>
            <w:gridSpan w:val="3"/>
            <w:tcBorders>
              <w:bottom w:val="nil"/>
            </w:tcBorders>
            <w:shd w:val="clear" w:color="auto" w:fill="F2F2F2" w:themeFill="background1" w:themeFillShade="F2"/>
          </w:tcPr>
          <w:p w14:paraId="077ED3AB" w14:textId="17AE4BBA" w:rsidR="007343A7" w:rsidRPr="00037AC4" w:rsidRDefault="007343A7" w:rsidP="007343A7">
            <w:pPr>
              <w:pStyle w:val="Heading1"/>
              <w:tabs>
                <w:tab w:val="right" w:pos="10240"/>
              </w:tabs>
              <w:ind w:left="599" w:hanging="599"/>
              <w:rPr>
                <w:lang w:eastAsia="en-GB"/>
              </w:rPr>
            </w:pPr>
            <w:bookmarkStart w:id="17" w:name="Eleven_advice_to_patients"/>
            <w:r w:rsidRPr="00037AC4">
              <w:rPr>
                <w:lang w:eastAsia="en-GB"/>
              </w:rPr>
              <w:t>Advice to patients and carers</w:t>
            </w:r>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bookmarkEnd w:id="17"/>
          <w:p w14:paraId="1DD35F45" w14:textId="05DCFA3A" w:rsidR="003734C9" w:rsidRPr="00037AC4" w:rsidRDefault="003734C9" w:rsidP="007343A7">
            <w:pPr>
              <w:rPr>
                <w:lang w:eastAsia="en-GB"/>
              </w:rPr>
            </w:pPr>
            <w:r w:rsidRPr="00037AC4">
              <w:rPr>
                <w:rFonts w:eastAsia="Times New Roman" w:cstheme="minorHAnsi"/>
                <w:szCs w:val="24"/>
                <w:lang w:eastAsia="en-GB"/>
              </w:rPr>
              <w:t>The specialist will counsel the patient with regard to the benefits and risks of treatment and will provide the patient with any relevant information and advice, including patient information leaflets on individual medicines.</w:t>
            </w:r>
          </w:p>
          <w:p w14:paraId="3F28EC94" w14:textId="74DF4C32" w:rsidR="003734C9" w:rsidRPr="00037AC4" w:rsidRDefault="003734C9" w:rsidP="007343A7">
            <w:pPr>
              <w:rPr>
                <w:lang w:eastAsia="en-GB"/>
              </w:rPr>
            </w:pPr>
          </w:p>
        </w:tc>
      </w:tr>
      <w:tr w:rsidR="007343A7" w:rsidRPr="00037AC4" w14:paraId="2A2B1EB7" w14:textId="77777777" w:rsidTr="5A73B5A2">
        <w:trPr>
          <w:jc w:val="center"/>
        </w:trPr>
        <w:tc>
          <w:tcPr>
            <w:tcW w:w="10455" w:type="dxa"/>
            <w:gridSpan w:val="3"/>
            <w:tcBorders>
              <w:top w:val="nil"/>
              <w:bottom w:val="single" w:sz="4" w:space="0" w:color="auto"/>
            </w:tcBorders>
            <w:shd w:val="clear" w:color="auto" w:fill="auto"/>
          </w:tcPr>
          <w:p w14:paraId="154B6A9B" w14:textId="77777777" w:rsidR="003734C9" w:rsidRPr="00037AC4" w:rsidRDefault="003734C9" w:rsidP="00B3074A">
            <w:pPr>
              <w:rPr>
                <w:rFonts w:eastAsia="Times New Roman" w:cs="Arial"/>
                <w:b/>
                <w:szCs w:val="24"/>
                <w:lang w:eastAsia="en-GB"/>
              </w:rPr>
            </w:pPr>
            <w:r w:rsidRPr="00037AC4">
              <w:rPr>
                <w:rFonts w:eastAsia="Times New Roman" w:cs="Arial"/>
                <w:b/>
                <w:szCs w:val="24"/>
                <w:lang w:eastAsia="en-GB"/>
              </w:rPr>
              <w:t xml:space="preserve">The patient should be advised to report any of the following signs or symptoms to their primary care prescriber without delay:          </w:t>
            </w:r>
          </w:p>
          <w:p w14:paraId="09456932" w14:textId="77777777" w:rsidR="003734C9" w:rsidRPr="00037AC4" w:rsidRDefault="003734C9" w:rsidP="00B3074A">
            <w:pPr>
              <w:pStyle w:val="ListParagraph"/>
              <w:numPr>
                <w:ilvl w:val="0"/>
                <w:numId w:val="38"/>
              </w:numPr>
              <w:spacing w:after="0"/>
              <w:ind w:left="357" w:hanging="357"/>
              <w:contextualSpacing/>
              <w:rPr>
                <w:rFonts w:eastAsia="Times New Roman" w:cs="Arial"/>
                <w:szCs w:val="24"/>
                <w:lang w:eastAsia="en-GB"/>
              </w:rPr>
            </w:pPr>
            <w:r w:rsidRPr="00037AC4">
              <w:rPr>
                <w:rFonts w:eastAsia="Times New Roman" w:cs="Arial"/>
                <w:szCs w:val="24"/>
                <w:lang w:eastAsia="en-GB"/>
              </w:rPr>
              <w:t>Symptoms of chickenpox, or contact with a person with chickenpox or shingles.</w:t>
            </w:r>
          </w:p>
          <w:p w14:paraId="46E14F12" w14:textId="77777777" w:rsidR="003734C9" w:rsidRPr="00037AC4" w:rsidRDefault="003734C9" w:rsidP="00B3074A">
            <w:pPr>
              <w:pStyle w:val="ListParagraph"/>
              <w:numPr>
                <w:ilvl w:val="0"/>
                <w:numId w:val="38"/>
              </w:numPr>
              <w:spacing w:after="0"/>
              <w:ind w:left="357" w:hanging="357"/>
              <w:contextualSpacing/>
              <w:rPr>
                <w:rFonts w:eastAsia="Times New Roman" w:cs="Arial"/>
                <w:szCs w:val="24"/>
                <w:lang w:eastAsia="en-GB"/>
              </w:rPr>
            </w:pPr>
            <w:r w:rsidRPr="00037AC4">
              <w:rPr>
                <w:rFonts w:eastAsia="Times New Roman" w:cs="Arial"/>
                <w:szCs w:val="24"/>
                <w:lang w:eastAsia="en-GB"/>
              </w:rPr>
              <w:t>Sore throat, high temperature, skin rash, swollen glands, or any other signs or symptoms of infection.</w:t>
            </w:r>
          </w:p>
          <w:p w14:paraId="4CA35050" w14:textId="77777777" w:rsidR="003734C9" w:rsidRPr="00037AC4" w:rsidRDefault="003734C9" w:rsidP="00B3074A">
            <w:pPr>
              <w:pStyle w:val="ListParagraph"/>
              <w:numPr>
                <w:ilvl w:val="0"/>
                <w:numId w:val="38"/>
              </w:numPr>
              <w:spacing w:after="0"/>
              <w:ind w:left="357" w:hanging="357"/>
              <w:contextualSpacing/>
              <w:rPr>
                <w:rFonts w:eastAsia="Times New Roman" w:cs="Arial"/>
                <w:szCs w:val="24"/>
                <w:lang w:eastAsia="en-GB"/>
              </w:rPr>
            </w:pPr>
            <w:r w:rsidRPr="00037AC4">
              <w:rPr>
                <w:rFonts w:eastAsia="Times New Roman" w:cs="Arial"/>
                <w:szCs w:val="24"/>
                <w:lang w:eastAsia="en-GB"/>
              </w:rPr>
              <w:t>Signs or symptoms of liver problems, such as yellow skin or eyes (jaundice), itching all over, nausea or vomiting.</w:t>
            </w:r>
          </w:p>
          <w:p w14:paraId="304CE0AF" w14:textId="77777777" w:rsidR="003734C9" w:rsidRPr="00037AC4" w:rsidRDefault="003734C9" w:rsidP="00B3074A">
            <w:pPr>
              <w:pStyle w:val="ListParagraph"/>
              <w:numPr>
                <w:ilvl w:val="0"/>
                <w:numId w:val="38"/>
              </w:numPr>
              <w:spacing w:after="0"/>
              <w:ind w:left="357" w:hanging="357"/>
              <w:contextualSpacing/>
              <w:rPr>
                <w:rFonts w:eastAsia="Times New Roman" w:cs="Arial"/>
                <w:szCs w:val="24"/>
                <w:lang w:eastAsia="en-GB"/>
              </w:rPr>
            </w:pPr>
            <w:r w:rsidRPr="00037AC4">
              <w:rPr>
                <w:rFonts w:eastAsia="Times New Roman" w:cs="Arial"/>
                <w:szCs w:val="24"/>
                <w:lang w:eastAsia="en-GB"/>
              </w:rPr>
              <w:t>Unexplained bleeding or bruising, black stools, or blood in the vomit or stools.</w:t>
            </w:r>
          </w:p>
          <w:p w14:paraId="10546854" w14:textId="77777777" w:rsidR="003734C9" w:rsidRPr="00037AC4" w:rsidRDefault="003734C9" w:rsidP="00B3074A">
            <w:pPr>
              <w:pStyle w:val="ListParagraph"/>
              <w:numPr>
                <w:ilvl w:val="0"/>
                <w:numId w:val="38"/>
              </w:numPr>
              <w:spacing w:after="0"/>
              <w:ind w:left="357" w:hanging="357"/>
              <w:contextualSpacing/>
              <w:rPr>
                <w:rFonts w:eastAsia="Times New Roman" w:cs="Arial"/>
                <w:szCs w:val="24"/>
                <w:lang w:eastAsia="en-GB"/>
              </w:rPr>
            </w:pPr>
            <w:r w:rsidRPr="00037AC4">
              <w:rPr>
                <w:rFonts w:eastAsia="Times New Roman" w:cs="Arial"/>
                <w:szCs w:val="24"/>
                <w:lang w:eastAsia="en-GB"/>
              </w:rPr>
              <w:lastRenderedPageBreak/>
              <w:t xml:space="preserve">Seizures, confusion, disorientation, visual disturbance </w:t>
            </w:r>
          </w:p>
          <w:p w14:paraId="11330E53" w14:textId="77777777" w:rsidR="003734C9" w:rsidRPr="00037AC4" w:rsidRDefault="003734C9" w:rsidP="00B3074A">
            <w:pPr>
              <w:pStyle w:val="ListParagraph"/>
              <w:numPr>
                <w:ilvl w:val="0"/>
                <w:numId w:val="38"/>
              </w:numPr>
              <w:spacing w:after="0"/>
              <w:ind w:left="357" w:hanging="357"/>
              <w:contextualSpacing/>
              <w:rPr>
                <w:rFonts w:eastAsia="Times New Roman" w:cs="Arial"/>
                <w:szCs w:val="24"/>
                <w:lang w:eastAsia="en-GB"/>
              </w:rPr>
            </w:pPr>
            <w:r w:rsidRPr="00037AC4">
              <w:rPr>
                <w:rFonts w:eastAsia="Times New Roman" w:cs="Arial"/>
                <w:szCs w:val="24"/>
                <w:lang w:eastAsia="en-GB"/>
              </w:rPr>
              <w:t>Gum swelling or growth (gingival hyperplasia)</w:t>
            </w:r>
          </w:p>
          <w:p w14:paraId="6EB93548" w14:textId="77777777" w:rsidR="003734C9" w:rsidRPr="00037AC4" w:rsidRDefault="003734C9" w:rsidP="00B3074A">
            <w:pPr>
              <w:pStyle w:val="ListParagraph"/>
              <w:numPr>
                <w:ilvl w:val="0"/>
                <w:numId w:val="38"/>
              </w:numPr>
              <w:spacing w:after="0"/>
              <w:ind w:left="357" w:hanging="357"/>
              <w:contextualSpacing/>
              <w:rPr>
                <w:rFonts w:eastAsia="Times New Roman" w:cs="Arial"/>
                <w:b/>
                <w:szCs w:val="24"/>
                <w:lang w:eastAsia="en-GB"/>
              </w:rPr>
            </w:pPr>
            <w:r w:rsidRPr="00037AC4">
              <w:rPr>
                <w:rFonts w:eastAsia="Times New Roman" w:cs="Arial"/>
                <w:szCs w:val="24"/>
                <w:lang w:eastAsia="en-GB"/>
              </w:rPr>
              <w:t xml:space="preserve">Suspected or confirmed pregnancy. </w:t>
            </w:r>
          </w:p>
          <w:p w14:paraId="1CB7D3BB" w14:textId="77777777" w:rsidR="00B3074A" w:rsidRPr="00037AC4" w:rsidRDefault="00B3074A" w:rsidP="00B3074A">
            <w:pPr>
              <w:spacing w:before="60" w:after="60" w:line="240" w:lineRule="auto"/>
              <w:rPr>
                <w:rFonts w:eastAsia="Times New Roman" w:cs="Arial"/>
                <w:b/>
                <w:szCs w:val="24"/>
                <w:lang w:eastAsia="en-GB"/>
              </w:rPr>
            </w:pPr>
          </w:p>
          <w:p w14:paraId="53428054" w14:textId="77777777" w:rsidR="00B3074A" w:rsidRPr="00037AC4" w:rsidRDefault="00B3074A" w:rsidP="00B3074A">
            <w:pPr>
              <w:spacing w:before="60" w:after="60" w:line="240" w:lineRule="auto"/>
              <w:rPr>
                <w:rFonts w:eastAsia="Times New Roman" w:cs="Arial"/>
                <w:b/>
                <w:szCs w:val="24"/>
                <w:lang w:eastAsia="en-GB"/>
              </w:rPr>
            </w:pPr>
            <w:r w:rsidRPr="00037AC4">
              <w:rPr>
                <w:rFonts w:eastAsia="Times New Roman" w:cs="Arial"/>
                <w:b/>
                <w:szCs w:val="24"/>
                <w:lang w:eastAsia="en-GB"/>
              </w:rPr>
              <w:t>The patient should be advised:</w:t>
            </w:r>
          </w:p>
          <w:p w14:paraId="3941F6B9" w14:textId="77777777" w:rsidR="00B3074A" w:rsidRPr="00037AC4" w:rsidRDefault="00B3074A" w:rsidP="00B3074A">
            <w:pPr>
              <w:pStyle w:val="ListParagraph"/>
              <w:numPr>
                <w:ilvl w:val="0"/>
                <w:numId w:val="39"/>
              </w:numPr>
              <w:spacing w:after="0"/>
              <w:ind w:left="360" w:hanging="357"/>
              <w:contextualSpacing/>
              <w:rPr>
                <w:rFonts w:cs="Arial"/>
                <w:szCs w:val="24"/>
                <w:lang w:eastAsia="en-GB"/>
              </w:rPr>
            </w:pPr>
            <w:r w:rsidRPr="00037AC4">
              <w:rPr>
                <w:rFonts w:cs="Arial"/>
                <w:szCs w:val="24"/>
                <w:lang w:eastAsia="en-GB"/>
              </w:rPr>
              <w:t>To use effective contraception,</w:t>
            </w:r>
            <w:r w:rsidRPr="00037AC4">
              <w:rPr>
                <w:rFonts w:cs="Arial"/>
                <w:szCs w:val="24"/>
              </w:rPr>
              <w:t xml:space="preserve"> and to </w:t>
            </w:r>
            <w:r w:rsidRPr="00037AC4">
              <w:rPr>
                <w:rFonts w:cs="Arial"/>
                <w:szCs w:val="24"/>
                <w:lang w:eastAsia="en-GB"/>
              </w:rPr>
              <w:t>take a pregnancy test if they think they could be pregnant. Patients should inform the specialist or GP immediately if they become pregnant or if they or their partners are planning a pregnancy.</w:t>
            </w:r>
          </w:p>
          <w:p w14:paraId="32A2F9BD" w14:textId="77777777" w:rsidR="00B3074A" w:rsidRPr="00037AC4" w:rsidRDefault="00B3074A" w:rsidP="00B3074A">
            <w:pPr>
              <w:pStyle w:val="ListParagraph"/>
              <w:numPr>
                <w:ilvl w:val="0"/>
                <w:numId w:val="39"/>
              </w:numPr>
              <w:spacing w:after="0"/>
              <w:ind w:left="360" w:hanging="357"/>
              <w:contextualSpacing/>
              <w:rPr>
                <w:rFonts w:cs="Arial"/>
                <w:bCs/>
                <w:szCs w:val="24"/>
              </w:rPr>
            </w:pPr>
            <w:r w:rsidRPr="00037AC4">
              <w:rPr>
                <w:rFonts w:cs="Arial"/>
                <w:bCs/>
                <w:iCs/>
                <w:szCs w:val="24"/>
              </w:rPr>
              <w:t>Tell anyone who prescribes them a medicine that they are taking ciclosporin. Always ask a pharmacist before purchasing any medicines over the counter, including herbal remedies, and ask if they are safe.</w:t>
            </w:r>
          </w:p>
          <w:p w14:paraId="31539C08" w14:textId="77777777" w:rsidR="00B3074A" w:rsidRPr="00037AC4" w:rsidRDefault="00B3074A" w:rsidP="00B3074A">
            <w:pPr>
              <w:pStyle w:val="ListParagraph"/>
              <w:numPr>
                <w:ilvl w:val="0"/>
                <w:numId w:val="39"/>
              </w:numPr>
              <w:spacing w:after="0"/>
              <w:ind w:left="360" w:hanging="357"/>
              <w:contextualSpacing/>
              <w:rPr>
                <w:rFonts w:cs="Arial"/>
                <w:szCs w:val="24"/>
                <w:lang w:eastAsia="en-GB"/>
              </w:rPr>
            </w:pPr>
            <w:r w:rsidRPr="00037AC4">
              <w:rPr>
                <w:rFonts w:cs="Arial"/>
                <w:bCs/>
                <w:szCs w:val="24"/>
              </w:rPr>
              <w:t>That vaccination in line with current national advice (e.g. for COVID-19, influenza) is safe and recommended.</w:t>
            </w:r>
          </w:p>
          <w:p w14:paraId="6F95A69C" w14:textId="77777777" w:rsidR="00B3074A" w:rsidRPr="00037AC4" w:rsidRDefault="00B3074A" w:rsidP="00B3074A">
            <w:pPr>
              <w:pStyle w:val="ListParagraph"/>
              <w:numPr>
                <w:ilvl w:val="0"/>
                <w:numId w:val="39"/>
              </w:numPr>
              <w:spacing w:after="0"/>
              <w:ind w:left="360" w:hanging="357"/>
              <w:contextualSpacing/>
              <w:rPr>
                <w:rFonts w:cs="Arial"/>
                <w:bCs/>
                <w:szCs w:val="24"/>
              </w:rPr>
            </w:pPr>
            <w:r w:rsidRPr="00037AC4">
              <w:rPr>
                <w:rFonts w:cs="Arial"/>
                <w:bCs/>
                <w:szCs w:val="24"/>
              </w:rPr>
              <w:t>To avoid contact with people with chicken pox or shingles and report any such contact urgently to their primary care prescriber. If the patient is exposed, contact the specialist for advice. For detailed advice on risk assessment and post exposure prophylaxis following exposure to chicken pox and shingles, see:</w:t>
            </w:r>
          </w:p>
          <w:p w14:paraId="5B25A85B" w14:textId="77777777" w:rsidR="00B3074A" w:rsidRPr="00037AC4" w:rsidRDefault="00B3074A" w:rsidP="00B3074A">
            <w:pPr>
              <w:pStyle w:val="ListParagraph"/>
              <w:numPr>
                <w:ilvl w:val="1"/>
                <w:numId w:val="39"/>
              </w:numPr>
              <w:spacing w:after="0"/>
              <w:ind w:left="1027" w:hanging="357"/>
              <w:contextualSpacing/>
              <w:rPr>
                <w:rFonts w:cs="Arial"/>
                <w:bCs/>
                <w:szCs w:val="24"/>
              </w:rPr>
            </w:pPr>
            <w:r w:rsidRPr="00037AC4">
              <w:rPr>
                <w:rFonts w:cs="Arial"/>
                <w:bCs/>
                <w:szCs w:val="24"/>
              </w:rPr>
              <w:t xml:space="preserve">the </w:t>
            </w:r>
            <w:hyperlink r:id="rId32" w:history="1">
              <w:r w:rsidRPr="00037AC4">
                <w:rPr>
                  <w:rStyle w:val="Hyperlink"/>
                  <w:rFonts w:cs="Arial"/>
                  <w:bCs/>
                  <w:szCs w:val="24"/>
                </w:rPr>
                <w:t>Green Book (Chapter 34)</w:t>
              </w:r>
            </w:hyperlink>
            <w:r w:rsidRPr="00037AC4">
              <w:rPr>
                <w:rFonts w:cs="Arial"/>
                <w:bCs/>
                <w:szCs w:val="24"/>
              </w:rPr>
              <w:t xml:space="preserve"> </w:t>
            </w:r>
          </w:p>
          <w:p w14:paraId="4EB8844C" w14:textId="77777777" w:rsidR="00B3074A" w:rsidRPr="00037AC4" w:rsidRDefault="00B3074A" w:rsidP="00B3074A">
            <w:pPr>
              <w:pStyle w:val="ListParagraph"/>
              <w:numPr>
                <w:ilvl w:val="1"/>
                <w:numId w:val="39"/>
              </w:numPr>
              <w:spacing w:after="0"/>
              <w:ind w:left="1027" w:hanging="357"/>
              <w:contextualSpacing/>
              <w:rPr>
                <w:rFonts w:cs="Arial"/>
                <w:bCs/>
                <w:szCs w:val="24"/>
              </w:rPr>
            </w:pPr>
            <w:r w:rsidRPr="00037AC4">
              <w:rPr>
                <w:rFonts w:cs="Arial"/>
                <w:bCs/>
                <w:szCs w:val="24"/>
              </w:rPr>
              <w:t xml:space="preserve">UKHSA Guidance: : </w:t>
            </w:r>
            <w:hyperlink r:id="rId33" w:history="1">
              <w:r w:rsidRPr="00037AC4">
                <w:rPr>
                  <w:rStyle w:val="Hyperlink"/>
                  <w:rFonts w:cs="Arial"/>
                  <w:bCs/>
                  <w:szCs w:val="24"/>
                </w:rPr>
                <w:t>Guidelines on post exposure prophylaxis (PEP) for varicella/shingles</w:t>
              </w:r>
            </w:hyperlink>
            <w:r w:rsidRPr="00037AC4">
              <w:rPr>
                <w:rFonts w:cs="Arial"/>
                <w:bCs/>
                <w:szCs w:val="24"/>
              </w:rPr>
              <w:t xml:space="preserve">. </w:t>
            </w:r>
          </w:p>
          <w:p w14:paraId="17B83E44" w14:textId="77777777" w:rsidR="00B3074A" w:rsidRPr="00037AC4" w:rsidRDefault="00B3074A" w:rsidP="00B3074A">
            <w:pPr>
              <w:pStyle w:val="ListParagraph"/>
              <w:numPr>
                <w:ilvl w:val="0"/>
                <w:numId w:val="39"/>
              </w:numPr>
              <w:spacing w:after="0"/>
              <w:ind w:left="360" w:hanging="357"/>
              <w:contextualSpacing/>
              <w:rPr>
                <w:rFonts w:cs="Arial"/>
                <w:szCs w:val="24"/>
                <w:lang w:eastAsia="en-GB"/>
              </w:rPr>
            </w:pPr>
            <w:r w:rsidRPr="00037AC4">
              <w:rPr>
                <w:rFonts w:cs="Arial"/>
                <w:szCs w:val="24"/>
                <w:lang w:eastAsia="en-GB"/>
              </w:rPr>
              <w:t>Patients have a small increased risk of skin cancers so should be advised to wear high factor sunscreen and to wear a hat and protective clothing when in strong sunshine. Sun beds should be avoided. Patients should be advised to carry out regular self-examination of the skin and report if there are any new lesions and/or changes to skin.</w:t>
            </w:r>
          </w:p>
          <w:p w14:paraId="12396456" w14:textId="77777777" w:rsidR="00B3074A" w:rsidRPr="00037AC4" w:rsidRDefault="00B3074A" w:rsidP="00B3074A">
            <w:pPr>
              <w:pStyle w:val="ListParagraph"/>
              <w:numPr>
                <w:ilvl w:val="0"/>
                <w:numId w:val="39"/>
              </w:numPr>
              <w:spacing w:after="0"/>
              <w:ind w:left="360" w:hanging="357"/>
              <w:contextualSpacing/>
              <w:rPr>
                <w:rFonts w:cs="Arial"/>
                <w:szCs w:val="24"/>
                <w:lang w:eastAsia="en-GB"/>
              </w:rPr>
            </w:pPr>
            <w:r w:rsidRPr="00037AC4">
              <w:rPr>
                <w:rFonts w:cs="Arial"/>
                <w:bCs/>
                <w:iCs/>
                <w:color w:val="000000"/>
                <w:szCs w:val="24"/>
                <w:lang w:eastAsia="en-GB"/>
              </w:rPr>
              <w:t xml:space="preserve">All oral dosage forms of ciclosporin contain a form of ethanol, a 500mg dose is the equivalent of up to approximately 15 ml beer or 6 ml wine. </w:t>
            </w:r>
          </w:p>
          <w:p w14:paraId="3ECB0278" w14:textId="77777777" w:rsidR="00B3074A" w:rsidRPr="00037AC4" w:rsidRDefault="00B3074A" w:rsidP="00B3074A">
            <w:pPr>
              <w:pStyle w:val="ListParagraph"/>
              <w:numPr>
                <w:ilvl w:val="0"/>
                <w:numId w:val="39"/>
              </w:numPr>
              <w:spacing w:after="0"/>
              <w:ind w:left="360" w:hanging="357"/>
              <w:contextualSpacing/>
              <w:rPr>
                <w:rFonts w:cs="Arial"/>
                <w:szCs w:val="24"/>
                <w:lang w:eastAsia="en-GB"/>
              </w:rPr>
            </w:pPr>
            <w:r w:rsidRPr="00037AC4">
              <w:rPr>
                <w:rFonts w:cs="Arial"/>
                <w:bCs/>
                <w:szCs w:val="24"/>
              </w:rPr>
              <w:t xml:space="preserve">To maintain good oral hygiene, to reduce the risk of gum swelling. </w:t>
            </w:r>
          </w:p>
          <w:p w14:paraId="0D2A9D86" w14:textId="77777777" w:rsidR="00B3074A" w:rsidRPr="00037AC4" w:rsidRDefault="00B3074A" w:rsidP="00B3074A">
            <w:pPr>
              <w:spacing w:before="60" w:after="60" w:line="240" w:lineRule="auto"/>
              <w:rPr>
                <w:rFonts w:eastAsia="Times New Roman" w:cs="Arial"/>
                <w:szCs w:val="24"/>
                <w:lang w:eastAsia="en-GB"/>
              </w:rPr>
            </w:pPr>
          </w:p>
          <w:p w14:paraId="36E9CEAF" w14:textId="77777777" w:rsidR="00B3074A" w:rsidRPr="00037AC4" w:rsidRDefault="00B3074A" w:rsidP="00B3074A">
            <w:pPr>
              <w:rPr>
                <w:rFonts w:eastAsia="Times New Roman" w:cs="Arial"/>
                <w:szCs w:val="24"/>
                <w:lang w:eastAsia="en-GB"/>
              </w:rPr>
            </w:pPr>
            <w:r w:rsidRPr="00037AC4">
              <w:rPr>
                <w:rFonts w:eastAsia="Times New Roman" w:cs="Arial"/>
                <w:szCs w:val="24"/>
                <w:u w:val="single"/>
                <w:lang w:eastAsia="en-GB"/>
              </w:rPr>
              <w:t>Patient information</w:t>
            </w:r>
            <w:r w:rsidRPr="00037AC4">
              <w:rPr>
                <w:rFonts w:eastAsia="Times New Roman" w:cs="Arial"/>
                <w:szCs w:val="24"/>
                <w:lang w:eastAsia="en-GB"/>
              </w:rPr>
              <w:t>:</w:t>
            </w:r>
          </w:p>
          <w:p w14:paraId="42AAE179" w14:textId="77777777" w:rsidR="00B3074A" w:rsidRPr="00037AC4" w:rsidRDefault="00B3074A" w:rsidP="00B3074A">
            <w:pPr>
              <w:autoSpaceDE w:val="0"/>
              <w:autoSpaceDN w:val="0"/>
              <w:adjustRightInd w:val="0"/>
              <w:rPr>
                <w:rFonts w:eastAsia="Times New Roman" w:cs="Arial"/>
                <w:color w:val="000000"/>
                <w:szCs w:val="24"/>
                <w:u w:val="single"/>
                <w:lang w:eastAsia="en-GB"/>
              </w:rPr>
            </w:pPr>
            <w:r w:rsidRPr="00037AC4">
              <w:rPr>
                <w:rFonts w:eastAsia="Times New Roman" w:cs="Arial"/>
                <w:color w:val="000000"/>
                <w:szCs w:val="24"/>
                <w:lang w:eastAsia="en-GB"/>
              </w:rPr>
              <w:t xml:space="preserve">Dermatology: </w:t>
            </w:r>
            <w:hyperlink r:id="rId34" w:history="1">
              <w:r w:rsidRPr="00037AC4">
                <w:rPr>
                  <w:rStyle w:val="Hyperlink"/>
                  <w:rFonts w:eastAsia="Times New Roman" w:cs="Arial"/>
                  <w:szCs w:val="24"/>
                  <w:lang w:eastAsia="en-GB"/>
                </w:rPr>
                <w:t>https://www.bad.org.uk/for-the-public/patient-information-leaflets/ciclosporin</w:t>
              </w:r>
            </w:hyperlink>
            <w:r w:rsidRPr="00037AC4">
              <w:rPr>
                <w:rFonts w:eastAsia="Times New Roman" w:cs="Arial"/>
                <w:color w:val="000000"/>
                <w:szCs w:val="24"/>
                <w:u w:val="single"/>
                <w:lang w:eastAsia="en-GB"/>
              </w:rPr>
              <w:t xml:space="preserve"> </w:t>
            </w:r>
          </w:p>
          <w:p w14:paraId="0A7A9582" w14:textId="3098A6E4" w:rsidR="003734C9" w:rsidRPr="00037AC4" w:rsidRDefault="00B3074A" w:rsidP="00B3074A">
            <w:pPr>
              <w:autoSpaceDE w:val="0"/>
              <w:autoSpaceDN w:val="0"/>
              <w:adjustRightInd w:val="0"/>
              <w:rPr>
                <w:rFonts w:cs="Arial"/>
                <w:color w:val="000000"/>
                <w:szCs w:val="24"/>
              </w:rPr>
            </w:pPr>
            <w:r w:rsidRPr="00037AC4">
              <w:rPr>
                <w:rFonts w:eastAsia="Times New Roman" w:cs="Arial"/>
                <w:color w:val="000000"/>
                <w:szCs w:val="24"/>
                <w:lang w:eastAsia="en-GB"/>
              </w:rPr>
              <w:t xml:space="preserve">Patient information leaflets are also available from </w:t>
            </w:r>
            <w:hyperlink r:id="rId35" w:history="1">
              <w:r w:rsidRPr="00037AC4">
                <w:rPr>
                  <w:rStyle w:val="Hyperlink"/>
                  <w:rFonts w:eastAsia="Times New Roman" w:cs="Arial"/>
                  <w:szCs w:val="24"/>
                  <w:lang w:eastAsia="en-GB"/>
                </w:rPr>
                <w:t>https://www.medicines.org.uk/emc/search?q=ciclosporin</w:t>
              </w:r>
            </w:hyperlink>
          </w:p>
          <w:p w14:paraId="54A71DB2" w14:textId="04BDD5FF" w:rsidR="007343A7" w:rsidRPr="00037AC4" w:rsidRDefault="007343A7" w:rsidP="003734C9">
            <w:pPr>
              <w:autoSpaceDE w:val="0"/>
              <w:autoSpaceDN w:val="0"/>
              <w:adjustRightInd w:val="0"/>
              <w:spacing w:before="60" w:after="60"/>
              <w:rPr>
                <w:rFonts w:cs="Arial"/>
                <w:color w:val="000000"/>
                <w:szCs w:val="24"/>
              </w:rPr>
            </w:pPr>
          </w:p>
        </w:tc>
      </w:tr>
      <w:tr w:rsidR="007343A7" w:rsidRPr="00037AC4" w14:paraId="79305DF7" w14:textId="77777777" w:rsidTr="5A73B5A2">
        <w:trPr>
          <w:jc w:val="center"/>
        </w:trPr>
        <w:tc>
          <w:tcPr>
            <w:tcW w:w="10455" w:type="dxa"/>
            <w:gridSpan w:val="3"/>
            <w:tcBorders>
              <w:bottom w:val="nil"/>
            </w:tcBorders>
            <w:shd w:val="clear" w:color="auto" w:fill="F2F2F2" w:themeFill="background1" w:themeFillShade="F2"/>
          </w:tcPr>
          <w:p w14:paraId="6806743B" w14:textId="6A7276BF" w:rsidR="00B3074A" w:rsidRPr="00037AC4" w:rsidRDefault="007343A7" w:rsidP="007343A7">
            <w:pPr>
              <w:pStyle w:val="Heading1"/>
              <w:tabs>
                <w:tab w:val="right" w:pos="10240"/>
              </w:tabs>
              <w:ind w:left="599" w:hanging="599"/>
              <w:rPr>
                <w:lang w:eastAsia="en-GB"/>
              </w:rPr>
            </w:pPr>
            <w:bookmarkStart w:id="18" w:name="Twelve_pregnancy_paternity"/>
            <w:r w:rsidRPr="00037AC4">
              <w:rPr>
                <w:lang w:eastAsia="en-GB"/>
              </w:rPr>
              <w:lastRenderedPageBreak/>
              <w:t>Pregnancy, paternal exposure and breast feeding</w:t>
            </w:r>
            <w:bookmarkEnd w:id="18"/>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p w14:paraId="5B7A2D80" w14:textId="55DF97B6" w:rsidR="00B3074A" w:rsidRPr="00037AC4" w:rsidRDefault="00B3074A" w:rsidP="00B3074A">
            <w:pPr>
              <w:rPr>
                <w:rFonts w:cs="Arial"/>
                <w:lang w:eastAsia="en-GB"/>
              </w:rPr>
            </w:pPr>
            <w:r w:rsidRPr="00037AC4">
              <w:rPr>
                <w:rFonts w:eastAsia="Times New Roman" w:cs="Arial"/>
                <w:bCs/>
                <w:szCs w:val="24"/>
                <w:lang w:eastAsia="en-GB"/>
              </w:rPr>
              <w:t>It is the responsibility of the specialist to provide advice on the need for contraception to all patients on initiation and at each review, but the ongoing responsibility for providing this advice rests with both the primary care prescriber and the specialist.</w:t>
            </w:r>
          </w:p>
        </w:tc>
      </w:tr>
      <w:tr w:rsidR="007343A7" w:rsidRPr="00037AC4" w14:paraId="24C2F939" w14:textId="77777777" w:rsidTr="5A73B5A2">
        <w:trPr>
          <w:jc w:val="center"/>
        </w:trPr>
        <w:tc>
          <w:tcPr>
            <w:tcW w:w="10455" w:type="dxa"/>
            <w:gridSpan w:val="3"/>
            <w:tcBorders>
              <w:top w:val="nil"/>
              <w:bottom w:val="single" w:sz="4" w:space="0" w:color="auto"/>
            </w:tcBorders>
            <w:shd w:val="clear" w:color="auto" w:fill="auto"/>
          </w:tcPr>
          <w:p w14:paraId="616EB1E9" w14:textId="77777777" w:rsidR="00B3074A" w:rsidRPr="00037AC4" w:rsidRDefault="00B3074A" w:rsidP="00B3074A">
            <w:pPr>
              <w:autoSpaceDE w:val="0"/>
              <w:autoSpaceDN w:val="0"/>
              <w:adjustRightInd w:val="0"/>
              <w:rPr>
                <w:rFonts w:cs="Arial"/>
                <w:b/>
                <w:color w:val="000000"/>
                <w:lang w:eastAsia="en-GB"/>
              </w:rPr>
            </w:pPr>
            <w:r w:rsidRPr="00037AC4">
              <w:rPr>
                <w:rFonts w:cs="Arial"/>
                <w:b/>
                <w:color w:val="000000"/>
                <w:lang w:eastAsia="en-GB"/>
              </w:rPr>
              <w:t>All patients should be informed of the risks and benefits of taking this medicine during pregnancy and breastfeeding. The specialist team should be contacted if a patient becomes pregnant or is planning to become pregnant or breastfeed. The specialist should reassume prescribing responsibilities if a woman becomes or wishes to become pregnant.</w:t>
            </w:r>
          </w:p>
          <w:p w14:paraId="6EAC2197" w14:textId="77777777" w:rsidR="00B3074A" w:rsidRPr="00037AC4" w:rsidRDefault="00B3074A" w:rsidP="00B3074A">
            <w:pPr>
              <w:autoSpaceDE w:val="0"/>
              <w:autoSpaceDN w:val="0"/>
              <w:adjustRightInd w:val="0"/>
              <w:rPr>
                <w:rFonts w:eastAsia="Times New Roman" w:cstheme="minorHAnsi"/>
                <w:b/>
                <w:color w:val="000000"/>
                <w:u w:val="single"/>
                <w:lang w:eastAsia="en-GB"/>
              </w:rPr>
            </w:pPr>
          </w:p>
          <w:p w14:paraId="5C9197EA" w14:textId="77777777" w:rsidR="00B3074A" w:rsidRPr="00037AC4" w:rsidRDefault="00B3074A" w:rsidP="00B3074A">
            <w:pPr>
              <w:autoSpaceDE w:val="0"/>
              <w:autoSpaceDN w:val="0"/>
              <w:adjustRightInd w:val="0"/>
              <w:rPr>
                <w:rFonts w:eastAsia="Times New Roman" w:cstheme="minorHAnsi"/>
                <w:b/>
                <w:color w:val="000000"/>
                <w:lang w:eastAsia="en-GB"/>
              </w:rPr>
            </w:pPr>
            <w:r w:rsidRPr="00037AC4">
              <w:rPr>
                <w:rFonts w:eastAsia="Times New Roman" w:cstheme="minorHAnsi"/>
                <w:b/>
                <w:color w:val="000000"/>
                <w:u w:val="single"/>
                <w:lang w:eastAsia="en-GB"/>
              </w:rPr>
              <w:t>Pregnancy</w:t>
            </w:r>
            <w:r w:rsidRPr="00037AC4">
              <w:rPr>
                <w:rFonts w:eastAsia="Times New Roman" w:cstheme="minorHAnsi"/>
                <w:b/>
                <w:color w:val="000000"/>
                <w:lang w:eastAsia="en-GB"/>
              </w:rPr>
              <w:t>:</w:t>
            </w:r>
          </w:p>
          <w:p w14:paraId="587DC1CD" w14:textId="77777777" w:rsidR="00B3074A" w:rsidRPr="00037AC4" w:rsidRDefault="00B3074A" w:rsidP="00B3074A">
            <w:pPr>
              <w:autoSpaceDE w:val="0"/>
              <w:autoSpaceDN w:val="0"/>
              <w:adjustRightInd w:val="0"/>
              <w:rPr>
                <w:rFonts w:eastAsia="Times New Roman" w:cstheme="minorHAnsi"/>
                <w:color w:val="000000"/>
                <w:lang w:eastAsia="en-GB"/>
              </w:rPr>
            </w:pPr>
            <w:r w:rsidRPr="00037AC4">
              <w:rPr>
                <w:rFonts w:eastAsia="Times New Roman" w:cstheme="minorHAnsi"/>
                <w:color w:val="000000"/>
                <w:lang w:eastAsia="en-GB"/>
              </w:rPr>
              <w:t xml:space="preserve">Ciclosporin is compatible throughout pregnancy at the lowest effective dose. Regular clinical review and monitoring of maternal whole blood ciclosporin concentration is recommended both during and after pregnancy due to the risk of sub-therapeutic or toxic blood concentrations as a consequence of the pharmacokinetic changes which may be associated with pregnancy. All oral dosage forms of ciclosporin contain a form of ethanol, see </w:t>
            </w:r>
            <w:hyperlink w:anchor="Six_pharmaceutical" w:history="1">
              <w:r w:rsidRPr="00037AC4">
                <w:rPr>
                  <w:rStyle w:val="Hyperlink"/>
                  <w:rFonts w:eastAsia="Times New Roman" w:cstheme="minorHAnsi"/>
                  <w:lang w:eastAsia="en-GB"/>
                </w:rPr>
                <w:t>section 6</w:t>
              </w:r>
            </w:hyperlink>
            <w:r w:rsidRPr="00037AC4">
              <w:rPr>
                <w:rFonts w:eastAsia="Times New Roman" w:cstheme="minorHAnsi"/>
                <w:color w:val="000000"/>
                <w:lang w:eastAsia="en-GB"/>
              </w:rPr>
              <w:t xml:space="preserve">.  </w:t>
            </w:r>
          </w:p>
          <w:p w14:paraId="6B80AE7C" w14:textId="77777777" w:rsidR="00B3074A" w:rsidRPr="00037AC4" w:rsidRDefault="00B3074A" w:rsidP="00B3074A">
            <w:pPr>
              <w:autoSpaceDE w:val="0"/>
              <w:autoSpaceDN w:val="0"/>
              <w:adjustRightInd w:val="0"/>
              <w:rPr>
                <w:rFonts w:eastAsia="Times New Roman" w:cstheme="minorHAnsi"/>
                <w:color w:val="000000"/>
                <w:lang w:eastAsia="en-GB"/>
              </w:rPr>
            </w:pPr>
          </w:p>
          <w:p w14:paraId="42B2C328" w14:textId="77777777" w:rsidR="00B3074A" w:rsidRPr="00037AC4" w:rsidRDefault="00B3074A" w:rsidP="00B3074A">
            <w:pPr>
              <w:autoSpaceDE w:val="0"/>
              <w:autoSpaceDN w:val="0"/>
              <w:adjustRightInd w:val="0"/>
              <w:rPr>
                <w:rFonts w:eastAsia="Times New Roman" w:cstheme="minorHAnsi"/>
                <w:lang w:eastAsia="en-GB"/>
              </w:rPr>
            </w:pPr>
            <w:r w:rsidRPr="00037AC4">
              <w:rPr>
                <w:rFonts w:eastAsia="Times New Roman" w:cstheme="minorHAnsi"/>
                <w:lang w:eastAsia="en-GB"/>
              </w:rPr>
              <w:t xml:space="preserve">Information for healthcare professionals: </w:t>
            </w:r>
            <w:hyperlink r:id="rId36" w:history="1">
              <w:r w:rsidRPr="00037AC4">
                <w:rPr>
                  <w:rStyle w:val="Hyperlink"/>
                  <w:rFonts w:eastAsia="Times New Roman" w:cstheme="minorHAnsi"/>
                  <w:color w:val="0000FF"/>
                  <w:lang w:eastAsia="en-GB"/>
                </w:rPr>
                <w:t>https://www.medicinesinpregnancy.org/bumps/monographs/USE-OF-CICLOSPORIN-IN-PREGNANCY/</w:t>
              </w:r>
            </w:hyperlink>
            <w:r w:rsidRPr="00037AC4">
              <w:rPr>
                <w:rStyle w:val="Hyperlink"/>
                <w:rFonts w:eastAsia="Times New Roman" w:cstheme="minorHAnsi"/>
                <w:color w:val="auto"/>
                <w:lang w:eastAsia="en-GB"/>
              </w:rPr>
              <w:t xml:space="preserve"> </w:t>
            </w:r>
            <w:r w:rsidRPr="00037AC4">
              <w:rPr>
                <w:rFonts w:eastAsia="Times New Roman" w:cstheme="minorHAnsi"/>
                <w:lang w:eastAsia="en-GB"/>
              </w:rPr>
              <w:t xml:space="preserve"> </w:t>
            </w:r>
          </w:p>
          <w:p w14:paraId="5EF5B5F6" w14:textId="77777777" w:rsidR="00B3074A" w:rsidRPr="00037AC4" w:rsidRDefault="00B3074A" w:rsidP="00B3074A">
            <w:pPr>
              <w:autoSpaceDE w:val="0"/>
              <w:autoSpaceDN w:val="0"/>
              <w:adjustRightInd w:val="0"/>
              <w:rPr>
                <w:rFonts w:eastAsia="Times New Roman" w:cstheme="minorHAnsi"/>
                <w:color w:val="FF0000"/>
                <w:lang w:eastAsia="en-GB"/>
              </w:rPr>
            </w:pPr>
            <w:r w:rsidRPr="00037AC4">
              <w:rPr>
                <w:rFonts w:eastAsia="Times New Roman" w:cstheme="minorHAnsi"/>
                <w:color w:val="000000"/>
                <w:lang w:eastAsia="en-GB"/>
              </w:rPr>
              <w:t xml:space="preserve">Information for patients and carers: </w:t>
            </w:r>
            <w:hyperlink r:id="rId37" w:history="1">
              <w:r w:rsidRPr="00037AC4">
                <w:rPr>
                  <w:rStyle w:val="Hyperlink"/>
                  <w:rFonts w:eastAsia="Times New Roman" w:cstheme="minorHAnsi"/>
                  <w:lang w:eastAsia="en-GB"/>
                </w:rPr>
                <w:t>https://www.medicinesinpregnancy.org/Medicine--pregnancy/Ciclosporin/</w:t>
              </w:r>
            </w:hyperlink>
            <w:r w:rsidRPr="00037AC4">
              <w:rPr>
                <w:rFonts w:eastAsia="Times New Roman" w:cstheme="minorHAnsi"/>
                <w:color w:val="000000"/>
                <w:lang w:eastAsia="en-GB"/>
              </w:rPr>
              <w:t xml:space="preserve"> </w:t>
            </w:r>
          </w:p>
          <w:p w14:paraId="135295CE" w14:textId="77777777" w:rsidR="00B3074A" w:rsidRPr="00037AC4" w:rsidRDefault="00B3074A" w:rsidP="00B3074A">
            <w:pPr>
              <w:autoSpaceDE w:val="0"/>
              <w:autoSpaceDN w:val="0"/>
              <w:adjustRightInd w:val="0"/>
              <w:rPr>
                <w:rFonts w:eastAsia="Times New Roman" w:cstheme="minorHAnsi"/>
                <w:color w:val="000000"/>
                <w:u w:val="single"/>
                <w:lang w:eastAsia="en-GB"/>
              </w:rPr>
            </w:pPr>
          </w:p>
          <w:p w14:paraId="6249C7D7" w14:textId="77777777" w:rsidR="00B3074A" w:rsidRPr="00037AC4" w:rsidRDefault="00B3074A" w:rsidP="00B3074A">
            <w:pPr>
              <w:autoSpaceDE w:val="0"/>
              <w:autoSpaceDN w:val="0"/>
              <w:adjustRightInd w:val="0"/>
              <w:rPr>
                <w:rFonts w:eastAsia="Times New Roman" w:cstheme="minorHAnsi"/>
                <w:b/>
                <w:color w:val="000000"/>
                <w:lang w:eastAsia="en-GB"/>
              </w:rPr>
            </w:pPr>
            <w:r w:rsidRPr="00037AC4">
              <w:rPr>
                <w:rFonts w:eastAsia="Times New Roman" w:cstheme="minorHAnsi"/>
                <w:b/>
                <w:color w:val="000000"/>
                <w:u w:val="single"/>
                <w:lang w:eastAsia="en-GB"/>
              </w:rPr>
              <w:t>Breastfeeding</w:t>
            </w:r>
            <w:r w:rsidRPr="00037AC4">
              <w:rPr>
                <w:rFonts w:eastAsia="Times New Roman" w:cstheme="minorHAnsi"/>
                <w:b/>
                <w:color w:val="000000"/>
                <w:lang w:eastAsia="en-GB"/>
              </w:rPr>
              <w:t>:</w:t>
            </w:r>
          </w:p>
          <w:p w14:paraId="4384724D" w14:textId="77777777" w:rsidR="00B3074A" w:rsidRPr="00037AC4" w:rsidRDefault="00B3074A" w:rsidP="00B3074A">
            <w:pPr>
              <w:autoSpaceDE w:val="0"/>
              <w:autoSpaceDN w:val="0"/>
              <w:adjustRightInd w:val="0"/>
              <w:rPr>
                <w:rFonts w:eastAsia="Times New Roman" w:cstheme="minorHAnsi"/>
                <w:color w:val="000000"/>
                <w:lang w:eastAsia="en-GB"/>
              </w:rPr>
            </w:pPr>
            <w:r w:rsidRPr="00037AC4">
              <w:rPr>
                <w:rFonts w:eastAsia="Times New Roman" w:cstheme="minorHAnsi"/>
                <w:color w:val="000000"/>
                <w:lang w:eastAsia="en-GB"/>
              </w:rPr>
              <w:t xml:space="preserve">Patients taking ciclosporin should not be discouraged from breastfeeding. There is limited published evidence of safety, but small amounts are found in breast milk. Infants should be monitored for signs of infection or immunosuppression, and infant plasma levels should be monitored if there is any concern about toxicity. All oral dosage forms of ciclosporin contain a form of ethanol, see </w:t>
            </w:r>
            <w:hyperlink w:anchor="Six_pharmaceutical" w:history="1">
              <w:r w:rsidRPr="00037AC4">
                <w:rPr>
                  <w:rStyle w:val="Hyperlink"/>
                  <w:rFonts w:eastAsia="Times New Roman" w:cstheme="minorHAnsi"/>
                  <w:lang w:eastAsia="en-GB"/>
                </w:rPr>
                <w:t>section 6</w:t>
              </w:r>
            </w:hyperlink>
            <w:r w:rsidRPr="00037AC4">
              <w:rPr>
                <w:rFonts w:eastAsia="Times New Roman" w:cstheme="minorHAnsi"/>
                <w:color w:val="000000"/>
                <w:lang w:eastAsia="en-GB"/>
              </w:rPr>
              <w:t xml:space="preserve">.  </w:t>
            </w:r>
          </w:p>
          <w:p w14:paraId="4B21BCBA" w14:textId="77777777" w:rsidR="00B3074A" w:rsidRPr="00037AC4" w:rsidRDefault="00B3074A" w:rsidP="00B3074A">
            <w:pPr>
              <w:autoSpaceDE w:val="0"/>
              <w:autoSpaceDN w:val="0"/>
              <w:adjustRightInd w:val="0"/>
              <w:rPr>
                <w:rFonts w:eastAsia="Times New Roman" w:cstheme="minorHAnsi"/>
                <w:color w:val="000000"/>
                <w:lang w:eastAsia="en-GB"/>
              </w:rPr>
            </w:pPr>
          </w:p>
          <w:p w14:paraId="685213B8" w14:textId="77777777" w:rsidR="00B3074A" w:rsidRPr="00037AC4" w:rsidRDefault="00B3074A" w:rsidP="00B3074A">
            <w:pPr>
              <w:autoSpaceDE w:val="0"/>
              <w:autoSpaceDN w:val="0"/>
              <w:adjustRightInd w:val="0"/>
              <w:rPr>
                <w:rFonts w:eastAsia="Times New Roman" w:cstheme="minorHAnsi"/>
                <w:color w:val="FF0000"/>
                <w:lang w:eastAsia="en-GB"/>
              </w:rPr>
            </w:pPr>
            <w:r w:rsidRPr="00037AC4">
              <w:rPr>
                <w:rFonts w:eastAsia="Times New Roman" w:cstheme="minorHAnsi"/>
                <w:color w:val="000000"/>
                <w:lang w:eastAsia="en-GB"/>
              </w:rPr>
              <w:lastRenderedPageBreak/>
              <w:t xml:space="preserve">Information for healthcare professionals: </w:t>
            </w:r>
            <w:hyperlink r:id="rId38" w:history="1">
              <w:r w:rsidRPr="00037AC4">
                <w:rPr>
                  <w:rStyle w:val="Hyperlink"/>
                  <w:rFonts w:eastAsia="Times New Roman" w:cstheme="minorHAnsi"/>
                  <w:lang w:eastAsia="en-GB"/>
                </w:rPr>
                <w:t>https://www.sps.nhs.uk/medicines/ciclosporin/</w:t>
              </w:r>
            </w:hyperlink>
            <w:r w:rsidRPr="00037AC4">
              <w:rPr>
                <w:rFonts w:eastAsia="Times New Roman" w:cstheme="minorHAnsi"/>
                <w:color w:val="000000"/>
                <w:lang w:eastAsia="en-GB"/>
              </w:rPr>
              <w:t xml:space="preserve"> </w:t>
            </w:r>
          </w:p>
          <w:p w14:paraId="2FCB661E" w14:textId="77777777" w:rsidR="00B3074A" w:rsidRPr="00037AC4" w:rsidRDefault="00B3074A" w:rsidP="00B3074A">
            <w:pPr>
              <w:autoSpaceDE w:val="0"/>
              <w:autoSpaceDN w:val="0"/>
              <w:adjustRightInd w:val="0"/>
              <w:rPr>
                <w:rFonts w:eastAsia="Times New Roman" w:cstheme="minorHAnsi"/>
                <w:color w:val="000000"/>
                <w:lang w:eastAsia="en-GB"/>
              </w:rPr>
            </w:pPr>
          </w:p>
          <w:p w14:paraId="2919526F" w14:textId="77777777" w:rsidR="00B3074A" w:rsidRPr="00037AC4" w:rsidRDefault="00B3074A" w:rsidP="00B3074A">
            <w:pPr>
              <w:autoSpaceDE w:val="0"/>
              <w:autoSpaceDN w:val="0"/>
              <w:adjustRightInd w:val="0"/>
              <w:rPr>
                <w:rFonts w:eastAsia="Times New Roman" w:cstheme="minorHAnsi"/>
                <w:color w:val="000000"/>
                <w:lang w:eastAsia="en-GB"/>
              </w:rPr>
            </w:pPr>
          </w:p>
          <w:p w14:paraId="22BDEF2B" w14:textId="77777777" w:rsidR="00B3074A" w:rsidRPr="00037AC4" w:rsidRDefault="00B3074A" w:rsidP="00B3074A">
            <w:pPr>
              <w:autoSpaceDE w:val="0"/>
              <w:autoSpaceDN w:val="0"/>
              <w:adjustRightInd w:val="0"/>
              <w:rPr>
                <w:rFonts w:eastAsia="Times New Roman" w:cstheme="minorHAnsi"/>
                <w:color w:val="000000"/>
                <w:lang w:eastAsia="en-GB"/>
              </w:rPr>
            </w:pPr>
          </w:p>
          <w:p w14:paraId="6B8D067B" w14:textId="77777777" w:rsidR="00B3074A" w:rsidRPr="00037AC4" w:rsidRDefault="00B3074A" w:rsidP="00B3074A">
            <w:pPr>
              <w:autoSpaceDE w:val="0"/>
              <w:autoSpaceDN w:val="0"/>
              <w:adjustRightInd w:val="0"/>
              <w:rPr>
                <w:rFonts w:eastAsia="Times New Roman" w:cstheme="minorHAnsi"/>
                <w:color w:val="000000"/>
                <w:lang w:eastAsia="en-GB"/>
              </w:rPr>
            </w:pPr>
            <w:r w:rsidRPr="00037AC4">
              <w:rPr>
                <w:rFonts w:eastAsia="Times New Roman" w:cstheme="minorHAnsi"/>
                <w:b/>
                <w:color w:val="000000"/>
                <w:u w:val="single"/>
                <w:lang w:eastAsia="en-GB"/>
              </w:rPr>
              <w:t>Paternal exposure</w:t>
            </w:r>
            <w:r w:rsidRPr="00037AC4">
              <w:rPr>
                <w:rFonts w:eastAsia="Times New Roman" w:cstheme="minorHAnsi"/>
                <w:color w:val="000000"/>
                <w:lang w:eastAsia="en-GB"/>
              </w:rPr>
              <w:t>:</w:t>
            </w:r>
          </w:p>
          <w:p w14:paraId="1C3E8FED" w14:textId="77777777" w:rsidR="00B3074A" w:rsidRPr="00037AC4" w:rsidRDefault="00B3074A" w:rsidP="00B3074A">
            <w:pPr>
              <w:autoSpaceDE w:val="0"/>
              <w:autoSpaceDN w:val="0"/>
              <w:adjustRightInd w:val="0"/>
              <w:rPr>
                <w:rFonts w:eastAsia="Times New Roman" w:cstheme="minorHAnsi"/>
                <w:color w:val="000000"/>
                <w:lang w:eastAsia="en-GB"/>
              </w:rPr>
            </w:pPr>
            <w:r w:rsidRPr="00037AC4">
              <w:rPr>
                <w:rFonts w:eastAsia="Times New Roman" w:cstheme="minorHAnsi"/>
                <w:color w:val="000000"/>
                <w:lang w:eastAsia="en-GB"/>
              </w:rPr>
              <w:t>Based on limited evidence, ciclosporin is compatible with paternal exposure.</w:t>
            </w:r>
          </w:p>
          <w:p w14:paraId="272438A9" w14:textId="77777777" w:rsidR="00B3074A" w:rsidRPr="00037AC4" w:rsidRDefault="00B3074A" w:rsidP="00B3074A">
            <w:pPr>
              <w:autoSpaceDE w:val="0"/>
              <w:autoSpaceDN w:val="0"/>
              <w:adjustRightInd w:val="0"/>
              <w:rPr>
                <w:rFonts w:eastAsia="Times New Roman" w:cstheme="minorHAnsi"/>
                <w:color w:val="000000"/>
                <w:lang w:eastAsia="en-GB"/>
              </w:rPr>
            </w:pPr>
          </w:p>
          <w:p w14:paraId="339E82C3" w14:textId="77777777" w:rsidR="00B3074A" w:rsidRPr="00037AC4" w:rsidRDefault="00B3074A" w:rsidP="00B3074A">
            <w:pPr>
              <w:autoSpaceDE w:val="0"/>
              <w:autoSpaceDN w:val="0"/>
              <w:adjustRightInd w:val="0"/>
              <w:rPr>
                <w:rFonts w:eastAsia="Times New Roman" w:cstheme="minorHAnsi"/>
                <w:b/>
                <w:color w:val="000000"/>
                <w:u w:val="single"/>
                <w:lang w:eastAsia="en-GB"/>
              </w:rPr>
            </w:pPr>
            <w:r w:rsidRPr="00037AC4">
              <w:rPr>
                <w:rFonts w:eastAsia="Times New Roman" w:cstheme="minorHAnsi"/>
                <w:b/>
                <w:color w:val="000000"/>
                <w:u w:val="single"/>
                <w:lang w:eastAsia="en-GB"/>
              </w:rPr>
              <w:t>Fertility</w:t>
            </w:r>
          </w:p>
          <w:p w14:paraId="2FC0AAEC" w14:textId="45B611DA" w:rsidR="00B3074A" w:rsidRPr="00037AC4" w:rsidRDefault="00B3074A" w:rsidP="00B3074A">
            <w:pPr>
              <w:rPr>
                <w:rFonts w:eastAsia="Times New Roman" w:cstheme="minorHAnsi"/>
                <w:color w:val="000000"/>
                <w:lang w:eastAsia="en-GB"/>
              </w:rPr>
            </w:pPr>
            <w:r w:rsidRPr="00037AC4">
              <w:rPr>
                <w:rFonts w:eastAsia="Times New Roman" w:cstheme="minorHAnsi"/>
                <w:color w:val="000000"/>
                <w:lang w:eastAsia="en-GB"/>
              </w:rPr>
              <w:t>There is limited data on the effect of ciclosporin on human fertility.</w:t>
            </w:r>
          </w:p>
          <w:p w14:paraId="28BE39FA" w14:textId="1887E09D" w:rsidR="00B3074A" w:rsidRPr="00037AC4" w:rsidRDefault="00B3074A" w:rsidP="00B3074A">
            <w:pPr>
              <w:rPr>
                <w:rFonts w:eastAsia="Times New Roman" w:cstheme="minorHAnsi"/>
                <w:color w:val="000000"/>
                <w:lang w:eastAsia="en-GB"/>
              </w:rPr>
            </w:pPr>
          </w:p>
        </w:tc>
      </w:tr>
    </w:tbl>
    <w:p w14:paraId="73A4DAE7" w14:textId="7F62EDF1" w:rsidR="00846A4A" w:rsidRPr="00037AC4" w:rsidRDefault="00846A4A">
      <w:bookmarkStart w:id="19"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037AC4" w14:paraId="3A78E10C" w14:textId="77777777" w:rsidTr="007C7494">
        <w:trPr>
          <w:jc w:val="center"/>
        </w:trPr>
        <w:tc>
          <w:tcPr>
            <w:tcW w:w="10455" w:type="dxa"/>
            <w:tcBorders>
              <w:bottom w:val="nil"/>
            </w:tcBorders>
            <w:shd w:val="clear" w:color="auto" w:fill="F2F2F2"/>
          </w:tcPr>
          <w:p w14:paraId="2536982E" w14:textId="5A651A0A" w:rsidR="002C1756" w:rsidRPr="00037AC4" w:rsidRDefault="002C1756" w:rsidP="007F3977">
            <w:pPr>
              <w:pStyle w:val="Heading1"/>
              <w:tabs>
                <w:tab w:val="right" w:pos="10238"/>
              </w:tabs>
              <w:ind w:left="599" w:hanging="599"/>
              <w:rPr>
                <w:lang w:eastAsia="en-GB"/>
              </w:rPr>
            </w:pPr>
            <w:r w:rsidRPr="00037AC4">
              <w:rPr>
                <w:lang w:eastAsia="en-GB"/>
              </w:rPr>
              <w:t>Specialist contact information</w:t>
            </w:r>
            <w:bookmarkEnd w:id="19"/>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2C1756" w:rsidRPr="00037AC4" w14:paraId="4CD4F732" w14:textId="77777777" w:rsidTr="007C7494">
        <w:trPr>
          <w:jc w:val="center"/>
        </w:trPr>
        <w:tc>
          <w:tcPr>
            <w:tcW w:w="10455" w:type="dxa"/>
            <w:tcBorders>
              <w:top w:val="nil"/>
              <w:bottom w:val="single" w:sz="4" w:space="0" w:color="auto"/>
            </w:tcBorders>
            <w:shd w:val="clear" w:color="auto" w:fill="auto"/>
          </w:tcPr>
          <w:p w14:paraId="6BAD58B1" w14:textId="7B5F41EE" w:rsidR="00480595" w:rsidRPr="008F7C65" w:rsidRDefault="00480595" w:rsidP="00480595">
            <w:pPr>
              <w:spacing w:before="60" w:after="60"/>
              <w:rPr>
                <w:rFonts w:eastAsia="Times New Roman" w:cstheme="minorHAnsi"/>
              </w:rPr>
            </w:pPr>
            <w:r w:rsidRPr="008F7C65">
              <w:rPr>
                <w:rFonts w:eastAsia="Times New Roman" w:cstheme="minorHAnsi"/>
              </w:rPr>
              <w:t xml:space="preserve">Name: </w:t>
            </w:r>
            <w:permStart w:id="631798706" w:edGrp="everyone"/>
            <w:r w:rsidRPr="008F7C65">
              <w:rPr>
                <w:rFonts w:eastAsia="Times New Roman" w:cstheme="minorHAnsi"/>
              </w:rPr>
              <w:t xml:space="preserve">insert name </w:t>
            </w:r>
            <w:permEnd w:id="631798706"/>
          </w:p>
          <w:p w14:paraId="74306267" w14:textId="77777777" w:rsidR="00480595" w:rsidRPr="008F7C65" w:rsidRDefault="00480595" w:rsidP="00480595">
            <w:pPr>
              <w:spacing w:before="60" w:after="60"/>
              <w:rPr>
                <w:rFonts w:eastAsia="Times New Roman" w:cstheme="minorHAnsi"/>
              </w:rPr>
            </w:pPr>
            <w:r w:rsidRPr="008F7C65">
              <w:rPr>
                <w:rFonts w:eastAsia="Times New Roman" w:cstheme="minorHAnsi"/>
              </w:rPr>
              <w:t xml:space="preserve">Role and specialty: </w:t>
            </w:r>
            <w:permStart w:id="1233082755" w:edGrp="everyone"/>
            <w:r w:rsidRPr="008F7C65">
              <w:rPr>
                <w:rFonts w:eastAsia="Times New Roman" w:cstheme="minorHAnsi"/>
              </w:rPr>
              <w:t xml:space="preserve">insert role and speciality </w:t>
            </w:r>
            <w:permEnd w:id="1233082755"/>
          </w:p>
          <w:p w14:paraId="7F3BFD07" w14:textId="77777777" w:rsidR="00480595" w:rsidRPr="008F7C65" w:rsidRDefault="00480595" w:rsidP="00480595">
            <w:pPr>
              <w:spacing w:before="60" w:after="60"/>
              <w:rPr>
                <w:rFonts w:eastAsia="Times New Roman" w:cstheme="minorHAnsi"/>
              </w:rPr>
            </w:pPr>
            <w:r w:rsidRPr="008F7C65">
              <w:rPr>
                <w:rFonts w:eastAsia="Times New Roman" w:cstheme="minorHAnsi"/>
              </w:rPr>
              <w:t xml:space="preserve">Daytime telephone number: </w:t>
            </w:r>
            <w:permStart w:id="415386542" w:edGrp="everyone"/>
            <w:r w:rsidRPr="008F7C65">
              <w:rPr>
                <w:rFonts w:eastAsia="Times New Roman" w:cstheme="minorHAnsi"/>
              </w:rPr>
              <w:t xml:space="preserve">insert daytime telephone number </w:t>
            </w:r>
            <w:permEnd w:id="415386542"/>
          </w:p>
          <w:p w14:paraId="3B67003C" w14:textId="77777777" w:rsidR="00480595" w:rsidRPr="008F7C65" w:rsidRDefault="00480595" w:rsidP="00480595">
            <w:pPr>
              <w:spacing w:before="60" w:after="60"/>
              <w:rPr>
                <w:rFonts w:eastAsia="Times New Roman" w:cstheme="minorHAnsi"/>
              </w:rPr>
            </w:pPr>
            <w:r w:rsidRPr="008F7C65">
              <w:rPr>
                <w:rFonts w:eastAsia="Times New Roman" w:cstheme="minorHAnsi"/>
              </w:rPr>
              <w:t xml:space="preserve">Email address: </w:t>
            </w:r>
            <w:permStart w:id="870545710" w:edGrp="everyone"/>
            <w:r w:rsidRPr="008F7C65">
              <w:rPr>
                <w:rFonts w:eastAsia="Times New Roman" w:cstheme="minorHAnsi"/>
              </w:rPr>
              <w:t xml:space="preserve">insert email address </w:t>
            </w:r>
            <w:permEnd w:id="870545710"/>
          </w:p>
          <w:p w14:paraId="7980E006" w14:textId="77777777" w:rsidR="00480595" w:rsidRPr="008F7C65" w:rsidRDefault="00480595" w:rsidP="00480595">
            <w:pPr>
              <w:spacing w:before="60" w:after="60"/>
              <w:rPr>
                <w:rFonts w:eastAsia="Times New Roman" w:cstheme="minorHAnsi"/>
              </w:rPr>
            </w:pPr>
            <w:r w:rsidRPr="008F7C65">
              <w:rPr>
                <w:rFonts w:eastAsia="Times New Roman" w:cstheme="minorHAnsi"/>
              </w:rPr>
              <w:t xml:space="preserve">Alternative contact: </w:t>
            </w:r>
            <w:permStart w:id="56252418" w:edGrp="everyone"/>
            <w:r w:rsidRPr="008F7C65">
              <w:rPr>
                <w:rFonts w:eastAsia="Times New Roman" w:cstheme="minorHAnsi"/>
              </w:rPr>
              <w:t xml:space="preserve">insert contact information, e.g. for clinic or specialist nurse  </w:t>
            </w:r>
            <w:permEnd w:id="56252418"/>
          </w:p>
          <w:p w14:paraId="68E5A417" w14:textId="601F4B67" w:rsidR="00B3074A" w:rsidRPr="00037AC4" w:rsidRDefault="00480595" w:rsidP="00480595">
            <w:pPr>
              <w:spacing w:before="60" w:after="60" w:line="240" w:lineRule="auto"/>
              <w:rPr>
                <w:rFonts w:eastAsia="Times New Roman" w:cs="Arial"/>
                <w:i/>
              </w:rPr>
            </w:pPr>
            <w:r w:rsidRPr="008F7C65">
              <w:rPr>
                <w:rFonts w:eastAsia="Times New Roman" w:cstheme="minorHAnsi"/>
              </w:rPr>
              <w:t xml:space="preserve">Out of hours contact details: </w:t>
            </w:r>
            <w:permStart w:id="863384720" w:edGrp="everyone"/>
            <w:r w:rsidRPr="008F7C65">
              <w:rPr>
                <w:rFonts w:eastAsia="Times New Roman" w:cstheme="minorHAnsi"/>
              </w:rPr>
              <w:t>insert contact information, e.g. for duty doctor</w:t>
            </w:r>
            <w:permEnd w:id="863384720"/>
          </w:p>
        </w:tc>
      </w:tr>
      <w:tr w:rsidR="002C1756" w:rsidRPr="00037AC4" w14:paraId="1AD14A2A" w14:textId="77777777" w:rsidTr="007C7494">
        <w:trPr>
          <w:jc w:val="center"/>
        </w:trPr>
        <w:tc>
          <w:tcPr>
            <w:tcW w:w="10455" w:type="dxa"/>
            <w:tcBorders>
              <w:bottom w:val="nil"/>
            </w:tcBorders>
            <w:shd w:val="clear" w:color="auto" w:fill="F2F2F2"/>
          </w:tcPr>
          <w:p w14:paraId="201683F6" w14:textId="41E7CC27" w:rsidR="002C1756" w:rsidRPr="00037AC4" w:rsidRDefault="002C1756" w:rsidP="007F3977">
            <w:pPr>
              <w:pStyle w:val="Heading1"/>
              <w:tabs>
                <w:tab w:val="right" w:pos="10238"/>
              </w:tabs>
              <w:ind w:left="599" w:hanging="599"/>
              <w:rPr>
                <w:sz w:val="20"/>
                <w:lang w:val="en-US" w:eastAsia="en-GB"/>
              </w:rPr>
            </w:pPr>
            <w:bookmarkStart w:id="20" w:name="Fourteen_additional_info"/>
            <w:r w:rsidRPr="00037AC4">
              <w:rPr>
                <w:lang w:eastAsia="en-GB"/>
              </w:rPr>
              <w:t>Additional information</w:t>
            </w:r>
            <w:bookmarkEnd w:id="20"/>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2C1756" w:rsidRPr="00037AC4" w14:paraId="0650CF87" w14:textId="77777777" w:rsidTr="007C7494">
        <w:trPr>
          <w:jc w:val="center"/>
        </w:trPr>
        <w:tc>
          <w:tcPr>
            <w:tcW w:w="10455" w:type="dxa"/>
            <w:tcBorders>
              <w:top w:val="nil"/>
              <w:bottom w:val="single" w:sz="4" w:space="0" w:color="auto"/>
            </w:tcBorders>
            <w:shd w:val="clear" w:color="auto" w:fill="auto"/>
          </w:tcPr>
          <w:p w14:paraId="5C39532C" w14:textId="1DC07BA9" w:rsidR="00B3074A" w:rsidRPr="00037AC4" w:rsidRDefault="00B3074A" w:rsidP="00B3074A">
            <w:pPr>
              <w:rPr>
                <w:rFonts w:eastAsia="Times New Roman" w:cstheme="minorHAnsi"/>
                <w:szCs w:val="24"/>
                <w:lang w:eastAsia="en-GB"/>
              </w:rPr>
            </w:pPr>
            <w:r w:rsidRPr="00037AC4">
              <w:rPr>
                <w:rFonts w:eastAsia="Times New Roman" w:cstheme="minorHAnsi"/>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p w14:paraId="6F1EA946" w14:textId="36949705" w:rsidR="00B3074A" w:rsidRPr="00037AC4" w:rsidRDefault="00B3074A" w:rsidP="007F3977">
            <w:pPr>
              <w:rPr>
                <w:lang w:eastAsia="en-GB"/>
              </w:rPr>
            </w:pPr>
          </w:p>
        </w:tc>
      </w:tr>
      <w:tr w:rsidR="002C1756" w:rsidRPr="00037AC4" w14:paraId="40A4CE02" w14:textId="77777777" w:rsidTr="007C7494">
        <w:trPr>
          <w:jc w:val="center"/>
        </w:trPr>
        <w:tc>
          <w:tcPr>
            <w:tcW w:w="10455" w:type="dxa"/>
            <w:tcBorders>
              <w:bottom w:val="nil"/>
            </w:tcBorders>
            <w:shd w:val="clear" w:color="auto" w:fill="F2F2F2"/>
          </w:tcPr>
          <w:p w14:paraId="469E4408" w14:textId="3AC79B0D" w:rsidR="002C1756" w:rsidRPr="00037AC4" w:rsidRDefault="002C1756" w:rsidP="007F3977">
            <w:pPr>
              <w:pStyle w:val="Heading1"/>
              <w:tabs>
                <w:tab w:val="right" w:pos="10240"/>
              </w:tabs>
              <w:ind w:left="599" w:hanging="599"/>
              <w:rPr>
                <w:lang w:eastAsia="en-GB"/>
              </w:rPr>
            </w:pPr>
            <w:bookmarkStart w:id="21" w:name="Fifteen_references"/>
            <w:r w:rsidRPr="00037AC4">
              <w:rPr>
                <w:lang w:eastAsia="en-GB"/>
              </w:rPr>
              <w:t>References</w:t>
            </w:r>
            <w:bookmarkEnd w:id="21"/>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B3074A" w:rsidRPr="00037AC4" w14:paraId="583AE708" w14:textId="77777777" w:rsidTr="007C7494">
        <w:trPr>
          <w:jc w:val="center"/>
        </w:trPr>
        <w:tc>
          <w:tcPr>
            <w:tcW w:w="10455" w:type="dxa"/>
            <w:tcBorders>
              <w:top w:val="nil"/>
              <w:bottom w:val="single" w:sz="4" w:space="0" w:color="auto"/>
            </w:tcBorders>
            <w:shd w:val="clear" w:color="auto" w:fill="auto"/>
          </w:tcPr>
          <w:p w14:paraId="2B781C31"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eBNF. Ciclosporin. Accessed via </w:t>
            </w:r>
            <w:hyperlink r:id="rId39" w:history="1">
              <w:r w:rsidRPr="00037AC4">
                <w:rPr>
                  <w:rStyle w:val="Hyperlink"/>
                  <w:rFonts w:eastAsia="Times New Roman" w:cstheme="minorHAnsi"/>
                  <w:lang w:eastAsia="en-GB"/>
                </w:rPr>
                <w:t>https://bnf.nice.org.uk/</w:t>
              </w:r>
            </w:hyperlink>
            <w:r w:rsidRPr="00037AC4">
              <w:rPr>
                <w:rFonts w:eastAsia="Times New Roman" w:cstheme="minorHAnsi"/>
                <w:lang w:eastAsia="en-GB"/>
              </w:rPr>
              <w:t xml:space="preserve"> on 13/09/21</w:t>
            </w:r>
          </w:p>
          <w:p w14:paraId="39DE43CA"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Ciclosporin 100 mg soft capsules (Capimune®). Date of revision of the text 10/2021. Accessed via </w:t>
            </w:r>
            <w:hyperlink r:id="rId40" w:history="1">
              <w:r w:rsidRPr="00037AC4">
                <w:rPr>
                  <w:rStyle w:val="Hyperlink"/>
                  <w:rFonts w:eastAsia="Times New Roman" w:cstheme="minorHAnsi"/>
                  <w:lang w:eastAsia="en-GB"/>
                </w:rPr>
                <w:t>https://www.medicines.org.uk/emc/product/695/smpc</w:t>
              </w:r>
            </w:hyperlink>
            <w:r w:rsidRPr="00037AC4">
              <w:rPr>
                <w:rFonts w:eastAsia="Times New Roman" w:cstheme="minorHAnsi"/>
                <w:lang w:eastAsia="en-GB"/>
              </w:rPr>
              <w:t xml:space="preserve"> on 13/09/21. </w:t>
            </w:r>
          </w:p>
          <w:p w14:paraId="1EDB7ADF"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lastRenderedPageBreak/>
              <w:t xml:space="preserve">Ciclosporin 100 mg soft capsules (Deximune®). Date of revision of the text 17/07/21. Accessed via </w:t>
            </w:r>
            <w:hyperlink r:id="rId41" w:history="1">
              <w:r w:rsidRPr="00037AC4">
                <w:rPr>
                  <w:rStyle w:val="Hyperlink"/>
                  <w:rFonts w:eastAsia="Times New Roman" w:cstheme="minorHAnsi"/>
                  <w:lang w:eastAsia="en-GB"/>
                </w:rPr>
                <w:t>https://www.medicines.org.uk/emc/product/2613/smpc</w:t>
              </w:r>
            </w:hyperlink>
            <w:r w:rsidRPr="00037AC4">
              <w:rPr>
                <w:rFonts w:eastAsia="Times New Roman" w:cstheme="minorHAnsi"/>
                <w:lang w:eastAsia="en-GB"/>
              </w:rPr>
              <w:t xml:space="preserve"> on 13/09/21.</w:t>
            </w:r>
          </w:p>
          <w:p w14:paraId="6505725C"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Ciclosporin soft gelatin capsules (Neoral®). Date of revision of the text</w:t>
            </w:r>
            <w:r w:rsidRPr="00037AC4">
              <w:t xml:space="preserve"> 17/02/21. </w:t>
            </w:r>
            <w:r w:rsidRPr="00037AC4">
              <w:rPr>
                <w:rFonts w:eastAsia="Times New Roman" w:cstheme="minorHAnsi"/>
                <w:lang w:eastAsia="en-GB"/>
              </w:rPr>
              <w:t xml:space="preserve">Accessed via </w:t>
            </w:r>
            <w:hyperlink r:id="rId42" w:history="1">
              <w:r w:rsidRPr="00037AC4">
                <w:rPr>
                  <w:rStyle w:val="Hyperlink"/>
                  <w:rFonts w:eastAsia="Times New Roman" w:cstheme="minorHAnsi"/>
                  <w:lang w:eastAsia="en-GB"/>
                </w:rPr>
                <w:t>https://www.medicines.org.uk/emc/product/1034/smpc</w:t>
              </w:r>
            </w:hyperlink>
            <w:r w:rsidRPr="00037AC4">
              <w:rPr>
                <w:rFonts w:eastAsia="Times New Roman" w:cstheme="minorHAnsi"/>
                <w:lang w:eastAsia="en-GB"/>
              </w:rPr>
              <w:t xml:space="preserve"> on 13/09/21.</w:t>
            </w:r>
          </w:p>
          <w:p w14:paraId="1D0119DA"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Ciclosporin oral solution (Neoral®). Date of revision of the text 17/02/21. Accessed via </w:t>
            </w:r>
            <w:hyperlink r:id="rId43" w:history="1">
              <w:r w:rsidRPr="00037AC4">
                <w:rPr>
                  <w:rStyle w:val="Hyperlink"/>
                  <w:rFonts w:eastAsia="Times New Roman" w:cstheme="minorHAnsi"/>
                  <w:lang w:eastAsia="en-GB"/>
                </w:rPr>
                <w:t>https://www.medicines.org.uk/emc/product/5300/smpc</w:t>
              </w:r>
            </w:hyperlink>
            <w:r w:rsidRPr="00037AC4">
              <w:rPr>
                <w:rFonts w:eastAsia="Times New Roman" w:cstheme="minorHAnsi"/>
                <w:lang w:eastAsia="en-GB"/>
              </w:rPr>
              <w:t xml:space="preserve"> on 13/09/21.</w:t>
            </w:r>
          </w:p>
          <w:p w14:paraId="4E497F49"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British Society of Rheumatology and British Health Professionals in Rheumatology. 2017. Guidelines for the prescription and monitoring of non-biologic disease-modifying anti-rheumatic drugs. Accessed via </w:t>
            </w:r>
            <w:hyperlink r:id="rId44" w:history="1">
              <w:r w:rsidRPr="00037AC4">
                <w:rPr>
                  <w:rStyle w:val="Hyperlink"/>
                  <w:rFonts w:eastAsia="Times New Roman" w:cstheme="minorHAnsi"/>
                  <w:lang w:eastAsia="en-GB"/>
                </w:rPr>
                <w:t>https://academic.oup.com/rheumatology/article/56/6/865/3053478</w:t>
              </w:r>
            </w:hyperlink>
            <w:r w:rsidRPr="00037AC4">
              <w:rPr>
                <w:rFonts w:eastAsia="Times New Roman" w:cstheme="minorHAnsi"/>
                <w:lang w:eastAsia="en-GB"/>
              </w:rPr>
              <w:t xml:space="preserve">. </w:t>
            </w:r>
          </w:p>
          <w:p w14:paraId="66464457"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British Society of Rheumatology and British Health Professionals in Rheumatology. 2016. Guideline on prescribing drugs in pregnancy and breastfeeding – Part I: standard and biologic disease modifying anti-rheumatic drugs and corticosteroids. Accessed via </w:t>
            </w:r>
            <w:hyperlink r:id="rId45" w:history="1">
              <w:r w:rsidRPr="00037AC4">
                <w:rPr>
                  <w:rStyle w:val="Hyperlink"/>
                  <w:rFonts w:eastAsia="Times New Roman" w:cstheme="minorHAnsi"/>
                  <w:lang w:eastAsia="en-GB"/>
                </w:rPr>
                <w:t>https://academic.oup.com/rheumatology/article/55/9/1693/1744535</w:t>
              </w:r>
            </w:hyperlink>
            <w:r w:rsidRPr="00037AC4">
              <w:rPr>
                <w:rFonts w:eastAsia="Times New Roman" w:cstheme="minorHAnsi"/>
                <w:lang w:eastAsia="en-GB"/>
              </w:rPr>
              <w:t xml:space="preserve">. </w:t>
            </w:r>
          </w:p>
          <w:p w14:paraId="317FE23F"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SPS Ciclosporin monitoring guidance. Date of revision of the text 13.07.21. Accessed via: </w:t>
            </w:r>
            <w:hyperlink r:id="rId46" w:history="1">
              <w:r w:rsidRPr="00037AC4">
                <w:rPr>
                  <w:rStyle w:val="Hyperlink"/>
                  <w:rFonts w:eastAsia="Times New Roman" w:cstheme="minorHAnsi"/>
                  <w:lang w:eastAsia="en-GB"/>
                </w:rPr>
                <w:t>https://www.sps.nhs.uk/monitorings/ciclosporin-monitoring/</w:t>
              </w:r>
            </w:hyperlink>
            <w:r w:rsidRPr="00037AC4">
              <w:rPr>
                <w:rFonts w:eastAsia="Times New Roman" w:cstheme="minorHAnsi"/>
                <w:lang w:eastAsia="en-GB"/>
              </w:rPr>
              <w:t xml:space="preserve"> on 08/12/21.</w:t>
            </w:r>
          </w:p>
          <w:p w14:paraId="79414682" w14:textId="6606E4AE" w:rsidR="00352B0E" w:rsidRPr="00037AC4" w:rsidRDefault="00352B0E" w:rsidP="00352B0E">
            <w:pPr>
              <w:pStyle w:val="ListParagraph"/>
              <w:spacing w:after="0"/>
              <w:ind w:left="357"/>
              <w:contextualSpacing/>
              <w:rPr>
                <w:rFonts w:eastAsia="Times New Roman" w:cstheme="minorHAnsi"/>
                <w:lang w:eastAsia="en-GB"/>
              </w:rPr>
            </w:pPr>
          </w:p>
        </w:tc>
      </w:tr>
      <w:tr w:rsidR="00B3074A" w:rsidRPr="00037AC4" w14:paraId="42F50346" w14:textId="77777777" w:rsidTr="007C7494">
        <w:trPr>
          <w:jc w:val="center"/>
        </w:trPr>
        <w:tc>
          <w:tcPr>
            <w:tcW w:w="10455" w:type="dxa"/>
            <w:tcBorders>
              <w:bottom w:val="nil"/>
            </w:tcBorders>
            <w:shd w:val="clear" w:color="auto" w:fill="F2F2F2"/>
          </w:tcPr>
          <w:p w14:paraId="24F76BF3" w14:textId="4C261A28" w:rsidR="00B3074A" w:rsidRPr="00037AC4" w:rsidRDefault="00B3074A" w:rsidP="00B3074A">
            <w:pPr>
              <w:pStyle w:val="Heading1"/>
              <w:tabs>
                <w:tab w:val="right" w:pos="10240"/>
              </w:tabs>
              <w:ind w:left="599" w:hanging="599"/>
              <w:rPr>
                <w:lang w:eastAsia="en-GB"/>
              </w:rPr>
            </w:pPr>
            <w:bookmarkStart w:id="22" w:name="Sixteen_relevant_guidance"/>
            <w:r w:rsidRPr="00037AC4">
              <w:rPr>
                <w:lang w:eastAsia="en-GB"/>
              </w:rPr>
              <w:lastRenderedPageBreak/>
              <w:t>Other relevant national guidance</w:t>
            </w:r>
            <w:bookmarkEnd w:id="22"/>
            <w:r w:rsidRPr="00037AC4">
              <w:rPr>
                <w:lang w:eastAsia="en-GB"/>
              </w:rPr>
              <w:t xml:space="preserve"> </w:t>
            </w:r>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B3074A" w:rsidRPr="00037AC4" w14:paraId="4CE5A668" w14:textId="77777777" w:rsidTr="007C7494">
        <w:trPr>
          <w:jc w:val="center"/>
        </w:trPr>
        <w:tc>
          <w:tcPr>
            <w:tcW w:w="10455" w:type="dxa"/>
            <w:tcBorders>
              <w:top w:val="nil"/>
              <w:bottom w:val="single" w:sz="4" w:space="0" w:color="auto"/>
            </w:tcBorders>
            <w:shd w:val="clear" w:color="auto" w:fill="auto"/>
          </w:tcPr>
          <w:p w14:paraId="7A4AAFCB" w14:textId="77777777" w:rsidR="00352B0E" w:rsidRPr="00037AC4" w:rsidRDefault="00352B0E" w:rsidP="00352B0E">
            <w:pPr>
              <w:pStyle w:val="ListParagraph"/>
              <w:numPr>
                <w:ilvl w:val="0"/>
                <w:numId w:val="2"/>
              </w:numPr>
              <w:spacing w:before="60" w:after="60"/>
              <w:ind w:left="357" w:hanging="357"/>
              <w:rPr>
                <w:rFonts w:eastAsia="Times New Roman" w:cstheme="minorHAnsi"/>
                <w:lang w:eastAsia="en-GB"/>
              </w:rPr>
            </w:pPr>
            <w:r w:rsidRPr="00037AC4">
              <w:rPr>
                <w:rFonts w:eastAsia="Times New Roman" w:cstheme="minorHAnsi"/>
                <w:lang w:eastAsia="en-GB"/>
              </w:rPr>
              <w:t xml:space="preserve">Shared Care for Medicines Guidance – A Standard Approach (RMOC). Available from </w:t>
            </w:r>
            <w:hyperlink r:id="rId47" w:history="1">
              <w:r w:rsidRPr="00037AC4">
                <w:rPr>
                  <w:rStyle w:val="Hyperlink"/>
                  <w:rFonts w:eastAsia="Times New Roman" w:cstheme="minorHAnsi"/>
                  <w:lang w:eastAsia="en-GB"/>
                </w:rPr>
                <w:t>https://www.sps.nhs.uk/articles/rmoc-shared-care-guidance/</w:t>
              </w:r>
            </w:hyperlink>
            <w:r w:rsidRPr="00037AC4">
              <w:rPr>
                <w:rFonts w:eastAsia="Times New Roman" w:cstheme="minorHAnsi"/>
                <w:lang w:eastAsia="en-GB"/>
              </w:rPr>
              <w:t xml:space="preserve"> </w:t>
            </w:r>
          </w:p>
          <w:p w14:paraId="1E46FDE7" w14:textId="77777777" w:rsidR="00352B0E" w:rsidRPr="00037AC4" w:rsidRDefault="00352B0E" w:rsidP="00352B0E">
            <w:pPr>
              <w:pStyle w:val="ListParagraph"/>
              <w:numPr>
                <w:ilvl w:val="0"/>
                <w:numId w:val="2"/>
              </w:numPr>
              <w:spacing w:before="60" w:after="60"/>
              <w:ind w:left="357" w:hanging="357"/>
              <w:rPr>
                <w:rFonts w:eastAsia="Times New Roman" w:cstheme="minorHAnsi"/>
                <w:lang w:eastAsia="en-GB"/>
              </w:rPr>
            </w:pPr>
            <w:r w:rsidRPr="00037AC4">
              <w:rPr>
                <w:rFonts w:eastAsia="Times New Roman" w:cstheme="minorHAnsi"/>
                <w:lang w:eastAsia="en-GB"/>
              </w:rPr>
              <w:t xml:space="preserve">NHSE guidance – </w:t>
            </w:r>
            <w:r w:rsidRPr="00037AC4">
              <w:t xml:space="preserve">Responsibility for prescribing between primary &amp; secondary/tertiary care. Available from </w:t>
            </w:r>
            <w:hyperlink r:id="rId48" w:history="1">
              <w:r w:rsidRPr="00037AC4">
                <w:rPr>
                  <w:rStyle w:val="Hyperlink"/>
                </w:rPr>
                <w:t>https://www.england.nhs.uk/publication/responsibility-for-prescribing-between-primary-and-secondary-tertiary-care/</w:t>
              </w:r>
            </w:hyperlink>
            <w:r w:rsidRPr="00037AC4">
              <w:t xml:space="preserve"> </w:t>
            </w:r>
          </w:p>
          <w:p w14:paraId="248743D6" w14:textId="77777777" w:rsidR="00352B0E" w:rsidRPr="00037AC4" w:rsidRDefault="00352B0E" w:rsidP="00352B0E">
            <w:pPr>
              <w:pStyle w:val="ListParagraph"/>
              <w:numPr>
                <w:ilvl w:val="0"/>
                <w:numId w:val="2"/>
              </w:numPr>
              <w:spacing w:before="60" w:after="60"/>
              <w:ind w:left="357" w:hanging="357"/>
              <w:rPr>
                <w:rFonts w:eastAsia="Times New Roman" w:cstheme="minorHAnsi"/>
                <w:lang w:eastAsia="en-GB"/>
              </w:rPr>
            </w:pPr>
            <w:r w:rsidRPr="00037AC4">
              <w:rPr>
                <w:rFonts w:eastAsia="Times New Roman" w:cstheme="minorHAnsi"/>
                <w:lang w:eastAsia="en-GB"/>
              </w:rPr>
              <w:t xml:space="preserve">General Medical Council. Good practice in prescribing and managing medicines and devices. Shared care. Available from </w:t>
            </w:r>
            <w:hyperlink r:id="rId49" w:history="1">
              <w:r w:rsidRPr="00037AC4">
                <w:rPr>
                  <w:rStyle w:val="Hyperlink"/>
                  <w:rFonts w:eastAsia="Times New Roman" w:cstheme="minorHAnsi"/>
                  <w:lang w:eastAsia="en-GB"/>
                </w:rPr>
                <w:t>https://www.gmc-uk.org/ethical-guidance/ethical-guidance-for-doctors/good-practice-in-prescribing-and-managing-medicines-and-devices/shared-care</w:t>
              </w:r>
            </w:hyperlink>
            <w:r w:rsidRPr="00037AC4">
              <w:rPr>
                <w:rFonts w:eastAsia="Times New Roman" w:cstheme="minorHAnsi"/>
                <w:lang w:eastAsia="en-GB"/>
              </w:rPr>
              <w:t xml:space="preserve"> </w:t>
            </w:r>
          </w:p>
          <w:p w14:paraId="17D120D7" w14:textId="05CEBBF3" w:rsidR="00B3074A" w:rsidRPr="00037AC4" w:rsidRDefault="00352B0E" w:rsidP="00352B0E">
            <w:pPr>
              <w:pStyle w:val="ListParagraph"/>
              <w:numPr>
                <w:ilvl w:val="0"/>
                <w:numId w:val="2"/>
              </w:numPr>
              <w:spacing w:before="60" w:after="60"/>
              <w:ind w:left="357" w:hanging="357"/>
              <w:rPr>
                <w:rFonts w:eastAsia="Times New Roman" w:cstheme="minorHAnsi"/>
                <w:lang w:eastAsia="en-GB"/>
              </w:rPr>
            </w:pPr>
            <w:r w:rsidRPr="00037AC4">
              <w:rPr>
                <w:rFonts w:eastAsia="Times New Roman" w:cstheme="minorHAnsi"/>
                <w:lang w:eastAsia="en-GB"/>
              </w:rPr>
              <w:t xml:space="preserve">NICE NG197: Shared decision making. Last updated June 2021. </w:t>
            </w:r>
            <w:hyperlink r:id="rId50" w:history="1">
              <w:r w:rsidRPr="00037AC4">
                <w:rPr>
                  <w:rStyle w:val="Hyperlink"/>
                  <w:rFonts w:eastAsia="Times New Roman" w:cstheme="minorHAnsi"/>
                  <w:lang w:eastAsia="en-GB"/>
                </w:rPr>
                <w:t>https://www.nice.org.uk/guidance/ng197/</w:t>
              </w:r>
            </w:hyperlink>
            <w:r w:rsidRPr="00037AC4">
              <w:rPr>
                <w:rFonts w:eastAsia="Times New Roman" w:cstheme="minorHAnsi"/>
                <w:lang w:eastAsia="en-GB"/>
              </w:rPr>
              <w:t>.</w:t>
            </w:r>
          </w:p>
        </w:tc>
      </w:tr>
      <w:tr w:rsidR="00B3074A" w:rsidRPr="00037AC4" w14:paraId="47C81485" w14:textId="77777777" w:rsidTr="007C7494">
        <w:trPr>
          <w:jc w:val="center"/>
        </w:trPr>
        <w:tc>
          <w:tcPr>
            <w:tcW w:w="10455" w:type="dxa"/>
            <w:tcBorders>
              <w:bottom w:val="nil"/>
            </w:tcBorders>
            <w:shd w:val="clear" w:color="auto" w:fill="F2F2F2"/>
          </w:tcPr>
          <w:p w14:paraId="24773817" w14:textId="201B7BAE" w:rsidR="00B3074A" w:rsidRPr="00037AC4" w:rsidRDefault="00B3074A" w:rsidP="00B3074A">
            <w:pPr>
              <w:pStyle w:val="Heading1"/>
              <w:tabs>
                <w:tab w:val="right" w:pos="10240"/>
              </w:tabs>
              <w:ind w:left="599" w:hanging="599"/>
              <w:rPr>
                <w:lang w:eastAsia="en-GB"/>
              </w:rPr>
            </w:pPr>
            <w:r w:rsidRPr="00037AC4">
              <w:rPr>
                <w:lang w:eastAsia="en-GB"/>
              </w:rPr>
              <w:lastRenderedPageBreak/>
              <w:t xml:space="preserve">Local arrangements for referral </w:t>
            </w:r>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p w14:paraId="0CAF9A88" w14:textId="77777777" w:rsidR="00B3074A" w:rsidRPr="00037AC4" w:rsidRDefault="00B3074A" w:rsidP="00B3074A">
            <w:pPr>
              <w:spacing w:before="60" w:after="60" w:line="240" w:lineRule="auto"/>
              <w:rPr>
                <w:rFonts w:eastAsia="Times New Roman" w:cs="Arial"/>
                <w:lang w:eastAsia="en-GB"/>
              </w:rPr>
            </w:pPr>
            <w:r w:rsidRPr="00037AC4">
              <w:rPr>
                <w:rFonts w:eastAsia="Times New Roman" w:cs="Arial"/>
                <w:bCs/>
                <w:lang w:eastAsia="en-GB"/>
              </w:rPr>
              <w:t>Define the referral procedure from hospital to primary care prescriber &amp; route of return should the patient’s condition change.</w:t>
            </w:r>
          </w:p>
        </w:tc>
      </w:tr>
      <w:tr w:rsidR="00B3074A" w:rsidRPr="00037AC4" w14:paraId="1EFCF2EC" w14:textId="77777777" w:rsidTr="007C7494">
        <w:trPr>
          <w:jc w:val="center"/>
        </w:trPr>
        <w:tc>
          <w:tcPr>
            <w:tcW w:w="10455" w:type="dxa"/>
            <w:tcBorders>
              <w:top w:val="nil"/>
            </w:tcBorders>
            <w:shd w:val="clear" w:color="auto" w:fill="auto"/>
          </w:tcPr>
          <w:p w14:paraId="51A4166B" w14:textId="75CCE0B0" w:rsidR="00B3074A" w:rsidRPr="00037AC4" w:rsidRDefault="00EC5AD0" w:rsidP="00B3074A">
            <w:pPr>
              <w:spacing w:before="60" w:after="60" w:line="240" w:lineRule="auto"/>
              <w:rPr>
                <w:rFonts w:eastAsia="Times New Roman" w:cs="Arial"/>
                <w:color w:val="000000"/>
                <w:lang w:val="en" w:eastAsia="en-GB"/>
              </w:rPr>
            </w:pPr>
            <w:r>
              <w:t>Follow Place based processes</w:t>
            </w:r>
            <w:r w:rsidR="00B3074A" w:rsidRPr="00037AC4">
              <w:rPr>
                <w:rFonts w:eastAsia="Times New Roman" w:cs="Arial"/>
                <w:lang w:eastAsia="en-GB"/>
              </w:rPr>
              <w:t xml:space="preserve"> </w:t>
            </w:r>
          </w:p>
        </w:tc>
      </w:tr>
    </w:tbl>
    <w:p w14:paraId="4F3763D2" w14:textId="0DE927B2" w:rsidR="0087662D" w:rsidRPr="00037AC4" w:rsidRDefault="0087662D" w:rsidP="00295135">
      <w:pPr>
        <w:spacing w:line="240" w:lineRule="auto"/>
        <w:rPr>
          <w:rFonts w:ascii="Times New Roman" w:eastAsia="Times New Roman" w:hAnsi="Times New Roman" w:cs="Times New Roman"/>
          <w:szCs w:val="24"/>
          <w:lang w:eastAsia="en-GB"/>
        </w:rPr>
      </w:pPr>
    </w:p>
    <w:p w14:paraId="75924742" w14:textId="77777777" w:rsidR="00A063A1" w:rsidRPr="00037AC4" w:rsidRDefault="00A063A1" w:rsidP="00877E1D">
      <w:pPr>
        <w:rPr>
          <w:rFonts w:ascii="Calibri" w:hAnsi="Calibri" w:cs="Calibri"/>
          <w:b/>
          <w:u w:val="single"/>
        </w:rPr>
      </w:pPr>
    </w:p>
    <w:p w14:paraId="4F2BAA2E" w14:textId="77777777" w:rsidR="005F6358" w:rsidRPr="00037AC4" w:rsidRDefault="005F6358" w:rsidP="005F6358">
      <w:pPr>
        <w:rPr>
          <w:rFonts w:cstheme="minorHAnsi"/>
        </w:rPr>
      </w:pPr>
      <w:r w:rsidRPr="00037AC4">
        <w:rPr>
          <w:rFonts w:cstheme="minorHAnsi"/>
        </w:rPr>
        <w:br w:type="page"/>
      </w:r>
    </w:p>
    <w:p w14:paraId="592C80B3" w14:textId="77777777" w:rsidR="005F6358" w:rsidRDefault="005F6358" w:rsidP="00F13240">
      <w:pPr>
        <w:pStyle w:val="Heading1"/>
        <w:numPr>
          <w:ilvl w:val="0"/>
          <w:numId w:val="0"/>
        </w:numPr>
      </w:pPr>
      <w:bookmarkStart w:id="23" w:name="_Toc64632334"/>
      <w:r w:rsidRPr="00037AC4">
        <w:lastRenderedPageBreak/>
        <w:t>Appendix 1: Shared Care Request letter (Specialist to Primary Care Prescriber)</w:t>
      </w:r>
      <w:bookmarkEnd w:id="23"/>
    </w:p>
    <w:p w14:paraId="7782E761" w14:textId="77777777" w:rsidR="00404041" w:rsidRPr="00404041" w:rsidRDefault="00404041" w:rsidP="00404041"/>
    <w:p w14:paraId="30FCF6F4" w14:textId="29512E10" w:rsidR="001354E7" w:rsidRPr="00281660" w:rsidRDefault="001354E7" w:rsidP="00A244F8">
      <w:pPr>
        <w:spacing w:line="360" w:lineRule="auto"/>
        <w:rPr>
          <w:rFonts w:eastAsia="Times New Roman" w:cstheme="minorHAnsi"/>
          <w:i/>
          <w:iCs/>
          <w:szCs w:val="24"/>
        </w:rPr>
      </w:pPr>
      <w:bookmarkStart w:id="24" w:name="_Appendix_3"/>
      <w:bookmarkStart w:id="25" w:name="_Toc28084478"/>
      <w:bookmarkStart w:id="26" w:name="_Toc64632335"/>
      <w:bookmarkEnd w:id="24"/>
      <w:r w:rsidRPr="001354E7">
        <w:rPr>
          <w:rFonts w:eastAsia="Times New Roman" w:cstheme="minorHAnsi"/>
          <w:szCs w:val="24"/>
        </w:rPr>
        <w:t xml:space="preserve">Dear </w:t>
      </w:r>
      <w:permStart w:id="1445423536" w:edGrp="everyone"/>
      <w:r w:rsidRPr="00281660">
        <w:rPr>
          <w:rFonts w:eastAsia="Times New Roman" w:cstheme="minorHAnsi"/>
          <w:i/>
          <w:iCs/>
          <w:szCs w:val="24"/>
        </w:rPr>
        <w:t>insert Primary Care</w:t>
      </w:r>
      <w:r w:rsidR="00DB41D9">
        <w:t xml:space="preserve"> </w:t>
      </w:r>
      <w:r w:rsidRPr="00281660">
        <w:rPr>
          <w:rFonts w:eastAsia="Times New Roman" w:cstheme="minorHAnsi"/>
          <w:i/>
          <w:iCs/>
          <w:szCs w:val="24"/>
        </w:rPr>
        <w:t>Prescriber's name</w:t>
      </w:r>
      <w:permEnd w:id="1445423536"/>
    </w:p>
    <w:p w14:paraId="66CB7C40" w14:textId="77777777" w:rsidR="001354E7" w:rsidRPr="00281660" w:rsidRDefault="001354E7" w:rsidP="00A244F8">
      <w:pPr>
        <w:spacing w:line="360" w:lineRule="auto"/>
        <w:rPr>
          <w:rFonts w:eastAsia="Times New Roman" w:cstheme="minorHAnsi"/>
          <w:i/>
          <w:iCs/>
          <w:szCs w:val="24"/>
        </w:rPr>
      </w:pPr>
      <w:r w:rsidRPr="001354E7">
        <w:rPr>
          <w:rFonts w:eastAsia="Times New Roman" w:cstheme="minorHAnsi"/>
          <w:szCs w:val="24"/>
        </w:rPr>
        <w:t xml:space="preserve">Patient name: </w:t>
      </w:r>
      <w:permStart w:id="2024039727" w:edGrp="everyone"/>
      <w:r w:rsidRPr="00281660">
        <w:rPr>
          <w:rFonts w:eastAsia="Times New Roman" w:cstheme="minorHAnsi"/>
          <w:i/>
          <w:iCs/>
          <w:szCs w:val="24"/>
        </w:rPr>
        <w:t>insert patient's name</w:t>
      </w:r>
      <w:permEnd w:id="2024039727"/>
    </w:p>
    <w:p w14:paraId="276A9F2F" w14:textId="77777777" w:rsidR="001354E7" w:rsidRPr="00281660" w:rsidRDefault="001354E7" w:rsidP="00A244F8">
      <w:pPr>
        <w:spacing w:line="360" w:lineRule="auto"/>
        <w:rPr>
          <w:rFonts w:eastAsia="Times New Roman" w:cstheme="minorHAnsi"/>
          <w:i/>
          <w:iCs/>
          <w:szCs w:val="24"/>
        </w:rPr>
      </w:pPr>
      <w:r w:rsidRPr="001354E7">
        <w:rPr>
          <w:rFonts w:eastAsia="Times New Roman" w:cstheme="minorHAnsi"/>
          <w:szCs w:val="24"/>
        </w:rPr>
        <w:t>Date of birth:</w:t>
      </w:r>
      <w:r w:rsidRPr="001354E7">
        <w:rPr>
          <w:rFonts w:eastAsia="Times New Roman" w:cstheme="minorHAnsi"/>
          <w:szCs w:val="24"/>
        </w:rPr>
        <w:tab/>
      </w:r>
      <w:permStart w:id="1175678834" w:edGrp="everyone"/>
      <w:r w:rsidRPr="00281660">
        <w:rPr>
          <w:rFonts w:eastAsia="Times New Roman" w:cstheme="minorHAnsi"/>
          <w:i/>
          <w:iCs/>
          <w:szCs w:val="24"/>
        </w:rPr>
        <w:t>insert date of birth</w:t>
      </w:r>
      <w:permEnd w:id="1175678834"/>
    </w:p>
    <w:p w14:paraId="4069922F" w14:textId="77777777" w:rsidR="001354E7" w:rsidRPr="001354E7" w:rsidRDefault="001354E7" w:rsidP="00A244F8">
      <w:pPr>
        <w:spacing w:line="360" w:lineRule="auto"/>
        <w:rPr>
          <w:rFonts w:eastAsia="Times New Roman" w:cstheme="minorHAnsi"/>
          <w:szCs w:val="24"/>
        </w:rPr>
      </w:pPr>
      <w:r w:rsidRPr="001354E7">
        <w:rPr>
          <w:rFonts w:eastAsia="Times New Roman" w:cstheme="minorHAnsi"/>
          <w:szCs w:val="24"/>
        </w:rPr>
        <w:t xml:space="preserve">NHS Number: </w:t>
      </w:r>
      <w:permStart w:id="1202459764" w:edGrp="everyone"/>
      <w:r w:rsidRPr="00281660">
        <w:rPr>
          <w:rFonts w:eastAsia="Times New Roman" w:cstheme="minorHAnsi"/>
          <w:i/>
          <w:iCs/>
          <w:szCs w:val="24"/>
        </w:rPr>
        <w:t>insert NHS Number</w:t>
      </w:r>
      <w:permEnd w:id="1202459764"/>
    </w:p>
    <w:p w14:paraId="2D19F330" w14:textId="77777777" w:rsidR="001354E7" w:rsidRPr="00281660" w:rsidRDefault="001354E7" w:rsidP="00A244F8">
      <w:pPr>
        <w:spacing w:line="360" w:lineRule="auto"/>
        <w:rPr>
          <w:rFonts w:eastAsia="Times New Roman" w:cstheme="minorHAnsi"/>
          <w:i/>
          <w:iCs/>
          <w:szCs w:val="24"/>
        </w:rPr>
      </w:pPr>
      <w:r w:rsidRPr="001354E7">
        <w:rPr>
          <w:rFonts w:eastAsia="Times New Roman" w:cstheme="minorHAnsi"/>
          <w:szCs w:val="24"/>
        </w:rPr>
        <w:t xml:space="preserve">Diagnosis: </w:t>
      </w:r>
      <w:permStart w:id="1296778653" w:edGrp="everyone"/>
      <w:r w:rsidRPr="00281660">
        <w:rPr>
          <w:rFonts w:eastAsia="Times New Roman" w:cstheme="minorHAnsi"/>
          <w:i/>
          <w:iCs/>
          <w:szCs w:val="24"/>
        </w:rPr>
        <w:t>insert diagnosis</w:t>
      </w:r>
      <w:permEnd w:id="1296778653"/>
    </w:p>
    <w:p w14:paraId="5793314F" w14:textId="77777777" w:rsidR="001354E7" w:rsidRPr="001354E7" w:rsidRDefault="001354E7" w:rsidP="001354E7">
      <w:pPr>
        <w:spacing w:line="240" w:lineRule="atLeast"/>
        <w:rPr>
          <w:rFonts w:eastAsia="Times New Roman" w:cstheme="minorHAnsi"/>
          <w:szCs w:val="24"/>
        </w:rPr>
      </w:pPr>
    </w:p>
    <w:p w14:paraId="44D7785E" w14:textId="77777777" w:rsidR="001354E7" w:rsidRPr="001354E7" w:rsidRDefault="001354E7" w:rsidP="001354E7">
      <w:pPr>
        <w:spacing w:line="240" w:lineRule="atLeast"/>
        <w:rPr>
          <w:rFonts w:eastAsia="Times New Roman" w:cstheme="minorHAnsi"/>
          <w:szCs w:val="24"/>
        </w:rPr>
      </w:pPr>
      <w:r w:rsidRPr="001354E7">
        <w:rPr>
          <w:rFonts w:eastAsia="Times New Roman" w:cstheme="minorHAnsi"/>
          <w:szCs w:val="24"/>
        </w:rPr>
        <w:t xml:space="preserve">As per the agreed SWL shared care protocol for </w:t>
      </w:r>
      <w:permStart w:id="1529348845" w:edGrp="everyone"/>
      <w:r w:rsidRPr="00281660">
        <w:rPr>
          <w:rFonts w:eastAsia="Times New Roman" w:cstheme="minorHAnsi"/>
          <w:i/>
          <w:iCs/>
          <w:szCs w:val="24"/>
        </w:rPr>
        <w:t>insert medicine name</w:t>
      </w:r>
      <w:r w:rsidRPr="001354E7">
        <w:rPr>
          <w:rFonts w:eastAsia="Times New Roman" w:cstheme="minorHAnsi"/>
          <w:szCs w:val="24"/>
        </w:rPr>
        <w:t xml:space="preserve"> </w:t>
      </w:r>
      <w:permEnd w:id="1529348845"/>
      <w:r w:rsidRPr="001354E7">
        <w:rPr>
          <w:rFonts w:eastAsia="Times New Roman" w:cstheme="minorHAnsi"/>
          <w:szCs w:val="24"/>
        </w:rPr>
        <w:t xml:space="preserve">for the treatment of </w:t>
      </w:r>
      <w:permStart w:id="1565350042" w:edGrp="everyone" w:colFirst="1" w:colLast="1"/>
      <w:permStart w:id="615716068" w:edGrp="everyone"/>
      <w:r w:rsidRPr="00404041">
        <w:rPr>
          <w:rFonts w:eastAsia="Times New Roman" w:cstheme="minorHAnsi"/>
          <w:i/>
          <w:iCs/>
          <w:szCs w:val="24"/>
        </w:rPr>
        <w:t>insert indication</w:t>
      </w:r>
      <w:permEnd w:id="1565350042"/>
      <w:permEnd w:id="615716068"/>
      <w:r w:rsidRPr="00404041">
        <w:rPr>
          <w:rFonts w:eastAsia="Times New Roman" w:cstheme="minorHAnsi"/>
          <w:i/>
          <w:iCs/>
          <w:szCs w:val="24"/>
        </w:rPr>
        <w:t>,</w:t>
      </w:r>
      <w:r w:rsidRPr="001354E7">
        <w:rPr>
          <w:rFonts w:eastAsia="Times New Roman" w:cstheme="minorHAnsi"/>
          <w:szCs w:val="24"/>
        </w:rPr>
        <w:t xml:space="preserve"> this patient is now suitable for prescribing to move to primary care.</w:t>
      </w:r>
    </w:p>
    <w:p w14:paraId="193191BB" w14:textId="77777777" w:rsidR="001354E7" w:rsidRPr="001354E7" w:rsidRDefault="001354E7" w:rsidP="001354E7">
      <w:pPr>
        <w:spacing w:line="240" w:lineRule="atLeast"/>
        <w:rPr>
          <w:rFonts w:eastAsia="Times New Roman" w:cstheme="minorHAnsi"/>
          <w:szCs w:val="24"/>
        </w:rPr>
      </w:pPr>
      <w:r w:rsidRPr="001354E7">
        <w:rPr>
          <w:rFonts w:eastAsia="Times New Roman" w:cstheme="minorHAnsi"/>
          <w:szCs w:val="24"/>
        </w:rPr>
        <w:t xml:space="preserve"> </w:t>
      </w:r>
    </w:p>
    <w:p w14:paraId="32A9BAF9" w14:textId="0D6F2BC3" w:rsidR="00A70FB7" w:rsidRDefault="001354E7" w:rsidP="001354E7">
      <w:pPr>
        <w:spacing w:line="240" w:lineRule="atLeast"/>
        <w:rPr>
          <w:rFonts w:eastAsia="Times New Roman" w:cstheme="minorHAnsi"/>
          <w:szCs w:val="24"/>
        </w:rPr>
      </w:pPr>
      <w:r w:rsidRPr="001354E7">
        <w:rPr>
          <w:rFonts w:eastAsia="Times New Roman" w:cstheme="minorHAnsi"/>
          <w:szCs w:val="24"/>
        </w:rPr>
        <w:t xml:space="preserve">The patient fulfils criteria for shared </w:t>
      </w:r>
      <w:r w:rsidR="00A244F8" w:rsidRPr="001354E7">
        <w:rPr>
          <w:rFonts w:eastAsia="Times New Roman" w:cstheme="minorHAnsi"/>
          <w:szCs w:val="24"/>
        </w:rPr>
        <w:t>care</w:t>
      </w:r>
      <w:r w:rsidR="00A244F8">
        <w:rPr>
          <w:rFonts w:eastAsia="Times New Roman" w:cstheme="minorHAnsi"/>
          <w:szCs w:val="24"/>
        </w:rPr>
        <w:t xml:space="preserve"> </w:t>
      </w:r>
      <w:r w:rsidRPr="001354E7">
        <w:rPr>
          <w:rFonts w:eastAsia="Times New Roman" w:cstheme="minorHAnsi"/>
          <w:szCs w:val="24"/>
        </w:rPr>
        <w:t>and I am therefore requesting your agreement to participate in shared care. Where baseline investigations are set out in the shared care protocol, I have carried these out</w:t>
      </w:r>
    </w:p>
    <w:p w14:paraId="72ECA123" w14:textId="77777777" w:rsidR="001354E7" w:rsidRPr="00037AC4" w:rsidRDefault="001354E7" w:rsidP="001354E7">
      <w:pPr>
        <w:spacing w:line="240" w:lineRule="atLeast"/>
        <w:rPr>
          <w:rFonts w:eastAsia="Times New Roman" w:cstheme="minorHAnsi"/>
          <w:szCs w:val="24"/>
        </w:rPr>
      </w:pPr>
    </w:p>
    <w:p w14:paraId="3476A8E4" w14:textId="77777777" w:rsidR="00A70FB7" w:rsidRPr="00037AC4" w:rsidRDefault="00A70FB7" w:rsidP="00A70FB7">
      <w:pPr>
        <w:rPr>
          <w:rFonts w:eastAsia="Times New Roman" w:cstheme="minorHAnsi"/>
          <w:szCs w:val="24"/>
        </w:rPr>
      </w:pPr>
      <w:r w:rsidRPr="00037AC4">
        <w:rPr>
          <w:rFonts w:eastAsia="Times New Roman" w:cstheme="minorHAnsi"/>
          <w:szCs w:val="24"/>
        </w:rPr>
        <w:t>I can confirm that the following has happened with regard to this treatment:</w:t>
      </w:r>
    </w:p>
    <w:tbl>
      <w:tblPr>
        <w:tblStyle w:val="TableGrid1"/>
        <w:tblW w:w="0" w:type="auto"/>
        <w:tblLook w:val="04A0" w:firstRow="1" w:lastRow="0" w:firstColumn="1" w:lastColumn="0" w:noHBand="0" w:noVBand="1"/>
      </w:tblPr>
      <w:tblGrid>
        <w:gridCol w:w="7121"/>
        <w:gridCol w:w="1939"/>
      </w:tblGrid>
      <w:tr w:rsidR="00A70FB7" w:rsidRPr="00037AC4" w14:paraId="0C092492" w14:textId="77777777" w:rsidTr="00281660">
        <w:tc>
          <w:tcPr>
            <w:tcW w:w="7121" w:type="dxa"/>
            <w:shd w:val="clear" w:color="auto" w:fill="D9D9D9" w:themeFill="background1" w:themeFillShade="D9"/>
            <w:vAlign w:val="center"/>
          </w:tcPr>
          <w:p w14:paraId="473A02C7" w14:textId="77777777" w:rsidR="00A70FB7" w:rsidRPr="00037AC4" w:rsidRDefault="00A70FB7" w:rsidP="003768B6">
            <w:pPr>
              <w:spacing w:before="60" w:after="60" w:line="276" w:lineRule="auto"/>
              <w:jc w:val="right"/>
              <w:rPr>
                <w:rFonts w:eastAsia="Times New Roman" w:cstheme="minorHAnsi"/>
                <w:b/>
                <w:sz w:val="18"/>
                <w:szCs w:val="18"/>
              </w:rPr>
            </w:pPr>
          </w:p>
        </w:tc>
        <w:tc>
          <w:tcPr>
            <w:tcW w:w="1939" w:type="dxa"/>
            <w:shd w:val="clear" w:color="auto" w:fill="D9D9D9" w:themeFill="background1" w:themeFillShade="D9"/>
            <w:vAlign w:val="center"/>
          </w:tcPr>
          <w:p w14:paraId="17895EDE" w14:textId="77777777" w:rsidR="00A70FB7" w:rsidRPr="00037AC4" w:rsidRDefault="00A70FB7" w:rsidP="003768B6">
            <w:pPr>
              <w:spacing w:before="60" w:after="60" w:line="276" w:lineRule="auto"/>
              <w:jc w:val="right"/>
              <w:rPr>
                <w:rFonts w:eastAsia="Times New Roman" w:cstheme="minorHAnsi"/>
                <w:b/>
                <w:sz w:val="18"/>
                <w:szCs w:val="18"/>
              </w:rPr>
            </w:pPr>
            <w:r w:rsidRPr="00037AC4">
              <w:rPr>
                <w:rFonts w:eastAsia="Times New Roman" w:cstheme="minorHAnsi"/>
                <w:b/>
                <w:sz w:val="18"/>
                <w:szCs w:val="18"/>
              </w:rPr>
              <w:t>Specialist to complete</w:t>
            </w:r>
          </w:p>
        </w:tc>
      </w:tr>
      <w:tr w:rsidR="00A70FB7" w:rsidRPr="00037AC4" w14:paraId="21E6C3AA" w14:textId="77777777" w:rsidTr="00281660">
        <w:tc>
          <w:tcPr>
            <w:tcW w:w="7121" w:type="dxa"/>
            <w:vAlign w:val="center"/>
          </w:tcPr>
          <w:p w14:paraId="55CCB82C" w14:textId="77777777" w:rsidR="00A70FB7" w:rsidRPr="00037AC4" w:rsidRDefault="00A70FB7" w:rsidP="003768B6">
            <w:pPr>
              <w:spacing w:before="60" w:after="60" w:line="276" w:lineRule="auto"/>
              <w:jc w:val="right"/>
              <w:rPr>
                <w:rFonts w:eastAsia="Times New Roman" w:cstheme="minorHAnsi"/>
                <w:i/>
                <w:sz w:val="18"/>
                <w:szCs w:val="18"/>
              </w:rPr>
            </w:pPr>
            <w:permStart w:id="1717009645" w:edGrp="everyone" w:colFirst="1" w:colLast="1"/>
            <w:r w:rsidRPr="00037AC4">
              <w:rPr>
                <w:rFonts w:eastAsia="Times New Roman" w:cstheme="minorHAnsi"/>
                <w:i/>
                <w:sz w:val="18"/>
                <w:szCs w:val="18"/>
              </w:rPr>
              <w:t>The patient has been initiated on this therapy and has been on an optimised dose for the following period of time:</w:t>
            </w:r>
          </w:p>
        </w:tc>
        <w:tc>
          <w:tcPr>
            <w:tcW w:w="1939" w:type="dxa"/>
          </w:tcPr>
          <w:p w14:paraId="29C26699" w14:textId="77777777" w:rsidR="00A70FB7" w:rsidRPr="00037AC4" w:rsidRDefault="00A70FB7" w:rsidP="00404041">
            <w:pPr>
              <w:spacing w:before="60" w:after="60" w:line="276" w:lineRule="auto"/>
              <w:rPr>
                <w:rFonts w:eastAsia="Times New Roman" w:cstheme="minorHAnsi"/>
                <w:i/>
                <w:sz w:val="18"/>
                <w:szCs w:val="18"/>
              </w:rPr>
            </w:pPr>
          </w:p>
        </w:tc>
      </w:tr>
      <w:tr w:rsidR="00A70FB7" w:rsidRPr="00037AC4" w14:paraId="40C986A7" w14:textId="77777777" w:rsidTr="00281660">
        <w:tc>
          <w:tcPr>
            <w:tcW w:w="7121" w:type="dxa"/>
            <w:vAlign w:val="center"/>
          </w:tcPr>
          <w:p w14:paraId="2CED208F" w14:textId="77777777" w:rsidR="00A70FB7" w:rsidRPr="00037AC4" w:rsidRDefault="00A70FB7" w:rsidP="003768B6">
            <w:pPr>
              <w:spacing w:before="60" w:after="60" w:line="276" w:lineRule="auto"/>
              <w:jc w:val="right"/>
              <w:rPr>
                <w:rFonts w:eastAsia="Times New Roman" w:cstheme="minorHAnsi"/>
                <w:i/>
                <w:sz w:val="18"/>
                <w:szCs w:val="18"/>
              </w:rPr>
            </w:pPr>
            <w:permStart w:id="910448463" w:edGrp="everyone" w:colFirst="1" w:colLast="1"/>
            <w:permEnd w:id="1717009645"/>
            <w:r w:rsidRPr="00037AC4">
              <w:rPr>
                <w:rFonts w:eastAsia="Times New Roman" w:cstheme="minorHAnsi"/>
                <w:i/>
                <w:sz w:val="18"/>
                <w:szCs w:val="18"/>
              </w:rPr>
              <w:t>Baseline investigation and monitoring as set out in the shared care documents have been completed and were satisfactory</w:t>
            </w:r>
          </w:p>
        </w:tc>
        <w:tc>
          <w:tcPr>
            <w:tcW w:w="1939" w:type="dxa"/>
            <w:vAlign w:val="center"/>
          </w:tcPr>
          <w:p w14:paraId="2006D296"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Yes  /  No</w:t>
            </w:r>
          </w:p>
        </w:tc>
      </w:tr>
      <w:tr w:rsidR="00A70FB7" w:rsidRPr="00037AC4" w14:paraId="07ABBB31" w14:textId="77777777" w:rsidTr="00281660">
        <w:tc>
          <w:tcPr>
            <w:tcW w:w="7121" w:type="dxa"/>
            <w:vAlign w:val="center"/>
          </w:tcPr>
          <w:p w14:paraId="0E3F9D6C" w14:textId="77777777" w:rsidR="00A70FB7" w:rsidRPr="00037AC4" w:rsidRDefault="00A70FB7" w:rsidP="003768B6">
            <w:pPr>
              <w:spacing w:before="60" w:after="60" w:line="276" w:lineRule="auto"/>
              <w:jc w:val="right"/>
              <w:rPr>
                <w:rFonts w:eastAsia="Times New Roman" w:cstheme="minorHAnsi"/>
                <w:i/>
                <w:sz w:val="18"/>
                <w:szCs w:val="18"/>
              </w:rPr>
            </w:pPr>
            <w:permStart w:id="1536099787" w:edGrp="everyone" w:colFirst="1" w:colLast="1"/>
            <w:permEnd w:id="910448463"/>
            <w:r w:rsidRPr="00037AC4">
              <w:rPr>
                <w:rFonts w:eastAsia="Times New Roman" w:cstheme="minorHAnsi"/>
                <w:i/>
                <w:sz w:val="18"/>
                <w:szCs w:val="18"/>
              </w:rPr>
              <w:t>The condition being treated has a predictable course of progression and the patient can be suitably maintained by primary care</w:t>
            </w:r>
          </w:p>
        </w:tc>
        <w:tc>
          <w:tcPr>
            <w:tcW w:w="1939" w:type="dxa"/>
            <w:vAlign w:val="center"/>
          </w:tcPr>
          <w:p w14:paraId="3986E92A"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Yes  /  No</w:t>
            </w:r>
          </w:p>
        </w:tc>
      </w:tr>
      <w:tr w:rsidR="00A70FB7" w:rsidRPr="00037AC4" w14:paraId="60B45DBC" w14:textId="77777777" w:rsidTr="00281660">
        <w:tc>
          <w:tcPr>
            <w:tcW w:w="7121" w:type="dxa"/>
            <w:vAlign w:val="center"/>
          </w:tcPr>
          <w:p w14:paraId="6238EC7D" w14:textId="77777777" w:rsidR="00A70FB7" w:rsidRPr="00037AC4" w:rsidRDefault="00A70FB7" w:rsidP="003768B6">
            <w:pPr>
              <w:spacing w:before="60" w:after="60" w:line="276" w:lineRule="auto"/>
              <w:jc w:val="right"/>
              <w:rPr>
                <w:rFonts w:eastAsia="Times New Roman" w:cstheme="minorHAnsi"/>
                <w:i/>
                <w:sz w:val="18"/>
                <w:szCs w:val="18"/>
              </w:rPr>
            </w:pPr>
            <w:permStart w:id="1015823955" w:edGrp="everyone" w:colFirst="1" w:colLast="1"/>
            <w:permEnd w:id="1536099787"/>
            <w:r w:rsidRPr="00037AC4">
              <w:rPr>
                <w:rFonts w:eastAsia="Times New Roman" w:cstheme="minorHAnsi"/>
                <w:i/>
                <w:sz w:val="18"/>
                <w:szCs w:val="18"/>
              </w:rPr>
              <w:t>The risks and benefits of treatment have been explained to the patient</w:t>
            </w:r>
          </w:p>
        </w:tc>
        <w:tc>
          <w:tcPr>
            <w:tcW w:w="1939" w:type="dxa"/>
            <w:vAlign w:val="center"/>
          </w:tcPr>
          <w:p w14:paraId="3CD55F43" w14:textId="77777777" w:rsidR="00A70FB7" w:rsidRPr="00037AC4" w:rsidRDefault="00A70FB7" w:rsidP="003768B6">
            <w:pPr>
              <w:spacing w:before="60" w:after="60" w:line="276" w:lineRule="auto"/>
              <w:jc w:val="right"/>
              <w:rPr>
                <w:i/>
                <w:sz w:val="18"/>
                <w:szCs w:val="18"/>
              </w:rPr>
            </w:pPr>
            <w:r w:rsidRPr="00037AC4">
              <w:rPr>
                <w:i/>
                <w:sz w:val="18"/>
                <w:szCs w:val="18"/>
              </w:rPr>
              <w:t>Yes  /  No</w:t>
            </w:r>
          </w:p>
        </w:tc>
      </w:tr>
      <w:tr w:rsidR="00A70FB7" w:rsidRPr="00037AC4" w14:paraId="3DA9B5F4" w14:textId="77777777" w:rsidTr="00281660">
        <w:tc>
          <w:tcPr>
            <w:tcW w:w="7121" w:type="dxa"/>
            <w:vAlign w:val="center"/>
          </w:tcPr>
          <w:p w14:paraId="027CF1AF" w14:textId="77777777" w:rsidR="00A70FB7" w:rsidRPr="00037AC4" w:rsidRDefault="00A70FB7" w:rsidP="003768B6">
            <w:pPr>
              <w:spacing w:before="60" w:after="60" w:line="276" w:lineRule="auto"/>
              <w:jc w:val="right"/>
              <w:rPr>
                <w:rFonts w:eastAsia="Times New Roman" w:cstheme="minorHAnsi"/>
                <w:i/>
                <w:sz w:val="18"/>
                <w:szCs w:val="18"/>
              </w:rPr>
            </w:pPr>
            <w:permStart w:id="1513756795" w:edGrp="everyone" w:colFirst="1" w:colLast="1"/>
            <w:permEnd w:id="1015823955"/>
            <w:r w:rsidRPr="00037AC4">
              <w:rPr>
                <w:rFonts w:eastAsia="Times New Roman" w:cstheme="minorHAnsi"/>
                <w:i/>
                <w:sz w:val="18"/>
                <w:szCs w:val="18"/>
              </w:rPr>
              <w:t>The roles of the specialist/specialist team/</w:t>
            </w:r>
            <w:r w:rsidRPr="00037AC4">
              <w:rPr>
                <w:sz w:val="18"/>
                <w:szCs w:val="18"/>
              </w:rPr>
              <w:t xml:space="preserve"> </w:t>
            </w:r>
            <w:r w:rsidRPr="00037AC4">
              <w:rPr>
                <w:rFonts w:eastAsia="Times New Roman" w:cstheme="minorHAnsi"/>
                <w:i/>
                <w:sz w:val="18"/>
                <w:szCs w:val="18"/>
              </w:rPr>
              <w:t>Primary Care Prescriber / Patient and pharmacist have been explained and agreed</w:t>
            </w:r>
          </w:p>
        </w:tc>
        <w:tc>
          <w:tcPr>
            <w:tcW w:w="1939" w:type="dxa"/>
            <w:vAlign w:val="center"/>
          </w:tcPr>
          <w:p w14:paraId="0E5067C5" w14:textId="77777777" w:rsidR="00A70FB7" w:rsidRPr="00037AC4" w:rsidRDefault="00A70FB7" w:rsidP="003768B6">
            <w:pPr>
              <w:spacing w:before="60" w:after="60" w:line="276" w:lineRule="auto"/>
              <w:jc w:val="right"/>
              <w:rPr>
                <w:i/>
                <w:sz w:val="18"/>
                <w:szCs w:val="18"/>
              </w:rPr>
            </w:pPr>
            <w:r w:rsidRPr="00037AC4">
              <w:rPr>
                <w:i/>
                <w:sz w:val="18"/>
                <w:szCs w:val="18"/>
              </w:rPr>
              <w:t>Yes  /  No</w:t>
            </w:r>
          </w:p>
        </w:tc>
      </w:tr>
      <w:tr w:rsidR="00A70FB7" w:rsidRPr="00037AC4" w14:paraId="1E66E4B6" w14:textId="77777777" w:rsidTr="00281660">
        <w:tc>
          <w:tcPr>
            <w:tcW w:w="7121" w:type="dxa"/>
            <w:vAlign w:val="center"/>
          </w:tcPr>
          <w:p w14:paraId="32B623C3" w14:textId="77777777" w:rsidR="00A70FB7" w:rsidRPr="00037AC4" w:rsidRDefault="00A70FB7" w:rsidP="003768B6">
            <w:pPr>
              <w:spacing w:before="60" w:after="60" w:line="276" w:lineRule="auto"/>
              <w:jc w:val="right"/>
              <w:rPr>
                <w:rFonts w:eastAsia="Times New Roman" w:cstheme="minorHAnsi"/>
                <w:i/>
                <w:sz w:val="18"/>
                <w:szCs w:val="18"/>
              </w:rPr>
            </w:pPr>
            <w:permStart w:id="1378433980" w:edGrp="everyone" w:colFirst="1" w:colLast="1"/>
            <w:permEnd w:id="1513756795"/>
            <w:r w:rsidRPr="00037AC4">
              <w:rPr>
                <w:rFonts w:eastAsia="Times New Roman" w:cstheme="minorHAnsi"/>
                <w:i/>
                <w:sz w:val="18"/>
                <w:szCs w:val="18"/>
              </w:rPr>
              <w:t>The patient has agreed to this shared care arrangement, understands the need for ongoing monitoring, and has agreed to attend all necessary appointments</w:t>
            </w:r>
          </w:p>
        </w:tc>
        <w:tc>
          <w:tcPr>
            <w:tcW w:w="1939" w:type="dxa"/>
            <w:vAlign w:val="center"/>
          </w:tcPr>
          <w:p w14:paraId="1086CCAE" w14:textId="77777777" w:rsidR="00A70FB7" w:rsidRPr="00037AC4" w:rsidRDefault="00A70FB7" w:rsidP="003768B6">
            <w:pPr>
              <w:spacing w:before="60" w:after="60" w:line="276" w:lineRule="auto"/>
              <w:jc w:val="right"/>
              <w:rPr>
                <w:i/>
                <w:sz w:val="18"/>
                <w:szCs w:val="18"/>
              </w:rPr>
            </w:pPr>
            <w:r w:rsidRPr="00037AC4">
              <w:rPr>
                <w:i/>
                <w:sz w:val="18"/>
                <w:szCs w:val="18"/>
              </w:rPr>
              <w:t>Yes  /  No</w:t>
            </w:r>
          </w:p>
        </w:tc>
      </w:tr>
      <w:tr w:rsidR="00A70FB7" w:rsidRPr="00037AC4" w14:paraId="3F659E83" w14:textId="77777777" w:rsidTr="00281660">
        <w:tc>
          <w:tcPr>
            <w:tcW w:w="7121" w:type="dxa"/>
            <w:vAlign w:val="center"/>
          </w:tcPr>
          <w:p w14:paraId="6C60E81D" w14:textId="77777777" w:rsidR="00A70FB7" w:rsidRPr="00037AC4" w:rsidRDefault="00A70FB7" w:rsidP="003768B6">
            <w:pPr>
              <w:spacing w:before="60" w:after="60" w:line="276" w:lineRule="auto"/>
              <w:jc w:val="right"/>
              <w:rPr>
                <w:rFonts w:eastAsia="Times New Roman" w:cstheme="minorHAnsi"/>
                <w:i/>
                <w:sz w:val="18"/>
                <w:szCs w:val="18"/>
              </w:rPr>
            </w:pPr>
            <w:permStart w:id="214710632" w:edGrp="everyone" w:colFirst="1" w:colLast="1"/>
            <w:permEnd w:id="1378433980"/>
            <w:r w:rsidRPr="00037AC4">
              <w:rPr>
                <w:rFonts w:eastAsia="Times New Roman" w:cstheme="minorHAnsi"/>
                <w:i/>
                <w:sz w:val="18"/>
                <w:szCs w:val="18"/>
              </w:rPr>
              <w:t xml:space="preserve">I have enclosed a copy of the shared care protocol  which covers this treatment/the SCP can be found here </w:t>
            </w:r>
            <w:permStart w:id="262548172" w:edGrp="everyone"/>
            <w:r w:rsidRPr="00037AC4">
              <w:rPr>
                <w:rFonts w:eastAsia="Times New Roman" w:cstheme="minorHAnsi"/>
                <w:i/>
                <w:sz w:val="18"/>
                <w:szCs w:val="18"/>
              </w:rPr>
              <w:t>(insert electronic/ web link</w:t>
            </w:r>
            <w:permEnd w:id="262548172"/>
            <w:r w:rsidRPr="00037AC4">
              <w:rPr>
                <w:rFonts w:eastAsia="Times New Roman" w:cstheme="minorHAnsi"/>
                <w:i/>
                <w:sz w:val="18"/>
                <w:szCs w:val="18"/>
              </w:rPr>
              <w:t>)</w:t>
            </w:r>
          </w:p>
        </w:tc>
        <w:tc>
          <w:tcPr>
            <w:tcW w:w="1939" w:type="dxa"/>
            <w:vAlign w:val="center"/>
          </w:tcPr>
          <w:p w14:paraId="5CB5A41C" w14:textId="77777777" w:rsidR="00A70FB7" w:rsidRPr="00037AC4" w:rsidRDefault="00A70FB7" w:rsidP="003768B6">
            <w:pPr>
              <w:spacing w:before="60" w:after="60" w:line="276" w:lineRule="auto"/>
              <w:jc w:val="right"/>
              <w:rPr>
                <w:i/>
                <w:sz w:val="18"/>
                <w:szCs w:val="18"/>
              </w:rPr>
            </w:pPr>
            <w:r w:rsidRPr="00037AC4">
              <w:rPr>
                <w:i/>
                <w:sz w:val="18"/>
                <w:szCs w:val="18"/>
              </w:rPr>
              <w:t>Yes  /  No</w:t>
            </w:r>
          </w:p>
        </w:tc>
      </w:tr>
      <w:tr w:rsidR="00A70FB7" w:rsidRPr="00037AC4" w14:paraId="3CAE6F9B" w14:textId="77777777" w:rsidTr="00281660">
        <w:tc>
          <w:tcPr>
            <w:tcW w:w="7121" w:type="dxa"/>
            <w:vAlign w:val="center"/>
          </w:tcPr>
          <w:p w14:paraId="387EE759" w14:textId="77777777" w:rsidR="00A70FB7" w:rsidRPr="00037AC4" w:rsidRDefault="00A70FB7" w:rsidP="003768B6">
            <w:pPr>
              <w:spacing w:before="60" w:after="60" w:line="276" w:lineRule="auto"/>
              <w:jc w:val="right"/>
              <w:rPr>
                <w:rFonts w:eastAsia="Times New Roman" w:cstheme="minorHAnsi"/>
                <w:i/>
                <w:sz w:val="18"/>
                <w:szCs w:val="18"/>
              </w:rPr>
            </w:pPr>
            <w:permStart w:id="1153771153" w:edGrp="everyone" w:colFirst="1" w:colLast="1"/>
            <w:permEnd w:id="214710632"/>
            <w:r w:rsidRPr="00037AC4">
              <w:rPr>
                <w:rFonts w:eastAsia="Times New Roman" w:cstheme="minorHAnsi"/>
                <w:i/>
                <w:sz w:val="18"/>
                <w:szCs w:val="18"/>
              </w:rPr>
              <w:t>I have included with the letter copies of the information the patient has received</w:t>
            </w:r>
          </w:p>
        </w:tc>
        <w:tc>
          <w:tcPr>
            <w:tcW w:w="1939" w:type="dxa"/>
            <w:vAlign w:val="center"/>
          </w:tcPr>
          <w:p w14:paraId="777E206A" w14:textId="77777777" w:rsidR="00A70FB7" w:rsidRPr="00037AC4" w:rsidRDefault="00A70FB7" w:rsidP="003768B6">
            <w:pPr>
              <w:spacing w:before="60" w:after="60" w:line="276" w:lineRule="auto"/>
              <w:jc w:val="right"/>
              <w:rPr>
                <w:i/>
                <w:sz w:val="18"/>
                <w:szCs w:val="18"/>
              </w:rPr>
            </w:pPr>
            <w:r w:rsidRPr="00037AC4">
              <w:rPr>
                <w:i/>
                <w:sz w:val="18"/>
                <w:szCs w:val="18"/>
              </w:rPr>
              <w:t>Yes  /  No</w:t>
            </w:r>
          </w:p>
        </w:tc>
      </w:tr>
      <w:tr w:rsidR="00A70FB7" w:rsidRPr="00037AC4" w14:paraId="56B21573" w14:textId="77777777" w:rsidTr="00281660">
        <w:tc>
          <w:tcPr>
            <w:tcW w:w="7121" w:type="dxa"/>
            <w:vAlign w:val="center"/>
          </w:tcPr>
          <w:p w14:paraId="0AFC52C5" w14:textId="77777777" w:rsidR="00A70FB7" w:rsidRPr="00037AC4" w:rsidRDefault="00A70FB7" w:rsidP="003768B6">
            <w:pPr>
              <w:spacing w:before="60" w:after="60" w:line="276" w:lineRule="auto"/>
              <w:jc w:val="right"/>
              <w:rPr>
                <w:rFonts w:eastAsia="Times New Roman" w:cstheme="minorHAnsi"/>
                <w:i/>
                <w:sz w:val="18"/>
                <w:szCs w:val="18"/>
              </w:rPr>
            </w:pPr>
            <w:permStart w:id="244058052" w:edGrp="everyone" w:colFirst="1" w:colLast="1"/>
            <w:permEnd w:id="1153771153"/>
            <w:r w:rsidRPr="00037AC4">
              <w:rPr>
                <w:rFonts w:eastAsia="Times New Roman" w:cstheme="minorHAnsi"/>
                <w:i/>
                <w:sz w:val="18"/>
                <w:szCs w:val="18"/>
              </w:rPr>
              <w:t>I have provided the patient with sufficient medication to last until</w:t>
            </w:r>
          </w:p>
        </w:tc>
        <w:tc>
          <w:tcPr>
            <w:tcW w:w="1939" w:type="dxa"/>
          </w:tcPr>
          <w:p w14:paraId="0D0011A8" w14:textId="77777777" w:rsidR="00A70FB7" w:rsidRPr="00037AC4" w:rsidRDefault="00A70FB7" w:rsidP="00404041">
            <w:pPr>
              <w:spacing w:before="60" w:after="60" w:line="276" w:lineRule="auto"/>
              <w:rPr>
                <w:rFonts w:eastAsia="Times New Roman" w:cstheme="minorHAnsi"/>
                <w:i/>
                <w:sz w:val="18"/>
                <w:szCs w:val="18"/>
              </w:rPr>
            </w:pPr>
          </w:p>
        </w:tc>
      </w:tr>
      <w:tr w:rsidR="00A70FB7" w:rsidRPr="00037AC4" w14:paraId="39F444A2" w14:textId="77777777" w:rsidTr="00281660">
        <w:tc>
          <w:tcPr>
            <w:tcW w:w="7121" w:type="dxa"/>
            <w:vAlign w:val="center"/>
          </w:tcPr>
          <w:p w14:paraId="08EDB832" w14:textId="77777777" w:rsidR="00A70FB7" w:rsidRPr="00037AC4" w:rsidRDefault="00A70FB7" w:rsidP="003768B6">
            <w:pPr>
              <w:spacing w:before="60" w:after="60" w:line="276" w:lineRule="auto"/>
              <w:jc w:val="right"/>
              <w:rPr>
                <w:rFonts w:eastAsia="Times New Roman" w:cstheme="minorHAnsi"/>
                <w:i/>
                <w:sz w:val="18"/>
                <w:szCs w:val="18"/>
              </w:rPr>
            </w:pPr>
            <w:permStart w:id="1537816054" w:edGrp="everyone" w:colFirst="1" w:colLast="1"/>
            <w:permEnd w:id="244058052"/>
            <w:r w:rsidRPr="00037AC4">
              <w:rPr>
                <w:rFonts w:eastAsia="Times New Roman" w:cstheme="minorHAnsi"/>
                <w:i/>
                <w:sz w:val="18"/>
                <w:szCs w:val="18"/>
              </w:rPr>
              <w:t>I have arranged a follow up with this patient in the following timescale</w:t>
            </w:r>
          </w:p>
        </w:tc>
        <w:tc>
          <w:tcPr>
            <w:tcW w:w="1939" w:type="dxa"/>
          </w:tcPr>
          <w:p w14:paraId="22BFFA5B" w14:textId="77777777" w:rsidR="00A70FB7" w:rsidRPr="00037AC4" w:rsidRDefault="00A70FB7" w:rsidP="00404041">
            <w:pPr>
              <w:spacing w:before="60" w:after="60" w:line="276" w:lineRule="auto"/>
              <w:rPr>
                <w:rFonts w:eastAsia="Times New Roman" w:cstheme="minorHAnsi"/>
                <w:i/>
                <w:sz w:val="18"/>
                <w:szCs w:val="18"/>
              </w:rPr>
            </w:pPr>
          </w:p>
        </w:tc>
      </w:tr>
      <w:permEnd w:id="1537816054"/>
    </w:tbl>
    <w:p w14:paraId="0B4BC019" w14:textId="77777777" w:rsidR="00404041" w:rsidRDefault="00404041" w:rsidP="00281660">
      <w:pPr>
        <w:spacing w:after="60"/>
        <w:rPr>
          <w:rFonts w:eastAsia="Calibri" w:cs="Times New Roman"/>
          <w:szCs w:val="24"/>
        </w:rPr>
      </w:pPr>
    </w:p>
    <w:p w14:paraId="42685D0E" w14:textId="2834C3E4" w:rsidR="00281660" w:rsidRPr="006C3BBB" w:rsidRDefault="00281660" w:rsidP="00281660">
      <w:pPr>
        <w:spacing w:after="60"/>
        <w:rPr>
          <w:rFonts w:eastAsia="Calibri" w:cs="Times New Roman"/>
          <w:szCs w:val="24"/>
        </w:rPr>
      </w:pPr>
      <w:r w:rsidRPr="006C3BBB">
        <w:rPr>
          <w:rFonts w:eastAsia="Calibri" w:cs="Times New Roman"/>
          <w:szCs w:val="24"/>
        </w:rPr>
        <w:lastRenderedPageBreak/>
        <w:t xml:space="preserve">Treatment was started on </w:t>
      </w:r>
      <w:permStart w:id="333514311" w:edGrp="everyone"/>
      <w:r w:rsidRPr="006C3BBB">
        <w:rPr>
          <w:rFonts w:eastAsia="Calibri" w:cs="Times New Roman"/>
          <w:i/>
          <w:iCs/>
          <w:szCs w:val="24"/>
        </w:rPr>
        <w:t>insert date started</w:t>
      </w:r>
      <w:r w:rsidRPr="006C3BBB">
        <w:rPr>
          <w:rFonts w:eastAsia="Calibri" w:cs="Times New Roman"/>
          <w:szCs w:val="24"/>
        </w:rPr>
        <w:t xml:space="preserve"> </w:t>
      </w:r>
      <w:permEnd w:id="333514311"/>
      <w:r w:rsidRPr="006C3BBB">
        <w:rPr>
          <w:rFonts w:eastAsia="Calibri" w:cs="Times New Roman"/>
          <w:szCs w:val="24"/>
        </w:rPr>
        <w:t xml:space="preserve">and the current dose is </w:t>
      </w:r>
      <w:r w:rsidRPr="006C3BBB">
        <w:rPr>
          <w:rFonts w:eastAsia="Calibri" w:cs="Times New Roman"/>
          <w:i/>
          <w:iCs/>
          <w:szCs w:val="24"/>
        </w:rPr>
        <w:t>i</w:t>
      </w:r>
      <w:permStart w:id="1249190602" w:edGrp="everyone"/>
      <w:r w:rsidRPr="006C3BBB">
        <w:rPr>
          <w:rFonts w:eastAsia="Calibri" w:cs="Times New Roman"/>
          <w:i/>
          <w:iCs/>
          <w:szCs w:val="24"/>
        </w:rPr>
        <w:t>nsert dose and frequency</w:t>
      </w:r>
      <w:permEnd w:id="1249190602"/>
    </w:p>
    <w:p w14:paraId="5DDB03F7" w14:textId="77777777" w:rsidR="00404041" w:rsidRDefault="00404041" w:rsidP="00281660">
      <w:pPr>
        <w:spacing w:after="60"/>
        <w:rPr>
          <w:rFonts w:eastAsia="Times New Roman" w:cs="Calibri"/>
          <w:szCs w:val="24"/>
        </w:rPr>
      </w:pPr>
    </w:p>
    <w:p w14:paraId="38C6C2E5" w14:textId="73F374F6" w:rsidR="00281660" w:rsidRPr="006C3BBB" w:rsidRDefault="00281660" w:rsidP="00281660">
      <w:pPr>
        <w:spacing w:after="60"/>
        <w:rPr>
          <w:rFonts w:eastAsia="Times New Roman" w:cs="Calibri"/>
          <w:szCs w:val="24"/>
        </w:rPr>
      </w:pPr>
      <w:r w:rsidRPr="006C3BBB">
        <w:rPr>
          <w:rFonts w:eastAsia="Times New Roman" w:cs="Calibri"/>
          <w:szCs w:val="24"/>
        </w:rPr>
        <w:t>If you are in agreement, please undertake monitoring and treatment from</w:t>
      </w:r>
      <w:r>
        <w:rPr>
          <w:rFonts w:eastAsia="Times New Roman" w:cs="Calibri"/>
          <w:szCs w:val="24"/>
        </w:rPr>
        <w:t xml:space="preserve"> </w:t>
      </w:r>
      <w:permStart w:id="249715517" w:edGrp="everyone"/>
      <w:r w:rsidRPr="006C3BBB">
        <w:rPr>
          <w:rFonts w:eastAsia="Times New Roman" w:cs="Calibri"/>
          <w:i/>
          <w:iCs/>
          <w:szCs w:val="24"/>
        </w:rPr>
        <w:t>insert date</w:t>
      </w:r>
      <w:r>
        <w:rPr>
          <w:rFonts w:eastAsia="Times New Roman" w:cs="Calibri"/>
          <w:i/>
          <w:iCs/>
          <w:szCs w:val="24"/>
        </w:rPr>
        <w:t xml:space="preserve"> </w:t>
      </w:r>
      <w:permEnd w:id="249715517"/>
      <w:r w:rsidRPr="006C3BBB">
        <w:rPr>
          <w:rFonts w:eastAsia="Times New Roman" w:cs="Calibri"/>
          <w:szCs w:val="24"/>
        </w:rPr>
        <w:t xml:space="preserve">NB: date must be at </w:t>
      </w:r>
      <w:r w:rsidRPr="004A0BB0">
        <w:rPr>
          <w:rFonts w:eastAsia="Times New Roman" w:cs="Calibri"/>
          <w:szCs w:val="24"/>
        </w:rPr>
        <w:t xml:space="preserve">least 3 months </w:t>
      </w:r>
      <w:r w:rsidRPr="006C3BBB">
        <w:rPr>
          <w:rFonts w:eastAsia="Times New Roman" w:cs="Calibri"/>
          <w:szCs w:val="24"/>
        </w:rPr>
        <w:t>from initiation of treatment.</w:t>
      </w:r>
    </w:p>
    <w:p w14:paraId="3C2F98BE" w14:textId="77777777" w:rsidR="00281660" w:rsidRDefault="00281660" w:rsidP="00281660">
      <w:pPr>
        <w:spacing w:after="60" w:line="276" w:lineRule="auto"/>
        <w:rPr>
          <w:rFonts w:eastAsia="Times New Roman" w:cs="Arial"/>
          <w:szCs w:val="24"/>
        </w:rPr>
      </w:pPr>
    </w:p>
    <w:p w14:paraId="09038ACB" w14:textId="77777777" w:rsidR="00281660" w:rsidRPr="006C3BBB" w:rsidRDefault="00281660" w:rsidP="00281660">
      <w:pPr>
        <w:spacing w:after="60"/>
        <w:rPr>
          <w:rFonts w:eastAsia="Times New Roman" w:cs="Calibri"/>
          <w:szCs w:val="24"/>
        </w:rPr>
      </w:pPr>
      <w:r w:rsidRPr="006C3BBB">
        <w:rPr>
          <w:rFonts w:eastAsia="Times New Roman" w:cs="Calibri"/>
          <w:szCs w:val="24"/>
        </w:rPr>
        <w:t xml:space="preserve">The next blood monitoring is due on </w:t>
      </w:r>
      <w:permStart w:id="1837704900" w:edGrp="everyone"/>
      <w:r w:rsidRPr="006C3BBB">
        <w:rPr>
          <w:rFonts w:eastAsia="Times New Roman" w:cs="Calibri"/>
          <w:i/>
          <w:iCs/>
          <w:szCs w:val="24"/>
        </w:rPr>
        <w:t>insert date</w:t>
      </w:r>
      <w:r w:rsidRPr="006C3BBB">
        <w:rPr>
          <w:rFonts w:eastAsia="Calibri" w:cs="Times New Roman"/>
          <w:i/>
          <w:szCs w:val="24"/>
        </w:rPr>
        <w:t xml:space="preserve"> </w:t>
      </w:r>
      <w:permEnd w:id="1837704900"/>
      <w:r w:rsidRPr="006C3BBB">
        <w:rPr>
          <w:rFonts w:eastAsia="Times New Roman" w:cs="Calibri"/>
          <w:szCs w:val="24"/>
        </w:rPr>
        <w:t>and should be continued in line with the shared care guideline.</w:t>
      </w:r>
    </w:p>
    <w:p w14:paraId="67F03216" w14:textId="77777777" w:rsidR="00281660" w:rsidRDefault="00281660" w:rsidP="00281660">
      <w:pPr>
        <w:spacing w:after="60"/>
        <w:rPr>
          <w:rFonts w:eastAsia="Times New Roman" w:cs="Calibri"/>
          <w:szCs w:val="24"/>
        </w:rPr>
      </w:pPr>
    </w:p>
    <w:p w14:paraId="140CCFD9" w14:textId="3B6B0745" w:rsidR="00281660" w:rsidRPr="00037AC4" w:rsidRDefault="00281660" w:rsidP="00281660">
      <w:pPr>
        <w:spacing w:after="60"/>
        <w:rPr>
          <w:szCs w:val="24"/>
        </w:rPr>
      </w:pPr>
      <w:r w:rsidRPr="00037AC4">
        <w:rPr>
          <w:rFonts w:eastAsia="Times New Roman" w:cstheme="minorHAnsi"/>
          <w:szCs w:val="24"/>
        </w:rPr>
        <w:t>Please respond to this request for shared care, in writing, within 14 days of the request being made where possible.</w:t>
      </w:r>
    </w:p>
    <w:p w14:paraId="25CDF813" w14:textId="77777777" w:rsidR="003768B6" w:rsidRPr="00037AC4" w:rsidRDefault="003768B6">
      <w:pPr>
        <w:rPr>
          <w:rFonts w:cstheme="minorHAnsi"/>
          <w:b/>
          <w:bCs/>
          <w:color w:val="005EB8"/>
          <w:sz w:val="32"/>
        </w:rPr>
      </w:pPr>
      <w:r w:rsidRPr="00037AC4">
        <w:br w:type="page"/>
      </w:r>
    </w:p>
    <w:p w14:paraId="34347BEC" w14:textId="01D6745D" w:rsidR="00A70FB7" w:rsidRPr="00037AC4" w:rsidRDefault="005F6358" w:rsidP="00A70FB7">
      <w:pPr>
        <w:pStyle w:val="Heading1"/>
        <w:numPr>
          <w:ilvl w:val="0"/>
          <w:numId w:val="0"/>
        </w:numPr>
      </w:pPr>
      <w:r w:rsidRPr="00037AC4">
        <w:lastRenderedPageBreak/>
        <w:t xml:space="preserve">Appendix </w:t>
      </w:r>
      <w:bookmarkEnd w:id="25"/>
      <w:r w:rsidRPr="00037AC4">
        <w:t>2: Shared Care Agreement Letter (Primary Care Prescriber to Specialist)</w:t>
      </w:r>
      <w:bookmarkEnd w:id="26"/>
    </w:p>
    <w:p w14:paraId="5C82DF87" w14:textId="77777777" w:rsidR="00A70FB7" w:rsidRPr="00037AC4" w:rsidRDefault="00A70FB7" w:rsidP="00A70FB7">
      <w:pPr>
        <w:rPr>
          <w:rFonts w:cs="Arial"/>
          <w:b/>
        </w:rPr>
      </w:pPr>
      <w:r w:rsidRPr="00037AC4">
        <w:rPr>
          <w:rFonts w:cs="Arial"/>
          <w:b/>
        </w:rPr>
        <w:t>Primary Care Prescriber Response</w:t>
      </w:r>
    </w:p>
    <w:p w14:paraId="1B9A36B7" w14:textId="77777777" w:rsidR="00AB4977" w:rsidRPr="006C3BBB" w:rsidRDefault="00AB4977" w:rsidP="00AB4977">
      <w:pPr>
        <w:rPr>
          <w:rFonts w:eastAsia="Times New Roman" w:cs="Arial"/>
          <w:szCs w:val="24"/>
        </w:rPr>
      </w:pPr>
      <w:r w:rsidRPr="006C3BBB">
        <w:rPr>
          <w:rFonts w:eastAsia="Times New Roman" w:cs="Arial"/>
          <w:szCs w:val="24"/>
        </w:rPr>
        <w:t>Dear</w:t>
      </w:r>
      <w:r>
        <w:rPr>
          <w:rFonts w:eastAsia="Times New Roman" w:cs="Arial"/>
          <w:szCs w:val="24"/>
        </w:rPr>
        <w:t xml:space="preserve"> </w:t>
      </w:r>
      <w:permStart w:id="1048916022" w:edGrp="everyone"/>
      <w:r w:rsidRPr="006C3BBB">
        <w:rPr>
          <w:rFonts w:eastAsia="Times New Roman" w:cs="Arial"/>
          <w:i/>
          <w:iCs/>
          <w:szCs w:val="24"/>
        </w:rPr>
        <w:t>insert Doctor's name</w:t>
      </w:r>
    </w:p>
    <w:permEnd w:id="1048916022"/>
    <w:p w14:paraId="0631DC28" w14:textId="77777777" w:rsidR="00AB4977" w:rsidRPr="006C3BBB" w:rsidRDefault="00AB4977" w:rsidP="00AB4977">
      <w:pPr>
        <w:rPr>
          <w:rFonts w:eastAsia="Times New Roman" w:cs="Arial"/>
          <w:i/>
          <w:szCs w:val="24"/>
        </w:rPr>
      </w:pPr>
      <w:r w:rsidRPr="006C3BBB">
        <w:rPr>
          <w:rFonts w:eastAsia="Times New Roman" w:cs="Arial"/>
          <w:szCs w:val="24"/>
        </w:rPr>
        <w:t xml:space="preserve">Patient: </w:t>
      </w:r>
      <w:permStart w:id="1444556661" w:edGrp="everyone"/>
      <w:r w:rsidRPr="006C3BBB">
        <w:rPr>
          <w:rFonts w:eastAsia="Times New Roman" w:cs="Arial"/>
          <w:i/>
          <w:iCs/>
          <w:szCs w:val="24"/>
        </w:rPr>
        <w:t>insert Patient's name</w:t>
      </w:r>
      <w:permEnd w:id="1444556661"/>
    </w:p>
    <w:p w14:paraId="41D79D8F" w14:textId="5F6A6DA4" w:rsidR="00AB4977" w:rsidRPr="006C3BBB" w:rsidRDefault="00AB4977" w:rsidP="00AB4977">
      <w:pPr>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1570724842" w:edGrp="everyone"/>
      <w:r w:rsidRPr="006C3BBB">
        <w:rPr>
          <w:rFonts w:eastAsia="Times New Roman" w:cs="Arial"/>
          <w:i/>
          <w:iCs/>
          <w:szCs w:val="24"/>
        </w:rPr>
        <w:t>insert</w:t>
      </w:r>
      <w:r w:rsidR="00DB41D9">
        <w:t xml:space="preserve"> </w:t>
      </w:r>
      <w:r w:rsidRPr="006C3BBB">
        <w:rPr>
          <w:rFonts w:eastAsia="Times New Roman" w:cs="Arial"/>
          <w:i/>
          <w:iCs/>
          <w:szCs w:val="24"/>
        </w:rPr>
        <w:t>NHS Number</w:t>
      </w:r>
      <w:permEnd w:id="1570724842"/>
    </w:p>
    <w:p w14:paraId="07C4452E" w14:textId="77777777" w:rsidR="00AB4977" w:rsidRPr="006C3BBB" w:rsidRDefault="00AB4977" w:rsidP="00AB4977">
      <w:pPr>
        <w:rPr>
          <w:rFonts w:eastAsia="Times New Roman" w:cs="Arial"/>
          <w:i/>
          <w:iCs/>
          <w:szCs w:val="24"/>
        </w:rPr>
      </w:pPr>
      <w:r w:rsidRPr="006C3BBB">
        <w:rPr>
          <w:rFonts w:eastAsia="Times New Roman" w:cs="Arial"/>
          <w:szCs w:val="24"/>
        </w:rPr>
        <w:t xml:space="preserve">Identifier:  </w:t>
      </w:r>
      <w:permStart w:id="335240375" w:edGrp="everyone"/>
      <w:r w:rsidRPr="006C3BBB">
        <w:rPr>
          <w:rFonts w:eastAsia="Times New Roman" w:cs="Arial"/>
          <w:i/>
          <w:iCs/>
          <w:szCs w:val="24"/>
        </w:rPr>
        <w:t>insert patient's date of birth and/or address</w:t>
      </w:r>
      <w:permEnd w:id="335240375"/>
    </w:p>
    <w:p w14:paraId="79CC1DC3" w14:textId="77777777" w:rsidR="00A70FB7" w:rsidRPr="00037AC4" w:rsidRDefault="00A70FB7" w:rsidP="00A70FB7">
      <w:pPr>
        <w:rPr>
          <w:rFonts w:eastAsia="Times New Roman" w:cs="Arial"/>
        </w:rPr>
      </w:pPr>
    </w:p>
    <w:p w14:paraId="269EB78E" w14:textId="77777777" w:rsidR="00A70FB7" w:rsidRPr="00037AC4" w:rsidRDefault="00A70FB7" w:rsidP="00A70FB7">
      <w:pPr>
        <w:rPr>
          <w:rFonts w:eastAsia="Times New Roman" w:cs="Arial"/>
        </w:rPr>
      </w:pPr>
      <w:r w:rsidRPr="00037AC4">
        <w:rPr>
          <w:rFonts w:eastAsia="Times New Roman" w:cs="Arial"/>
        </w:rPr>
        <w:t>Thank you for your request for me to accept prescribing responsibility for this patient under a shared care agreement and to provide the following treatment</w:t>
      </w:r>
    </w:p>
    <w:p w14:paraId="31F483DA" w14:textId="77777777" w:rsidR="00A70FB7" w:rsidRPr="00037AC4" w:rsidRDefault="00A70FB7" w:rsidP="00A70FB7">
      <w:pPr>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A70FB7" w:rsidRPr="00037AC4" w14:paraId="5203EDA8" w14:textId="77777777" w:rsidTr="00687477">
        <w:tc>
          <w:tcPr>
            <w:tcW w:w="3320" w:type="dxa"/>
            <w:shd w:val="clear" w:color="auto" w:fill="D9D9D9" w:themeFill="background1" w:themeFillShade="D9"/>
          </w:tcPr>
          <w:p w14:paraId="0C72FDB1" w14:textId="77777777" w:rsidR="00A70FB7" w:rsidRPr="00037AC4" w:rsidRDefault="00A70FB7" w:rsidP="00A70FB7">
            <w:pPr>
              <w:spacing w:line="360" w:lineRule="atLeast"/>
              <w:jc w:val="center"/>
              <w:rPr>
                <w:rFonts w:eastAsia="Times New Roman" w:cs="Arial"/>
              </w:rPr>
            </w:pPr>
            <w:r w:rsidRPr="00037AC4">
              <w:rPr>
                <w:rFonts w:eastAsia="Times New Roman" w:cs="Arial"/>
              </w:rPr>
              <w:t>Medicine</w:t>
            </w:r>
          </w:p>
        </w:tc>
        <w:tc>
          <w:tcPr>
            <w:tcW w:w="3321" w:type="dxa"/>
            <w:shd w:val="clear" w:color="auto" w:fill="D9D9D9" w:themeFill="background1" w:themeFillShade="D9"/>
          </w:tcPr>
          <w:p w14:paraId="327B2B52" w14:textId="77777777" w:rsidR="00A70FB7" w:rsidRPr="00037AC4" w:rsidRDefault="00A70FB7" w:rsidP="00A70FB7">
            <w:pPr>
              <w:spacing w:line="360" w:lineRule="atLeast"/>
              <w:jc w:val="center"/>
              <w:rPr>
                <w:rFonts w:eastAsia="Times New Roman" w:cs="Arial"/>
              </w:rPr>
            </w:pPr>
            <w:r w:rsidRPr="00037AC4">
              <w:rPr>
                <w:rFonts w:eastAsia="Times New Roman" w:cs="Arial"/>
              </w:rPr>
              <w:t>Route</w:t>
            </w:r>
          </w:p>
        </w:tc>
        <w:tc>
          <w:tcPr>
            <w:tcW w:w="3321" w:type="dxa"/>
            <w:shd w:val="clear" w:color="auto" w:fill="D9D9D9" w:themeFill="background1" w:themeFillShade="D9"/>
          </w:tcPr>
          <w:p w14:paraId="3A39AF39" w14:textId="77777777" w:rsidR="00A70FB7" w:rsidRPr="00037AC4" w:rsidRDefault="00A70FB7" w:rsidP="00A70FB7">
            <w:pPr>
              <w:spacing w:line="360" w:lineRule="atLeast"/>
              <w:jc w:val="center"/>
              <w:rPr>
                <w:rFonts w:eastAsia="Times New Roman" w:cs="Arial"/>
              </w:rPr>
            </w:pPr>
            <w:r w:rsidRPr="00037AC4">
              <w:rPr>
                <w:rFonts w:eastAsia="Times New Roman" w:cs="Arial"/>
              </w:rPr>
              <w:t>Dose &amp; frequency</w:t>
            </w:r>
          </w:p>
        </w:tc>
      </w:tr>
      <w:tr w:rsidR="00A70FB7" w:rsidRPr="00037AC4" w14:paraId="1ABE8F29" w14:textId="77777777" w:rsidTr="00687477">
        <w:tc>
          <w:tcPr>
            <w:tcW w:w="3320" w:type="dxa"/>
          </w:tcPr>
          <w:p w14:paraId="7BC11899" w14:textId="77777777" w:rsidR="00A70FB7" w:rsidRPr="00037AC4" w:rsidRDefault="00A70FB7" w:rsidP="00A70FB7">
            <w:pPr>
              <w:spacing w:line="360" w:lineRule="atLeast"/>
              <w:rPr>
                <w:rFonts w:eastAsia="Times New Roman" w:cs="Arial"/>
              </w:rPr>
            </w:pPr>
            <w:permStart w:id="1621573101" w:edGrp="everyone" w:colFirst="0" w:colLast="0"/>
            <w:permStart w:id="177746249" w:edGrp="everyone" w:colFirst="1" w:colLast="1"/>
            <w:permStart w:id="1866995986" w:edGrp="everyone" w:colFirst="2" w:colLast="2"/>
          </w:p>
        </w:tc>
        <w:tc>
          <w:tcPr>
            <w:tcW w:w="3321" w:type="dxa"/>
          </w:tcPr>
          <w:p w14:paraId="39D9AC3B" w14:textId="77777777" w:rsidR="00A70FB7" w:rsidRPr="00037AC4" w:rsidRDefault="00A70FB7" w:rsidP="00A70FB7">
            <w:pPr>
              <w:spacing w:line="360" w:lineRule="atLeast"/>
              <w:rPr>
                <w:rFonts w:eastAsia="Times New Roman" w:cs="Arial"/>
              </w:rPr>
            </w:pPr>
          </w:p>
        </w:tc>
        <w:tc>
          <w:tcPr>
            <w:tcW w:w="3321" w:type="dxa"/>
          </w:tcPr>
          <w:p w14:paraId="6EB116A4" w14:textId="77777777" w:rsidR="00A70FB7" w:rsidRPr="00037AC4" w:rsidRDefault="00A70FB7" w:rsidP="00A70FB7">
            <w:pPr>
              <w:spacing w:line="360" w:lineRule="atLeast"/>
              <w:rPr>
                <w:rFonts w:eastAsia="Times New Roman" w:cs="Arial"/>
              </w:rPr>
            </w:pPr>
          </w:p>
        </w:tc>
      </w:tr>
      <w:permEnd w:id="1621573101"/>
      <w:permEnd w:id="177746249"/>
      <w:permEnd w:id="1866995986"/>
    </w:tbl>
    <w:p w14:paraId="1B86DBDB" w14:textId="77777777" w:rsidR="00A70FB7" w:rsidRPr="00037AC4" w:rsidRDefault="00A70FB7" w:rsidP="00A70FB7">
      <w:pPr>
        <w:rPr>
          <w:rFonts w:eastAsia="Times New Roman" w:cs="Arial"/>
        </w:rPr>
      </w:pPr>
    </w:p>
    <w:p w14:paraId="1FAD30BC" w14:textId="77777777" w:rsidR="00A70FB7" w:rsidRPr="00037AC4" w:rsidRDefault="00A70FB7" w:rsidP="00A70FB7">
      <w:pPr>
        <w:rPr>
          <w:rFonts w:eastAsia="Times New Roman" w:cs="Arial"/>
        </w:rPr>
      </w:pPr>
    </w:p>
    <w:p w14:paraId="4B84B563" w14:textId="77777777" w:rsidR="00587310" w:rsidRPr="006C3BBB" w:rsidRDefault="00587310" w:rsidP="00587310">
      <w:pPr>
        <w:rPr>
          <w:rFonts w:eastAsia="Times New Roman" w:cs="Arial"/>
        </w:rPr>
      </w:pPr>
      <w:r w:rsidRPr="104F79DE">
        <w:rPr>
          <w:rFonts w:eastAsia="Times New Roman" w:cs="Arial"/>
        </w:rPr>
        <w:t xml:space="preserve">I can confirm that I am willing to take on this responsibility from </w:t>
      </w:r>
      <w:permStart w:id="1474572122" w:edGrp="everyone"/>
      <w:r w:rsidRPr="104F79DE">
        <w:rPr>
          <w:rFonts w:eastAsia="Times New Roman" w:cs="Arial"/>
          <w:i/>
        </w:rPr>
        <w:t xml:space="preserve">insert date </w:t>
      </w:r>
      <w:permEnd w:id="1474572122"/>
      <w:r w:rsidRPr="104F79DE">
        <w:rPr>
          <w:rFonts w:eastAsia="Times New Roman" w:cs="Arial"/>
        </w:rPr>
        <w:t>and will complete the monitoring as set out in the shared care protocol for this medicine/condition.</w:t>
      </w:r>
    </w:p>
    <w:p w14:paraId="17935911" w14:textId="77777777" w:rsidR="00A70FB7" w:rsidRPr="00037AC4" w:rsidRDefault="00A70FB7" w:rsidP="00A70FB7">
      <w:pPr>
        <w:ind w:left="720"/>
        <w:rPr>
          <w:rFonts w:eastAsia="Times New Roman" w:cs="Arial"/>
          <w:bCs/>
        </w:rPr>
      </w:pPr>
    </w:p>
    <w:p w14:paraId="10E8DCD0" w14:textId="77777777" w:rsidR="00587310" w:rsidRDefault="00A70FB7" w:rsidP="00A70FB7">
      <w:pPr>
        <w:rPr>
          <w:rFonts w:eastAsia="Times New Roman" w:cs="Arial"/>
          <w:bCs/>
        </w:rPr>
      </w:pPr>
      <w:r w:rsidRPr="00037AC4">
        <w:rPr>
          <w:rFonts w:eastAsia="Times New Roman" w:cs="Arial"/>
          <w:bCs/>
        </w:rPr>
        <w:t>Primary Care Prescriber signature: _______________________________</w:t>
      </w:r>
      <w:r w:rsidRPr="00037AC4">
        <w:rPr>
          <w:rFonts w:eastAsia="Times New Roman" w:cs="Arial"/>
          <w:bCs/>
        </w:rPr>
        <w:tab/>
      </w:r>
    </w:p>
    <w:p w14:paraId="0ACCA570" w14:textId="0720D06F" w:rsidR="00A70FB7" w:rsidRPr="00037AC4" w:rsidRDefault="00A70FB7" w:rsidP="00A70FB7">
      <w:pPr>
        <w:rPr>
          <w:rFonts w:eastAsia="Times New Roman" w:cs="Arial"/>
          <w:bCs/>
        </w:rPr>
      </w:pPr>
      <w:r w:rsidRPr="00037AC4">
        <w:rPr>
          <w:rFonts w:eastAsia="Times New Roman" w:cs="Arial"/>
          <w:bCs/>
        </w:rPr>
        <w:t xml:space="preserve">Date: ____________ </w:t>
      </w:r>
    </w:p>
    <w:p w14:paraId="67F37F5E" w14:textId="77777777" w:rsidR="00A70FB7" w:rsidRPr="00037AC4" w:rsidRDefault="00A70FB7" w:rsidP="00A70FB7">
      <w:pPr>
        <w:ind w:left="720"/>
        <w:rPr>
          <w:rFonts w:eastAsia="Times New Roman" w:cs="Arial"/>
          <w:bCs/>
        </w:rPr>
      </w:pPr>
    </w:p>
    <w:p w14:paraId="036A3682" w14:textId="77777777" w:rsidR="00A70FB7" w:rsidRPr="00037AC4" w:rsidRDefault="00A70FB7" w:rsidP="00A70FB7">
      <w:pPr>
        <w:ind w:left="720"/>
        <w:rPr>
          <w:rFonts w:eastAsia="Times New Roman" w:cs="Arial"/>
          <w:bCs/>
        </w:rPr>
      </w:pPr>
    </w:p>
    <w:p w14:paraId="1CB9C849" w14:textId="77777777" w:rsidR="00A70FB7" w:rsidRPr="00037AC4" w:rsidRDefault="00A70FB7" w:rsidP="00A70FB7">
      <w:pPr>
        <w:ind w:left="720"/>
        <w:rPr>
          <w:rFonts w:eastAsia="Times New Roman" w:cs="Arial"/>
          <w:bCs/>
        </w:rPr>
      </w:pPr>
    </w:p>
    <w:p w14:paraId="1E454EB2" w14:textId="77777777" w:rsidR="00A70FB7" w:rsidRPr="00037AC4" w:rsidRDefault="00A70FB7" w:rsidP="00A70FB7">
      <w:pPr>
        <w:rPr>
          <w:rFonts w:eastAsia="Times New Roman" w:cs="Arial"/>
          <w:bCs/>
        </w:rPr>
      </w:pPr>
      <w:r w:rsidRPr="00037AC4">
        <w:rPr>
          <w:rFonts w:eastAsia="Times New Roman" w:cs="Arial"/>
          <w:bCs/>
        </w:rPr>
        <w:t>Primary Care Prescriber address/practice stamp</w:t>
      </w:r>
    </w:p>
    <w:p w14:paraId="0777EADF" w14:textId="77777777" w:rsidR="00A70FB7" w:rsidRPr="00037AC4" w:rsidRDefault="00A70FB7" w:rsidP="00A70FB7"/>
    <w:p w14:paraId="1FFAE8B0" w14:textId="77777777" w:rsidR="005F6358" w:rsidRPr="00037AC4" w:rsidRDefault="005F6358" w:rsidP="005F6358">
      <w:pPr>
        <w:rPr>
          <w:rFonts w:eastAsia="Times New Roman" w:cs="Arial"/>
          <w:b/>
          <w:bCs/>
          <w:sz w:val="32"/>
          <w:szCs w:val="20"/>
        </w:rPr>
      </w:pPr>
    </w:p>
    <w:p w14:paraId="25554DC9" w14:textId="77777777" w:rsidR="003768B6" w:rsidRPr="00037AC4" w:rsidRDefault="003768B6">
      <w:pPr>
        <w:rPr>
          <w:rFonts w:cstheme="minorHAnsi"/>
          <w:b/>
          <w:bCs/>
          <w:color w:val="005EB8"/>
          <w:sz w:val="32"/>
        </w:rPr>
      </w:pPr>
      <w:bookmarkStart w:id="27" w:name="_Appendix_4"/>
      <w:bookmarkStart w:id="28" w:name="_Toc28084479"/>
      <w:bookmarkStart w:id="29" w:name="_Toc64632336"/>
      <w:bookmarkEnd w:id="27"/>
      <w:r w:rsidRPr="00037AC4">
        <w:br w:type="page"/>
      </w:r>
    </w:p>
    <w:p w14:paraId="39EB88B2" w14:textId="38B8D1CC" w:rsidR="005F6358" w:rsidRPr="00037AC4" w:rsidRDefault="005F6358" w:rsidP="00F13240">
      <w:pPr>
        <w:pStyle w:val="Heading1"/>
        <w:numPr>
          <w:ilvl w:val="0"/>
          <w:numId w:val="0"/>
        </w:numPr>
      </w:pPr>
      <w:r w:rsidRPr="00037AC4">
        <w:lastRenderedPageBreak/>
        <w:t xml:space="preserve">Appendix </w:t>
      </w:r>
      <w:bookmarkEnd w:id="28"/>
      <w:r w:rsidRPr="00037AC4">
        <w:t>3: Shared Care Refusal Letter (Primary Care Prescriber to Specialist)</w:t>
      </w:r>
      <w:bookmarkEnd w:id="29"/>
    </w:p>
    <w:p w14:paraId="6EA8EB9F" w14:textId="731DABF1" w:rsidR="00E912F4" w:rsidRPr="00037AC4" w:rsidRDefault="00E912F4" w:rsidP="00E912F4"/>
    <w:p w14:paraId="4338BA2C" w14:textId="77777777" w:rsidR="00E912F4" w:rsidRPr="00037AC4" w:rsidRDefault="00E912F4" w:rsidP="00E912F4">
      <w:pPr>
        <w:autoSpaceDE w:val="0"/>
        <w:autoSpaceDN w:val="0"/>
        <w:adjustRightInd w:val="0"/>
        <w:rPr>
          <w:rFonts w:eastAsia="Times New Roman" w:cs="Arial"/>
          <w:b/>
          <w:szCs w:val="24"/>
          <w:lang w:eastAsia="en-GB"/>
        </w:rPr>
      </w:pPr>
      <w:r w:rsidRPr="00037AC4">
        <w:rPr>
          <w:rFonts w:eastAsia="Times New Roman" w:cs="Arial"/>
          <w:b/>
          <w:szCs w:val="24"/>
          <w:lang w:eastAsia="en-GB"/>
        </w:rPr>
        <w:t>Re</w:t>
      </w:r>
      <w:r w:rsidRPr="00037AC4">
        <w:rPr>
          <w:rFonts w:eastAsia="Times New Roman" w:cs="Arial"/>
          <w:b/>
          <w:i/>
          <w:szCs w:val="24"/>
          <w:lang w:eastAsia="en-GB"/>
        </w:rPr>
        <w:t xml:space="preserve">: </w:t>
      </w:r>
    </w:p>
    <w:p w14:paraId="7C4EC8EC" w14:textId="77777777" w:rsidR="006C35B2" w:rsidRPr="006C3BBB" w:rsidRDefault="006C35B2" w:rsidP="006C35B2">
      <w:pPr>
        <w:rPr>
          <w:rFonts w:eastAsia="Times New Roman" w:cs="Arial"/>
          <w:i/>
          <w:szCs w:val="24"/>
        </w:rPr>
      </w:pPr>
      <w:r w:rsidRPr="006C3BBB">
        <w:rPr>
          <w:rFonts w:eastAsia="Times New Roman" w:cs="Arial"/>
          <w:szCs w:val="24"/>
        </w:rPr>
        <w:t xml:space="preserve">Patient:  </w:t>
      </w:r>
      <w:permStart w:id="225212434" w:edGrp="everyone"/>
      <w:r w:rsidRPr="006C3BBB">
        <w:rPr>
          <w:rFonts w:eastAsia="Times New Roman" w:cs="Arial"/>
          <w:i/>
          <w:iCs/>
          <w:szCs w:val="24"/>
        </w:rPr>
        <w:t>insert Patient's name</w:t>
      </w:r>
      <w:permEnd w:id="225212434"/>
    </w:p>
    <w:p w14:paraId="757F0D34" w14:textId="20C111C6" w:rsidR="006C35B2" w:rsidRPr="006C3BBB" w:rsidRDefault="006C35B2" w:rsidP="006C35B2">
      <w:pPr>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2101547825" w:edGrp="everyone"/>
      <w:r w:rsidRPr="006C3BBB">
        <w:rPr>
          <w:rFonts w:eastAsia="Times New Roman" w:cs="Arial"/>
          <w:i/>
          <w:iCs/>
          <w:szCs w:val="24"/>
        </w:rPr>
        <w:t>insert NHS</w:t>
      </w:r>
      <w:r w:rsidR="00DB41D9">
        <w:t xml:space="preserve"> </w:t>
      </w:r>
      <w:r w:rsidRPr="006C3BBB">
        <w:rPr>
          <w:rFonts w:eastAsia="Times New Roman" w:cs="Arial"/>
          <w:i/>
          <w:iCs/>
          <w:szCs w:val="24"/>
        </w:rPr>
        <w:t>Number</w:t>
      </w:r>
      <w:permEnd w:id="2101547825"/>
    </w:p>
    <w:p w14:paraId="262A6D51" w14:textId="77777777" w:rsidR="006C35B2" w:rsidRPr="006C3BBB" w:rsidRDefault="006C35B2" w:rsidP="006C35B2">
      <w:pPr>
        <w:rPr>
          <w:rFonts w:eastAsia="Times New Roman" w:cs="Arial"/>
          <w:i/>
          <w:szCs w:val="24"/>
        </w:rPr>
      </w:pPr>
      <w:r w:rsidRPr="006C3BBB">
        <w:rPr>
          <w:rFonts w:eastAsia="Times New Roman" w:cs="Arial"/>
          <w:szCs w:val="24"/>
        </w:rPr>
        <w:t xml:space="preserve">Identifier:  </w:t>
      </w:r>
      <w:permStart w:id="1304182522" w:edGrp="everyone"/>
      <w:r w:rsidRPr="006C3BBB">
        <w:rPr>
          <w:rFonts w:eastAsia="Times New Roman" w:cs="Arial"/>
          <w:i/>
          <w:iCs/>
          <w:szCs w:val="24"/>
        </w:rPr>
        <w:t>insert patient's date of birth and/or address</w:t>
      </w:r>
      <w:r w:rsidRPr="006C3BBB">
        <w:rPr>
          <w:rFonts w:eastAsia="Times New Roman" w:cs="Arial"/>
          <w:i/>
          <w:szCs w:val="24"/>
        </w:rPr>
        <w:t xml:space="preserve"> </w:t>
      </w:r>
      <w:permEnd w:id="1304182522"/>
    </w:p>
    <w:p w14:paraId="44B085C8" w14:textId="77777777" w:rsidR="006C35B2" w:rsidRPr="006C3BBB" w:rsidRDefault="006C35B2" w:rsidP="006C35B2">
      <w:pPr>
        <w:rPr>
          <w:rFonts w:eastAsia="Times New Roman" w:cs="Arial"/>
          <w:i/>
          <w:iCs/>
          <w:szCs w:val="24"/>
        </w:rPr>
      </w:pPr>
    </w:p>
    <w:p w14:paraId="43091CD4" w14:textId="77777777" w:rsidR="006C35B2" w:rsidRPr="006C3BBB" w:rsidRDefault="006C35B2" w:rsidP="006C35B2">
      <w:pPr>
        <w:autoSpaceDE w:val="0"/>
        <w:autoSpaceDN w:val="0"/>
        <w:adjustRightInd w:val="0"/>
        <w:spacing w:after="240"/>
        <w:rPr>
          <w:rFonts w:eastAsia="Times New Roman" w:cs="Arial"/>
          <w:b/>
          <w:bCs/>
          <w:szCs w:val="24"/>
          <w:lang w:eastAsia="en-GB"/>
        </w:rPr>
      </w:pPr>
      <w:r w:rsidRPr="006C3BBB">
        <w:rPr>
          <w:rFonts w:eastAsia="Times New Roman" w:cs="Arial"/>
          <w:szCs w:val="24"/>
          <w:lang w:eastAsia="en-GB"/>
        </w:rPr>
        <w:t>Thank you for your request for me to accept prescribing responsibility for this patient.</w:t>
      </w:r>
    </w:p>
    <w:p w14:paraId="185D3865" w14:textId="2AF1A03E" w:rsidR="00E912F4" w:rsidRPr="002D43A6" w:rsidRDefault="006C35B2" w:rsidP="002D43A6">
      <w:pPr>
        <w:autoSpaceDE w:val="0"/>
        <w:autoSpaceDN w:val="0"/>
        <w:adjustRightInd w:val="0"/>
        <w:spacing w:line="276" w:lineRule="auto"/>
        <w:rPr>
          <w:rFonts w:eastAsia="Times New Roman" w:cs="Arial"/>
          <w:b/>
          <w:lang w:eastAsia="en-GB"/>
        </w:rPr>
      </w:pPr>
      <w:r w:rsidRPr="006C3BBB">
        <w:rPr>
          <w:rFonts w:eastAsia="Times New Roman" w:cs="Arial"/>
          <w:szCs w:val="24"/>
          <w:lang w:eastAsia="en-GB"/>
        </w:rPr>
        <w:t>In the interest of patient safety NHS</w:t>
      </w:r>
      <w:r>
        <w:rPr>
          <w:rFonts w:eastAsia="Times New Roman" w:cs="Arial"/>
          <w:szCs w:val="24"/>
          <w:lang w:eastAsia="en-GB"/>
        </w:rPr>
        <w:t xml:space="preserve"> SWL ICB,</w:t>
      </w:r>
      <w:r w:rsidRPr="006C3BBB">
        <w:rPr>
          <w:rFonts w:eastAsia="Times New Roman" w:cs="Arial"/>
          <w:szCs w:val="24"/>
          <w:lang w:eastAsia="en-GB"/>
        </w:rPr>
        <w:t xml:space="preserve"> in conjunction with local acute trusts have classified </w:t>
      </w:r>
      <w:permStart w:id="1147632196" w:edGrp="everyone"/>
      <w:r w:rsidRPr="006C3BBB">
        <w:rPr>
          <w:rFonts w:eastAsia="Times New Roman" w:cs="Arial"/>
          <w:i/>
          <w:iCs/>
          <w:szCs w:val="24"/>
          <w:lang w:eastAsia="en-GB"/>
        </w:rPr>
        <w:t>insert medicine nam</w:t>
      </w:r>
      <w:r>
        <w:rPr>
          <w:rFonts w:eastAsia="Times New Roman" w:cs="Arial"/>
          <w:i/>
          <w:iCs/>
          <w:szCs w:val="24"/>
          <w:lang w:eastAsia="en-GB"/>
        </w:rPr>
        <w:t>e</w:t>
      </w:r>
      <w:r w:rsidRPr="006C3BBB">
        <w:rPr>
          <w:rFonts w:eastAsia="Times New Roman" w:cs="Arial"/>
          <w:bCs/>
          <w:szCs w:val="24"/>
          <w:lang w:eastAsia="en-GB"/>
        </w:rPr>
        <w:t xml:space="preserve"> </w:t>
      </w:r>
      <w:permEnd w:id="1147632196"/>
      <w:r w:rsidRPr="006C3BBB">
        <w:rPr>
          <w:rFonts w:eastAsia="Times New Roman" w:cs="Arial"/>
          <w:bCs/>
          <w:szCs w:val="24"/>
          <w:lang w:eastAsia="en-GB"/>
        </w:rPr>
        <w:t>as a Shared Care drug and requires a number of conditions to be met before transfer can be made to primary care</w:t>
      </w:r>
      <w:r w:rsidR="00E912F4" w:rsidRPr="00037AC4">
        <w:rPr>
          <w:rFonts w:eastAsia="Times New Roman" w:cs="Arial"/>
          <w:bCs/>
          <w:szCs w:val="24"/>
          <w:lang w:eastAsia="en-GB"/>
        </w:rPr>
        <w:t>.</w:t>
      </w:r>
    </w:p>
    <w:p w14:paraId="4B493237" w14:textId="77777777" w:rsidR="00E912F4" w:rsidRPr="00037AC4" w:rsidRDefault="00E912F4" w:rsidP="00E912F4">
      <w:pPr>
        <w:autoSpaceDE w:val="0"/>
        <w:autoSpaceDN w:val="0"/>
        <w:adjustRightInd w:val="0"/>
        <w:rPr>
          <w:rFonts w:eastAsia="Times New Roman" w:cs="Arial"/>
          <w:b/>
          <w:bCs/>
          <w:szCs w:val="24"/>
          <w:lang w:eastAsia="en-GB"/>
        </w:rPr>
      </w:pPr>
    </w:p>
    <w:p w14:paraId="5218324F" w14:textId="77777777" w:rsidR="00E912F4" w:rsidRPr="00037AC4" w:rsidRDefault="00E912F4" w:rsidP="00E912F4">
      <w:pPr>
        <w:autoSpaceDE w:val="0"/>
        <w:autoSpaceDN w:val="0"/>
        <w:adjustRightInd w:val="0"/>
        <w:rPr>
          <w:rFonts w:eastAsia="Times New Roman" w:cs="Arial"/>
          <w:b/>
          <w:bCs/>
          <w:szCs w:val="24"/>
          <w:lang w:eastAsia="en-GB"/>
        </w:rPr>
      </w:pPr>
      <w:r w:rsidRPr="00037AC4">
        <w:rPr>
          <w:rFonts w:eastAsia="Times New Roman" w:cs="Arial"/>
          <w:b/>
          <w:bCs/>
          <w:szCs w:val="24"/>
          <w:lang w:eastAsia="en-GB"/>
        </w:rPr>
        <w:t>I regret to inform you that in this instance I am unable to take on responsibility due to the following:</w:t>
      </w:r>
    </w:p>
    <w:tbl>
      <w:tblPr>
        <w:tblStyle w:val="TableGrid1"/>
        <w:tblW w:w="5000" w:type="pct"/>
        <w:tblLook w:val="04A0" w:firstRow="1" w:lastRow="0" w:firstColumn="1" w:lastColumn="0" w:noHBand="0" w:noVBand="1"/>
      </w:tblPr>
      <w:tblGrid>
        <w:gridCol w:w="383"/>
        <w:gridCol w:w="7579"/>
        <w:gridCol w:w="1098"/>
      </w:tblGrid>
      <w:tr w:rsidR="00E912F4" w:rsidRPr="00037AC4" w14:paraId="5FCF63C2" w14:textId="77777777" w:rsidTr="00687477">
        <w:tc>
          <w:tcPr>
            <w:tcW w:w="211" w:type="pct"/>
          </w:tcPr>
          <w:p w14:paraId="054EE1BC"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r w:rsidRPr="00037AC4">
              <w:rPr>
                <w:rFonts w:eastAsia="Times New Roman" w:cs="Arial"/>
                <w:b/>
                <w:bCs/>
                <w:sz w:val="20"/>
                <w:szCs w:val="20"/>
                <w:lang w:eastAsia="en-GB"/>
              </w:rPr>
              <w:t xml:space="preserve">   </w:t>
            </w:r>
          </w:p>
        </w:tc>
        <w:tc>
          <w:tcPr>
            <w:tcW w:w="4183" w:type="pct"/>
          </w:tcPr>
          <w:p w14:paraId="3E36A564"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p>
        </w:tc>
        <w:tc>
          <w:tcPr>
            <w:tcW w:w="606" w:type="pct"/>
          </w:tcPr>
          <w:p w14:paraId="5173BABA" w14:textId="77777777" w:rsidR="00E912F4" w:rsidRPr="00037AC4" w:rsidRDefault="00E912F4" w:rsidP="00E912F4">
            <w:pPr>
              <w:autoSpaceDE w:val="0"/>
              <w:autoSpaceDN w:val="0"/>
              <w:adjustRightInd w:val="0"/>
              <w:spacing w:line="360" w:lineRule="atLeast"/>
              <w:rPr>
                <w:rFonts w:eastAsia="Times New Roman" w:cs="Arial"/>
                <w:b/>
                <w:bCs/>
                <w:szCs w:val="24"/>
                <w:lang w:eastAsia="en-GB"/>
              </w:rPr>
            </w:pPr>
            <w:r w:rsidRPr="00037AC4">
              <w:rPr>
                <w:rFonts w:eastAsia="Times New Roman" w:cs="Arial"/>
                <w:b/>
                <w:bCs/>
                <w:szCs w:val="24"/>
                <w:lang w:eastAsia="en-GB"/>
              </w:rPr>
              <w:t>Tick which apply</w:t>
            </w:r>
          </w:p>
        </w:tc>
      </w:tr>
      <w:tr w:rsidR="00E912F4" w:rsidRPr="00037AC4" w14:paraId="0F3BA7B4" w14:textId="77777777" w:rsidTr="00687477">
        <w:tc>
          <w:tcPr>
            <w:tcW w:w="211" w:type="pct"/>
          </w:tcPr>
          <w:p w14:paraId="323302C9"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permStart w:id="1286500814" w:edGrp="everyone" w:colFirst="2" w:colLast="2"/>
            <w:r w:rsidRPr="00037AC4">
              <w:rPr>
                <w:rFonts w:eastAsia="Times New Roman" w:cs="Arial"/>
                <w:b/>
                <w:bCs/>
                <w:sz w:val="20"/>
                <w:szCs w:val="20"/>
                <w:lang w:eastAsia="en-GB"/>
              </w:rPr>
              <w:t>1.</w:t>
            </w:r>
          </w:p>
        </w:tc>
        <w:tc>
          <w:tcPr>
            <w:tcW w:w="4183" w:type="pct"/>
          </w:tcPr>
          <w:p w14:paraId="69FEB5C7"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r w:rsidRPr="00037AC4">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6B908E8C" w14:textId="6361F653" w:rsidR="00E912F4" w:rsidRPr="00037AC4" w:rsidRDefault="00E912F4" w:rsidP="003768B6">
            <w:pPr>
              <w:autoSpaceDE w:val="0"/>
              <w:autoSpaceDN w:val="0"/>
              <w:adjustRightInd w:val="0"/>
              <w:spacing w:after="120" w:line="276" w:lineRule="auto"/>
              <w:rPr>
                <w:rFonts w:eastAsia="Times New Roman" w:cs="Arial"/>
                <w:bCs/>
                <w:sz w:val="20"/>
                <w:szCs w:val="20"/>
                <w:lang w:eastAsia="en-GB"/>
              </w:rPr>
            </w:pPr>
            <w:r w:rsidRPr="00037AC4">
              <w:rPr>
                <w:rFonts w:eastAsia="Times New Roman" w:cs="Arial"/>
                <w:bCs/>
                <w:sz w:val="20"/>
                <w:szCs w:val="20"/>
                <w:lang w:eastAsia="en-GB"/>
              </w:rPr>
              <w:t>As the patients primary care prescriber I do not feel clinically confident to manage this patient’s condition becau</w:t>
            </w:r>
            <w:r w:rsidR="00552232">
              <w:rPr>
                <w:rFonts w:eastAsia="Times New Roman" w:cs="Arial"/>
                <w:bCs/>
                <w:sz w:val="20"/>
                <w:szCs w:val="20"/>
                <w:lang w:eastAsia="en-GB"/>
              </w:rPr>
              <w:t xml:space="preserve">se </w:t>
            </w:r>
            <w:permStart w:id="499073075" w:edGrp="everyone"/>
            <w:r w:rsidR="00552232" w:rsidRPr="00552232">
              <w:rPr>
                <w:rFonts w:eastAsia="Times New Roman" w:cs="Arial"/>
                <w:bCs/>
                <w:i/>
                <w:iCs/>
                <w:sz w:val="20"/>
                <w:szCs w:val="20"/>
                <w:lang w:eastAsia="en-GB"/>
              </w:rPr>
              <w:t>[insert reason]</w:t>
            </w:r>
            <w:r w:rsidRPr="00552232">
              <w:rPr>
                <w:rFonts w:eastAsia="Times New Roman" w:cs="Arial"/>
                <w:bCs/>
                <w:i/>
                <w:iCs/>
                <w:sz w:val="20"/>
                <w:szCs w:val="20"/>
                <w:lang w:eastAsia="en-GB"/>
              </w:rPr>
              <w:t>.</w:t>
            </w:r>
            <w:r w:rsidRPr="00037AC4">
              <w:rPr>
                <w:rFonts w:eastAsia="Times New Roman" w:cs="Arial"/>
                <w:bCs/>
                <w:sz w:val="20"/>
                <w:szCs w:val="20"/>
                <w:lang w:eastAsia="en-GB"/>
              </w:rPr>
              <w:t xml:space="preserve"> </w:t>
            </w:r>
            <w:permEnd w:id="499073075"/>
            <w:r w:rsidRPr="00037AC4">
              <w:rPr>
                <w:rFonts w:eastAsia="Times New Roman" w:cs="Arial"/>
                <w:bCs/>
                <w:sz w:val="20"/>
                <w:szCs w:val="20"/>
                <w:lang w:eastAsia="en-GB"/>
              </w:rPr>
              <w:t>I have consulted with other primary care prescribers in my practice who support my decision. This is not an issue which would be resolved through adequate and appropriate training of prescribers within my practice.</w:t>
            </w:r>
          </w:p>
          <w:p w14:paraId="23B98959"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r w:rsidRPr="00037AC4">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1FD6D1CF" w14:textId="77777777" w:rsidR="00E912F4" w:rsidRPr="00037AC4" w:rsidRDefault="00E912F4" w:rsidP="00E912F4">
            <w:pPr>
              <w:autoSpaceDE w:val="0"/>
              <w:autoSpaceDN w:val="0"/>
              <w:adjustRightInd w:val="0"/>
              <w:spacing w:line="360" w:lineRule="atLeast"/>
              <w:rPr>
                <w:rFonts w:eastAsia="Times New Roman" w:cs="Arial"/>
                <w:b/>
                <w:bCs/>
                <w:szCs w:val="24"/>
                <w:lang w:eastAsia="en-GB"/>
              </w:rPr>
            </w:pPr>
          </w:p>
        </w:tc>
      </w:tr>
      <w:tr w:rsidR="00E912F4" w:rsidRPr="00037AC4" w14:paraId="779A7433" w14:textId="77777777" w:rsidTr="00687477">
        <w:tc>
          <w:tcPr>
            <w:tcW w:w="211" w:type="pct"/>
          </w:tcPr>
          <w:p w14:paraId="7E9D4C06"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permStart w:id="739992213" w:edGrp="everyone" w:colFirst="2" w:colLast="2"/>
            <w:permEnd w:id="1286500814"/>
            <w:r w:rsidRPr="00037AC4">
              <w:rPr>
                <w:rFonts w:eastAsia="Times New Roman" w:cs="Arial"/>
                <w:b/>
                <w:bCs/>
                <w:sz w:val="20"/>
                <w:szCs w:val="20"/>
                <w:lang w:eastAsia="en-GB"/>
              </w:rPr>
              <w:t>2.</w:t>
            </w:r>
          </w:p>
        </w:tc>
        <w:tc>
          <w:tcPr>
            <w:tcW w:w="4183" w:type="pct"/>
          </w:tcPr>
          <w:p w14:paraId="737A85C0"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r w:rsidRPr="00037AC4">
              <w:rPr>
                <w:rFonts w:eastAsia="Times New Roman" w:cs="Arial"/>
                <w:b/>
                <w:bCs/>
                <w:sz w:val="20"/>
                <w:szCs w:val="20"/>
                <w:lang w:eastAsia="en-GB"/>
              </w:rPr>
              <w:t>The medicine or condition does not fall within the criteria defining suitability for inclusion in a shared care arrangement</w:t>
            </w:r>
          </w:p>
          <w:p w14:paraId="3E6A1574" w14:textId="77777777" w:rsidR="00E912F4" w:rsidRPr="00037AC4" w:rsidRDefault="00E912F4" w:rsidP="003768B6">
            <w:pPr>
              <w:autoSpaceDE w:val="0"/>
              <w:autoSpaceDN w:val="0"/>
              <w:adjustRightInd w:val="0"/>
              <w:spacing w:after="120" w:line="276" w:lineRule="auto"/>
              <w:rPr>
                <w:rFonts w:eastAsia="Times New Roman" w:cs="Arial"/>
                <w:bCs/>
                <w:sz w:val="20"/>
                <w:szCs w:val="20"/>
                <w:lang w:eastAsia="en-GB"/>
              </w:rPr>
            </w:pPr>
            <w:r w:rsidRPr="00037AC4">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06C5E2FA"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r w:rsidRPr="00037AC4">
              <w:rPr>
                <w:rFonts w:eastAsia="Times New Roman" w:cs="Arial"/>
                <w:b/>
                <w:bCs/>
                <w:sz w:val="20"/>
                <w:szCs w:val="20"/>
                <w:lang w:eastAsia="en-GB"/>
              </w:rPr>
              <w:lastRenderedPageBreak/>
              <w:t xml:space="preserve">Until this medicine is identified either nationally or locally as requiring shared care the responsibility for providing this patient with their medication remains with you </w:t>
            </w:r>
          </w:p>
        </w:tc>
        <w:tc>
          <w:tcPr>
            <w:tcW w:w="606" w:type="pct"/>
          </w:tcPr>
          <w:p w14:paraId="70A15082" w14:textId="77777777" w:rsidR="00E912F4" w:rsidRPr="00037AC4" w:rsidRDefault="00E912F4" w:rsidP="00E912F4">
            <w:pPr>
              <w:autoSpaceDE w:val="0"/>
              <w:autoSpaceDN w:val="0"/>
              <w:adjustRightInd w:val="0"/>
              <w:spacing w:line="360" w:lineRule="atLeast"/>
              <w:rPr>
                <w:rFonts w:eastAsia="Times New Roman" w:cs="Arial"/>
                <w:b/>
                <w:bCs/>
                <w:szCs w:val="24"/>
                <w:lang w:eastAsia="en-GB"/>
              </w:rPr>
            </w:pPr>
          </w:p>
        </w:tc>
      </w:tr>
      <w:tr w:rsidR="00E912F4" w:rsidRPr="00037AC4" w14:paraId="38D60A59" w14:textId="77777777" w:rsidTr="00687477">
        <w:tc>
          <w:tcPr>
            <w:tcW w:w="211" w:type="pct"/>
          </w:tcPr>
          <w:p w14:paraId="7B68B4CC"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permStart w:id="21385881" w:edGrp="everyone" w:colFirst="2" w:colLast="2"/>
            <w:permEnd w:id="739992213"/>
            <w:r w:rsidRPr="00037AC4">
              <w:rPr>
                <w:rFonts w:eastAsia="Times New Roman" w:cs="Arial"/>
                <w:b/>
                <w:bCs/>
                <w:sz w:val="20"/>
                <w:szCs w:val="20"/>
                <w:lang w:eastAsia="en-GB"/>
              </w:rPr>
              <w:t>3.</w:t>
            </w:r>
          </w:p>
        </w:tc>
        <w:tc>
          <w:tcPr>
            <w:tcW w:w="4183" w:type="pct"/>
          </w:tcPr>
          <w:p w14:paraId="7AECE214"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r w:rsidRPr="00037AC4">
              <w:rPr>
                <w:rFonts w:eastAsia="Times New Roman" w:cs="Arial"/>
                <w:b/>
                <w:bCs/>
                <w:sz w:val="20"/>
                <w:szCs w:val="20"/>
                <w:lang w:eastAsia="en-GB"/>
              </w:rPr>
              <w:t>A minimum duration of supply by the initiating clinician</w:t>
            </w:r>
          </w:p>
          <w:p w14:paraId="6CAA0FBA" w14:textId="77777777" w:rsidR="00E912F4" w:rsidRPr="00037AC4" w:rsidRDefault="00E912F4" w:rsidP="003768B6">
            <w:pPr>
              <w:autoSpaceDE w:val="0"/>
              <w:autoSpaceDN w:val="0"/>
              <w:adjustRightInd w:val="0"/>
              <w:spacing w:after="120" w:line="276" w:lineRule="auto"/>
              <w:rPr>
                <w:rFonts w:eastAsia="Times New Roman" w:cs="Arial"/>
                <w:b/>
                <w:i/>
                <w:sz w:val="20"/>
                <w:szCs w:val="20"/>
                <w:lang w:eastAsia="en-GB"/>
              </w:rPr>
            </w:pPr>
            <w:r w:rsidRPr="00037AC4">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532A3327" w14:textId="77777777" w:rsidR="00E912F4" w:rsidRPr="00037AC4" w:rsidRDefault="00E912F4" w:rsidP="003768B6">
            <w:pPr>
              <w:autoSpaceDE w:val="0"/>
              <w:autoSpaceDN w:val="0"/>
              <w:adjustRightInd w:val="0"/>
              <w:spacing w:after="120" w:line="276" w:lineRule="auto"/>
              <w:rPr>
                <w:rFonts w:eastAsia="Times New Roman" w:cs="Arial"/>
                <w:sz w:val="20"/>
                <w:szCs w:val="20"/>
                <w:lang w:eastAsia="en-GB"/>
              </w:rPr>
            </w:pPr>
            <w:r w:rsidRPr="00037AC4">
              <w:rPr>
                <w:rFonts w:eastAsia="Times New Roman" w:cs="Arial"/>
                <w:b/>
                <w:i/>
                <w:sz w:val="20"/>
                <w:szCs w:val="20"/>
                <w:lang w:eastAsia="en-GB"/>
              </w:rPr>
              <w:t>Until the patient has had the appropriate length of supply the responsibility for providing the patient with their medication remains with you</w:t>
            </w:r>
            <w:r w:rsidRPr="00037AC4">
              <w:rPr>
                <w:rFonts w:eastAsia="Times New Roman" w:cs="Arial"/>
                <w:b/>
                <w:bCs/>
                <w:i/>
                <w:sz w:val="20"/>
                <w:szCs w:val="20"/>
                <w:lang w:eastAsia="en-GB"/>
              </w:rPr>
              <w:t>.</w:t>
            </w:r>
          </w:p>
        </w:tc>
        <w:tc>
          <w:tcPr>
            <w:tcW w:w="606" w:type="pct"/>
          </w:tcPr>
          <w:p w14:paraId="14F93E41" w14:textId="77777777" w:rsidR="00E912F4" w:rsidRPr="00037AC4" w:rsidRDefault="00E912F4" w:rsidP="00E912F4">
            <w:pPr>
              <w:autoSpaceDE w:val="0"/>
              <w:autoSpaceDN w:val="0"/>
              <w:adjustRightInd w:val="0"/>
              <w:spacing w:line="360" w:lineRule="atLeast"/>
              <w:rPr>
                <w:rFonts w:eastAsia="Times New Roman" w:cs="Arial"/>
                <w:b/>
                <w:bCs/>
                <w:szCs w:val="24"/>
                <w:lang w:eastAsia="en-GB"/>
              </w:rPr>
            </w:pPr>
          </w:p>
        </w:tc>
      </w:tr>
      <w:tr w:rsidR="00E912F4" w:rsidRPr="00037AC4" w14:paraId="42892B14" w14:textId="77777777" w:rsidTr="00687477">
        <w:tc>
          <w:tcPr>
            <w:tcW w:w="211" w:type="pct"/>
          </w:tcPr>
          <w:p w14:paraId="0657BDCB"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permStart w:id="259291724" w:edGrp="everyone" w:colFirst="2" w:colLast="2"/>
            <w:permEnd w:id="21385881"/>
            <w:r w:rsidRPr="00037AC4">
              <w:rPr>
                <w:rFonts w:eastAsia="Times New Roman" w:cs="Arial"/>
                <w:b/>
                <w:bCs/>
                <w:sz w:val="20"/>
                <w:szCs w:val="20"/>
                <w:lang w:eastAsia="en-GB"/>
              </w:rPr>
              <w:t>4.</w:t>
            </w:r>
          </w:p>
        </w:tc>
        <w:tc>
          <w:tcPr>
            <w:tcW w:w="4183" w:type="pct"/>
          </w:tcPr>
          <w:p w14:paraId="6F18D6D5" w14:textId="77777777" w:rsidR="00E912F4" w:rsidRPr="00037AC4" w:rsidRDefault="00E912F4" w:rsidP="003768B6">
            <w:pPr>
              <w:autoSpaceDE w:val="0"/>
              <w:autoSpaceDN w:val="0"/>
              <w:adjustRightInd w:val="0"/>
              <w:spacing w:after="120" w:line="276" w:lineRule="auto"/>
              <w:rPr>
                <w:rFonts w:eastAsia="Times New Roman" w:cs="Arial"/>
                <w:b/>
                <w:sz w:val="20"/>
                <w:szCs w:val="20"/>
                <w:lang w:eastAsia="en-GB"/>
              </w:rPr>
            </w:pPr>
            <w:r w:rsidRPr="00037AC4">
              <w:rPr>
                <w:rFonts w:eastAsia="Times New Roman" w:cs="Arial"/>
                <w:b/>
                <w:sz w:val="20"/>
                <w:szCs w:val="20"/>
                <w:lang w:eastAsia="en-GB"/>
              </w:rPr>
              <w:t>Initiation and optimisation by the initiating specialist</w:t>
            </w:r>
          </w:p>
          <w:p w14:paraId="26F68B2A" w14:textId="77777777" w:rsidR="00E912F4" w:rsidRPr="00037AC4" w:rsidRDefault="00E912F4" w:rsidP="003768B6">
            <w:pPr>
              <w:autoSpaceDE w:val="0"/>
              <w:autoSpaceDN w:val="0"/>
              <w:adjustRightInd w:val="0"/>
              <w:spacing w:after="120" w:line="276" w:lineRule="auto"/>
              <w:rPr>
                <w:rFonts w:eastAsia="Times New Roman" w:cs="Arial"/>
                <w:b/>
                <w:i/>
                <w:sz w:val="20"/>
                <w:szCs w:val="20"/>
                <w:lang w:eastAsia="en-GB"/>
              </w:rPr>
            </w:pPr>
            <w:r w:rsidRPr="00037AC4">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5B457F61" w14:textId="77777777" w:rsidR="00E912F4" w:rsidRPr="00037AC4" w:rsidRDefault="00E912F4" w:rsidP="003768B6">
            <w:pPr>
              <w:autoSpaceDE w:val="0"/>
              <w:autoSpaceDN w:val="0"/>
              <w:adjustRightInd w:val="0"/>
              <w:spacing w:after="120" w:line="276" w:lineRule="auto"/>
              <w:rPr>
                <w:rFonts w:eastAsia="Times New Roman" w:cs="Arial"/>
                <w:b/>
                <w:i/>
                <w:sz w:val="20"/>
                <w:szCs w:val="20"/>
                <w:lang w:eastAsia="en-GB"/>
              </w:rPr>
            </w:pPr>
            <w:r w:rsidRPr="00037AC4">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1434A420" w14:textId="77777777" w:rsidR="00E912F4" w:rsidRPr="00037AC4" w:rsidRDefault="00E912F4" w:rsidP="00E912F4">
            <w:pPr>
              <w:autoSpaceDE w:val="0"/>
              <w:autoSpaceDN w:val="0"/>
              <w:adjustRightInd w:val="0"/>
              <w:spacing w:line="360" w:lineRule="atLeast"/>
              <w:rPr>
                <w:rFonts w:eastAsia="Times New Roman" w:cs="Arial"/>
                <w:b/>
                <w:bCs/>
                <w:szCs w:val="24"/>
                <w:lang w:eastAsia="en-GB"/>
              </w:rPr>
            </w:pPr>
          </w:p>
        </w:tc>
      </w:tr>
      <w:tr w:rsidR="00E912F4" w:rsidRPr="00037AC4" w14:paraId="26ABEBEF" w14:textId="77777777" w:rsidTr="00687477">
        <w:tc>
          <w:tcPr>
            <w:tcW w:w="211" w:type="pct"/>
          </w:tcPr>
          <w:p w14:paraId="234674BC"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permStart w:id="2113240826" w:edGrp="everyone" w:colFirst="2" w:colLast="2"/>
            <w:permEnd w:id="259291724"/>
            <w:r w:rsidRPr="00037AC4">
              <w:rPr>
                <w:rFonts w:eastAsia="Times New Roman" w:cs="Arial"/>
                <w:b/>
                <w:bCs/>
                <w:sz w:val="20"/>
                <w:szCs w:val="20"/>
                <w:lang w:eastAsia="en-GB"/>
              </w:rPr>
              <w:t>5.</w:t>
            </w:r>
          </w:p>
        </w:tc>
        <w:tc>
          <w:tcPr>
            <w:tcW w:w="4183" w:type="pct"/>
          </w:tcPr>
          <w:p w14:paraId="60F91B4C" w14:textId="77777777" w:rsidR="00E912F4" w:rsidRPr="00037AC4" w:rsidRDefault="00E912F4" w:rsidP="003768B6">
            <w:pPr>
              <w:autoSpaceDE w:val="0"/>
              <w:autoSpaceDN w:val="0"/>
              <w:adjustRightInd w:val="0"/>
              <w:spacing w:after="120" w:line="276" w:lineRule="auto"/>
              <w:rPr>
                <w:rFonts w:eastAsia="Times New Roman" w:cs="Arial"/>
                <w:b/>
                <w:sz w:val="20"/>
                <w:szCs w:val="20"/>
                <w:lang w:eastAsia="en-GB"/>
              </w:rPr>
            </w:pPr>
            <w:r w:rsidRPr="00037AC4">
              <w:rPr>
                <w:rFonts w:eastAsia="Times New Roman" w:cs="Arial"/>
                <w:b/>
                <w:sz w:val="20"/>
                <w:szCs w:val="20"/>
                <w:lang w:eastAsia="en-GB"/>
              </w:rPr>
              <w:t>Shared Care Protocol not received</w:t>
            </w:r>
          </w:p>
          <w:p w14:paraId="4F992BFE" w14:textId="77777777" w:rsidR="00E912F4" w:rsidRPr="00037AC4" w:rsidRDefault="00E912F4" w:rsidP="003768B6">
            <w:pPr>
              <w:autoSpaceDE w:val="0"/>
              <w:autoSpaceDN w:val="0"/>
              <w:adjustRightInd w:val="0"/>
              <w:spacing w:after="120" w:line="276" w:lineRule="auto"/>
              <w:rPr>
                <w:rFonts w:eastAsia="Times New Roman" w:cs="Arial"/>
                <w:b/>
                <w:i/>
                <w:sz w:val="20"/>
                <w:szCs w:val="20"/>
                <w:lang w:eastAsia="en-GB"/>
              </w:rPr>
            </w:pPr>
            <w:r w:rsidRPr="00037AC4">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037AC4">
              <w:rPr>
                <w:rFonts w:eastAsia="Times New Roman" w:cs="Arial"/>
                <w:b/>
                <w:i/>
                <w:sz w:val="20"/>
                <w:szCs w:val="20"/>
                <w:lang w:eastAsia="en-GB"/>
              </w:rPr>
              <w:t>.</w:t>
            </w:r>
          </w:p>
          <w:p w14:paraId="42399301" w14:textId="77777777" w:rsidR="00E912F4" w:rsidRPr="00037AC4" w:rsidRDefault="00E912F4" w:rsidP="003768B6">
            <w:pPr>
              <w:autoSpaceDE w:val="0"/>
              <w:autoSpaceDN w:val="0"/>
              <w:adjustRightInd w:val="0"/>
              <w:spacing w:after="120" w:line="276" w:lineRule="auto"/>
              <w:rPr>
                <w:rFonts w:eastAsia="Times New Roman" w:cs="Arial"/>
                <w:b/>
                <w:i/>
                <w:sz w:val="20"/>
                <w:szCs w:val="20"/>
                <w:lang w:eastAsia="en-GB"/>
              </w:rPr>
            </w:pPr>
            <w:r w:rsidRPr="00037AC4">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037AC4">
              <w:rPr>
                <w:rFonts w:eastAsia="Times New Roman" w:cs="Arial"/>
                <w:b/>
                <w:i/>
                <w:sz w:val="20"/>
                <w:szCs w:val="20"/>
                <w:lang w:eastAsia="en-GB"/>
              </w:rPr>
              <w:t xml:space="preserve">  </w:t>
            </w:r>
          </w:p>
          <w:p w14:paraId="35C95E23" w14:textId="77777777" w:rsidR="00E912F4" w:rsidRPr="00037AC4" w:rsidRDefault="00E912F4" w:rsidP="003768B6">
            <w:pPr>
              <w:autoSpaceDE w:val="0"/>
              <w:autoSpaceDN w:val="0"/>
              <w:adjustRightInd w:val="0"/>
              <w:spacing w:after="120" w:line="276" w:lineRule="auto"/>
              <w:rPr>
                <w:rFonts w:eastAsia="Times New Roman" w:cs="Arial"/>
                <w:sz w:val="20"/>
                <w:szCs w:val="20"/>
                <w:lang w:eastAsia="en-GB"/>
              </w:rPr>
            </w:pPr>
            <w:r w:rsidRPr="00037AC4">
              <w:rPr>
                <w:rFonts w:eastAsia="Times New Roman" w:cs="Arial"/>
                <w:b/>
                <w:i/>
                <w:sz w:val="20"/>
                <w:szCs w:val="20"/>
                <w:lang w:eastAsia="en-GB"/>
              </w:rPr>
              <w:t>Until I receive the appropriate SCP, responsibility for providing the patient with their medication remains with you</w:t>
            </w:r>
            <w:r w:rsidRPr="00037AC4">
              <w:rPr>
                <w:rFonts w:eastAsia="Times New Roman" w:cs="Arial"/>
                <w:b/>
                <w:bCs/>
                <w:i/>
                <w:sz w:val="20"/>
                <w:szCs w:val="20"/>
                <w:lang w:eastAsia="en-GB"/>
              </w:rPr>
              <w:t>.</w:t>
            </w:r>
          </w:p>
        </w:tc>
        <w:tc>
          <w:tcPr>
            <w:tcW w:w="606" w:type="pct"/>
          </w:tcPr>
          <w:p w14:paraId="092D3737" w14:textId="77777777" w:rsidR="00E912F4" w:rsidRPr="00037AC4" w:rsidRDefault="00E912F4" w:rsidP="00E912F4">
            <w:pPr>
              <w:autoSpaceDE w:val="0"/>
              <w:autoSpaceDN w:val="0"/>
              <w:adjustRightInd w:val="0"/>
              <w:spacing w:line="360" w:lineRule="atLeast"/>
              <w:rPr>
                <w:rFonts w:eastAsia="Times New Roman" w:cs="Arial"/>
                <w:b/>
                <w:bCs/>
                <w:szCs w:val="24"/>
                <w:lang w:eastAsia="en-GB"/>
              </w:rPr>
            </w:pPr>
          </w:p>
        </w:tc>
      </w:tr>
      <w:tr w:rsidR="00E912F4" w:rsidRPr="00037AC4" w14:paraId="7316534F" w14:textId="77777777" w:rsidTr="00687477">
        <w:tc>
          <w:tcPr>
            <w:tcW w:w="211" w:type="pct"/>
          </w:tcPr>
          <w:p w14:paraId="2C86F715"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permStart w:id="1917086533" w:edGrp="everyone" w:colFirst="2" w:colLast="2"/>
            <w:permEnd w:id="2113240826"/>
            <w:r w:rsidRPr="00037AC4">
              <w:rPr>
                <w:rFonts w:eastAsia="Times New Roman" w:cs="Arial"/>
                <w:b/>
                <w:bCs/>
                <w:sz w:val="20"/>
                <w:szCs w:val="20"/>
                <w:lang w:eastAsia="en-GB"/>
              </w:rPr>
              <w:t>6.</w:t>
            </w:r>
          </w:p>
        </w:tc>
        <w:tc>
          <w:tcPr>
            <w:tcW w:w="4183" w:type="pct"/>
          </w:tcPr>
          <w:p w14:paraId="50C1B080" w14:textId="77777777" w:rsidR="00E912F4" w:rsidRPr="00037AC4" w:rsidRDefault="00E912F4" w:rsidP="003768B6">
            <w:pPr>
              <w:autoSpaceDE w:val="0"/>
              <w:autoSpaceDN w:val="0"/>
              <w:adjustRightInd w:val="0"/>
              <w:spacing w:after="120" w:line="276" w:lineRule="auto"/>
              <w:rPr>
                <w:rFonts w:eastAsia="Times New Roman" w:cs="Arial"/>
                <w:b/>
                <w:sz w:val="20"/>
                <w:szCs w:val="20"/>
                <w:lang w:eastAsia="en-GB"/>
              </w:rPr>
            </w:pPr>
            <w:r w:rsidRPr="00037AC4">
              <w:rPr>
                <w:rFonts w:eastAsia="Times New Roman" w:cs="Arial"/>
                <w:b/>
                <w:sz w:val="20"/>
                <w:szCs w:val="20"/>
                <w:lang w:eastAsia="en-GB"/>
              </w:rPr>
              <w:t xml:space="preserve">Other </w:t>
            </w:r>
            <w:permStart w:id="365060366" w:edGrp="everyone"/>
            <w:r w:rsidRPr="00037AC4">
              <w:rPr>
                <w:rFonts w:eastAsia="Times New Roman" w:cs="Arial"/>
                <w:b/>
                <w:sz w:val="20"/>
                <w:szCs w:val="20"/>
                <w:lang w:eastAsia="en-GB"/>
              </w:rPr>
              <w:t>(Primary Care Prescriber to complete if there are other reasons why shared care cannot be accepted)</w:t>
            </w:r>
          </w:p>
          <w:permEnd w:id="365060366"/>
          <w:p w14:paraId="319D1078" w14:textId="77777777" w:rsidR="00E912F4" w:rsidRPr="00037AC4" w:rsidRDefault="00E912F4" w:rsidP="003768B6">
            <w:pPr>
              <w:autoSpaceDE w:val="0"/>
              <w:autoSpaceDN w:val="0"/>
              <w:adjustRightInd w:val="0"/>
              <w:spacing w:after="120" w:line="276" w:lineRule="auto"/>
              <w:rPr>
                <w:rFonts w:eastAsia="Times New Roman" w:cs="Arial"/>
                <w:b/>
                <w:sz w:val="20"/>
                <w:szCs w:val="20"/>
                <w:lang w:eastAsia="en-GB"/>
              </w:rPr>
            </w:pPr>
          </w:p>
          <w:p w14:paraId="718D89A2" w14:textId="77777777" w:rsidR="00E912F4" w:rsidRPr="00037AC4" w:rsidRDefault="00E912F4" w:rsidP="003768B6">
            <w:pPr>
              <w:autoSpaceDE w:val="0"/>
              <w:autoSpaceDN w:val="0"/>
              <w:adjustRightInd w:val="0"/>
              <w:spacing w:after="120" w:line="276" w:lineRule="auto"/>
              <w:rPr>
                <w:rFonts w:eastAsia="Times New Roman" w:cs="Arial"/>
                <w:b/>
                <w:sz w:val="20"/>
                <w:szCs w:val="20"/>
                <w:lang w:eastAsia="en-GB"/>
              </w:rPr>
            </w:pPr>
          </w:p>
          <w:p w14:paraId="5DE5F4F9" w14:textId="77777777" w:rsidR="00E912F4" w:rsidRPr="00037AC4" w:rsidRDefault="00E912F4" w:rsidP="003768B6">
            <w:pPr>
              <w:autoSpaceDE w:val="0"/>
              <w:autoSpaceDN w:val="0"/>
              <w:adjustRightInd w:val="0"/>
              <w:spacing w:after="120" w:line="276" w:lineRule="auto"/>
              <w:rPr>
                <w:rFonts w:eastAsia="Times New Roman" w:cs="Arial"/>
                <w:b/>
                <w:sz w:val="20"/>
                <w:szCs w:val="20"/>
                <w:lang w:eastAsia="en-GB"/>
              </w:rPr>
            </w:pPr>
          </w:p>
          <w:p w14:paraId="59F3EEAA" w14:textId="77777777" w:rsidR="00E912F4" w:rsidRPr="00037AC4" w:rsidRDefault="00E912F4" w:rsidP="003768B6">
            <w:pPr>
              <w:autoSpaceDE w:val="0"/>
              <w:autoSpaceDN w:val="0"/>
              <w:adjustRightInd w:val="0"/>
              <w:spacing w:after="120" w:line="276" w:lineRule="auto"/>
              <w:rPr>
                <w:rFonts w:eastAsia="Times New Roman" w:cs="Arial"/>
                <w:b/>
                <w:sz w:val="20"/>
                <w:szCs w:val="20"/>
                <w:lang w:eastAsia="en-GB"/>
              </w:rPr>
            </w:pPr>
          </w:p>
        </w:tc>
        <w:tc>
          <w:tcPr>
            <w:tcW w:w="606" w:type="pct"/>
          </w:tcPr>
          <w:p w14:paraId="7E17D369" w14:textId="77777777" w:rsidR="00E912F4" w:rsidRPr="00037AC4" w:rsidRDefault="00E912F4" w:rsidP="00E912F4">
            <w:pPr>
              <w:autoSpaceDE w:val="0"/>
              <w:autoSpaceDN w:val="0"/>
              <w:adjustRightInd w:val="0"/>
              <w:spacing w:line="360" w:lineRule="atLeast"/>
              <w:rPr>
                <w:rFonts w:eastAsia="Times New Roman" w:cs="Arial"/>
                <w:b/>
                <w:bCs/>
                <w:szCs w:val="24"/>
                <w:lang w:eastAsia="en-GB"/>
              </w:rPr>
            </w:pPr>
          </w:p>
        </w:tc>
      </w:tr>
      <w:permEnd w:id="1917086533"/>
    </w:tbl>
    <w:p w14:paraId="3A86FAC1" w14:textId="77777777" w:rsidR="00E912F4" w:rsidRPr="00037AC4" w:rsidRDefault="00E912F4" w:rsidP="00E912F4">
      <w:pPr>
        <w:autoSpaceDE w:val="0"/>
        <w:autoSpaceDN w:val="0"/>
        <w:adjustRightInd w:val="0"/>
        <w:rPr>
          <w:rFonts w:eastAsia="Times New Roman" w:cs="Arial"/>
          <w:b/>
          <w:bCs/>
          <w:szCs w:val="24"/>
          <w:lang w:eastAsia="en-GB"/>
        </w:rPr>
      </w:pPr>
    </w:p>
    <w:p w14:paraId="674E9E18" w14:textId="77777777" w:rsidR="00E912F4" w:rsidRPr="00037AC4" w:rsidRDefault="00E912F4" w:rsidP="00E912F4">
      <w:pPr>
        <w:autoSpaceDE w:val="0"/>
        <w:autoSpaceDN w:val="0"/>
        <w:adjustRightInd w:val="0"/>
        <w:rPr>
          <w:rFonts w:eastAsia="Times New Roman" w:cs="Arial"/>
          <w:bCs/>
          <w:szCs w:val="24"/>
          <w:lang w:eastAsia="en-GB"/>
        </w:rPr>
      </w:pPr>
      <w:r w:rsidRPr="00037AC4">
        <w:rPr>
          <w:rFonts w:eastAsia="Times New Roman" w:cs="Arial"/>
          <w:bCs/>
          <w:szCs w:val="24"/>
          <w:lang w:eastAsia="en-GB"/>
        </w:rPr>
        <w:t xml:space="preserve">I would be willing to consider prescribing for this patient once the above criteria have been met for this treatment.  </w:t>
      </w:r>
    </w:p>
    <w:p w14:paraId="4E13F2B5" w14:textId="77777777" w:rsidR="00E912F4" w:rsidRPr="00037AC4" w:rsidRDefault="00E912F4" w:rsidP="00E912F4">
      <w:pPr>
        <w:autoSpaceDE w:val="0"/>
        <w:autoSpaceDN w:val="0"/>
        <w:adjustRightInd w:val="0"/>
        <w:rPr>
          <w:rFonts w:eastAsia="Times New Roman" w:cs="Arial"/>
          <w:bCs/>
          <w:szCs w:val="24"/>
          <w:lang w:eastAsia="en-GB"/>
        </w:rPr>
      </w:pPr>
    </w:p>
    <w:p w14:paraId="6E52EA7C" w14:textId="77777777" w:rsidR="00E912F4" w:rsidRPr="00037AC4" w:rsidRDefault="00E912F4" w:rsidP="00E912F4">
      <w:pPr>
        <w:autoSpaceDE w:val="0"/>
        <w:autoSpaceDN w:val="0"/>
        <w:adjustRightInd w:val="0"/>
        <w:rPr>
          <w:rFonts w:eastAsia="Times New Roman" w:cs="Arial"/>
          <w:szCs w:val="24"/>
          <w:lang w:eastAsia="en-GB"/>
        </w:rPr>
      </w:pPr>
      <w:r w:rsidRPr="00037AC4">
        <w:rPr>
          <w:rFonts w:eastAsia="Times New Roman" w:cs="Arial"/>
          <w:szCs w:val="24"/>
          <w:lang w:eastAsia="en-GB"/>
        </w:rPr>
        <w:lastRenderedPageBreak/>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7DFA83FD" w14:textId="77777777" w:rsidR="00E912F4" w:rsidRPr="00037AC4" w:rsidRDefault="00E912F4" w:rsidP="00E912F4">
      <w:pPr>
        <w:autoSpaceDE w:val="0"/>
        <w:autoSpaceDN w:val="0"/>
        <w:adjustRightInd w:val="0"/>
        <w:rPr>
          <w:rFonts w:eastAsia="Times New Roman" w:cs="Arial"/>
          <w:szCs w:val="24"/>
          <w:lang w:eastAsia="en-GB"/>
        </w:rPr>
      </w:pPr>
    </w:p>
    <w:p w14:paraId="0EA68550" w14:textId="77777777" w:rsidR="00E912F4" w:rsidRPr="00037AC4" w:rsidRDefault="00E912F4" w:rsidP="00E912F4">
      <w:pPr>
        <w:autoSpaceDE w:val="0"/>
        <w:autoSpaceDN w:val="0"/>
        <w:adjustRightInd w:val="0"/>
        <w:rPr>
          <w:rFonts w:eastAsia="Times New Roman" w:cs="Arial"/>
          <w:szCs w:val="24"/>
          <w:lang w:eastAsia="en-GB"/>
        </w:rPr>
      </w:pPr>
      <w:r w:rsidRPr="00037AC4">
        <w:rPr>
          <w:rFonts w:eastAsia="Times New Roman" w:cs="Arial"/>
          <w:szCs w:val="24"/>
          <w:lang w:eastAsia="en-GB"/>
        </w:rPr>
        <w:t>Please do not hesitate to contact me if you wish to discuss any aspect of my letter in more detail and I hope to receive more information regarding this shared care agreement as soon as possible</w:t>
      </w:r>
    </w:p>
    <w:p w14:paraId="2555000B" w14:textId="77777777" w:rsidR="00E912F4" w:rsidRPr="00037AC4" w:rsidRDefault="00E912F4" w:rsidP="00E912F4">
      <w:pPr>
        <w:autoSpaceDE w:val="0"/>
        <w:autoSpaceDN w:val="0"/>
        <w:adjustRightInd w:val="0"/>
        <w:rPr>
          <w:rFonts w:eastAsia="Times New Roman" w:cs="Arial"/>
          <w:szCs w:val="24"/>
          <w:lang w:eastAsia="en-GB"/>
        </w:rPr>
      </w:pPr>
    </w:p>
    <w:p w14:paraId="48EF5F64" w14:textId="77777777" w:rsidR="00E912F4" w:rsidRPr="00037AC4" w:rsidRDefault="00E912F4" w:rsidP="00E912F4">
      <w:pPr>
        <w:rPr>
          <w:rFonts w:eastAsia="Times New Roman" w:cs="Arial"/>
          <w:szCs w:val="24"/>
          <w:lang w:eastAsia="en-GB"/>
        </w:rPr>
      </w:pPr>
      <w:r w:rsidRPr="00037AC4">
        <w:rPr>
          <w:rFonts w:eastAsia="Times New Roman" w:cs="Arial"/>
          <w:szCs w:val="24"/>
          <w:lang w:eastAsia="en-GB"/>
        </w:rPr>
        <w:t>Yours sincerely</w:t>
      </w:r>
    </w:p>
    <w:p w14:paraId="222B5E6A" w14:textId="77777777" w:rsidR="00E912F4" w:rsidRPr="00037AC4" w:rsidRDefault="00E912F4" w:rsidP="00E912F4">
      <w:pPr>
        <w:rPr>
          <w:rFonts w:eastAsia="Times New Roman" w:cs="Arial"/>
          <w:szCs w:val="24"/>
          <w:lang w:eastAsia="en-GB"/>
        </w:rPr>
      </w:pPr>
    </w:p>
    <w:p w14:paraId="74D1CF3D" w14:textId="77777777" w:rsidR="00E912F4" w:rsidRPr="00037AC4" w:rsidRDefault="00E912F4" w:rsidP="00E912F4">
      <w:pPr>
        <w:rPr>
          <w:rFonts w:eastAsia="Times New Roman" w:cs="Arial"/>
          <w:szCs w:val="24"/>
          <w:lang w:eastAsia="en-GB"/>
        </w:rPr>
      </w:pPr>
    </w:p>
    <w:p w14:paraId="26D49D9B" w14:textId="77777777" w:rsidR="007C6CD4" w:rsidRPr="00037AC4" w:rsidRDefault="00E912F4" w:rsidP="00E912F4">
      <w:pPr>
        <w:autoSpaceDE w:val="0"/>
        <w:autoSpaceDN w:val="0"/>
        <w:adjustRightInd w:val="0"/>
        <w:rPr>
          <w:rFonts w:eastAsia="Times New Roman" w:cs="Arial"/>
          <w:b/>
          <w:bCs/>
          <w:szCs w:val="24"/>
        </w:rPr>
      </w:pPr>
      <w:r w:rsidRPr="00037AC4">
        <w:rPr>
          <w:rFonts w:eastAsia="Times New Roman" w:cs="Arial"/>
          <w:b/>
          <w:bCs/>
          <w:szCs w:val="24"/>
        </w:rPr>
        <w:t>Primary Care Prescriber signature: _______________________________</w:t>
      </w:r>
    </w:p>
    <w:p w14:paraId="300842FC" w14:textId="3133AF30" w:rsidR="00E912F4" w:rsidRPr="00037AC4" w:rsidRDefault="00E912F4" w:rsidP="00E912F4">
      <w:pPr>
        <w:autoSpaceDE w:val="0"/>
        <w:autoSpaceDN w:val="0"/>
        <w:adjustRightInd w:val="0"/>
        <w:rPr>
          <w:rFonts w:eastAsia="Times New Roman" w:cs="Arial"/>
          <w:b/>
          <w:bCs/>
          <w:szCs w:val="24"/>
        </w:rPr>
      </w:pPr>
      <w:r w:rsidRPr="00037AC4">
        <w:rPr>
          <w:rFonts w:eastAsia="Times New Roman" w:cs="Arial"/>
          <w:b/>
          <w:bCs/>
          <w:szCs w:val="24"/>
        </w:rPr>
        <w:t xml:space="preserve">Date: ____________ </w:t>
      </w:r>
    </w:p>
    <w:p w14:paraId="47FE7FB5" w14:textId="77777777" w:rsidR="00E912F4" w:rsidRPr="00037AC4" w:rsidRDefault="00E912F4" w:rsidP="00E912F4">
      <w:pPr>
        <w:autoSpaceDE w:val="0"/>
        <w:autoSpaceDN w:val="0"/>
        <w:adjustRightInd w:val="0"/>
        <w:rPr>
          <w:rFonts w:eastAsia="Times New Roman" w:cs="Arial"/>
          <w:b/>
          <w:bCs/>
          <w:szCs w:val="24"/>
        </w:rPr>
      </w:pPr>
    </w:p>
    <w:p w14:paraId="09762B82" w14:textId="77777777" w:rsidR="00E912F4" w:rsidRPr="00037AC4" w:rsidRDefault="00E912F4" w:rsidP="00E912F4">
      <w:pPr>
        <w:autoSpaceDE w:val="0"/>
        <w:autoSpaceDN w:val="0"/>
        <w:adjustRightInd w:val="0"/>
        <w:rPr>
          <w:rFonts w:eastAsia="Times New Roman" w:cs="Arial"/>
          <w:b/>
          <w:bCs/>
          <w:szCs w:val="24"/>
        </w:rPr>
      </w:pPr>
    </w:p>
    <w:p w14:paraId="156FCB28" w14:textId="77777777" w:rsidR="00E912F4" w:rsidRPr="00037AC4" w:rsidRDefault="00E912F4" w:rsidP="00E912F4">
      <w:pPr>
        <w:autoSpaceDE w:val="0"/>
        <w:autoSpaceDN w:val="0"/>
        <w:adjustRightInd w:val="0"/>
        <w:rPr>
          <w:rFonts w:eastAsia="Times New Roman" w:cs="Arial"/>
          <w:b/>
          <w:bCs/>
          <w:szCs w:val="24"/>
        </w:rPr>
      </w:pPr>
    </w:p>
    <w:p w14:paraId="7CD18875" w14:textId="77777777" w:rsidR="00E912F4" w:rsidRPr="00E912F4" w:rsidRDefault="00E912F4" w:rsidP="00E912F4">
      <w:pPr>
        <w:autoSpaceDE w:val="0"/>
        <w:autoSpaceDN w:val="0"/>
        <w:adjustRightInd w:val="0"/>
        <w:rPr>
          <w:rFonts w:eastAsia="Times New Roman" w:cs="Arial"/>
          <w:szCs w:val="24"/>
          <w:lang w:eastAsia="en-GB"/>
        </w:rPr>
      </w:pPr>
      <w:r w:rsidRPr="00037AC4">
        <w:rPr>
          <w:rFonts w:eastAsia="Times New Roman" w:cs="Arial"/>
          <w:b/>
          <w:bCs/>
          <w:szCs w:val="24"/>
        </w:rPr>
        <w:t>Primary Care Prescriber address/practice stamp</w:t>
      </w:r>
    </w:p>
    <w:p w14:paraId="0D6CE2EC" w14:textId="77777777" w:rsidR="00E912F4" w:rsidRPr="00A878C4" w:rsidRDefault="00E912F4" w:rsidP="00E912F4">
      <w:pPr>
        <w:autoSpaceDE w:val="0"/>
        <w:autoSpaceDN w:val="0"/>
        <w:adjustRightInd w:val="0"/>
        <w:spacing w:line="240" w:lineRule="auto"/>
        <w:rPr>
          <w:rFonts w:ascii="TTE26EBF20t00" w:eastAsia="Times New Roman" w:hAnsi="TTE26EBF20t00" w:cs="TTE26EBF20t00"/>
          <w:lang w:eastAsia="en-GB"/>
        </w:rPr>
      </w:pPr>
    </w:p>
    <w:p w14:paraId="545A3110" w14:textId="77777777" w:rsidR="00E912F4" w:rsidRPr="00E912F4" w:rsidRDefault="00E912F4" w:rsidP="00E912F4"/>
    <w:sectPr w:rsidR="00E912F4" w:rsidRPr="00E912F4"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BE455" w14:textId="77777777" w:rsidR="00783AF4" w:rsidRDefault="00783AF4" w:rsidP="0087662D">
      <w:pPr>
        <w:spacing w:line="240" w:lineRule="auto"/>
      </w:pPr>
      <w:r>
        <w:separator/>
      </w:r>
    </w:p>
  </w:endnote>
  <w:endnote w:type="continuationSeparator" w:id="0">
    <w:p w14:paraId="682E9691" w14:textId="77777777" w:rsidR="00783AF4" w:rsidRDefault="00783AF4" w:rsidP="0087662D">
      <w:pPr>
        <w:spacing w:line="240" w:lineRule="auto"/>
      </w:pPr>
      <w:r>
        <w:continuationSeparator/>
      </w:r>
    </w:p>
  </w:endnote>
  <w:endnote w:type="continuationNotice" w:id="1">
    <w:p w14:paraId="36C023AF" w14:textId="77777777" w:rsidR="00783AF4" w:rsidRDefault="00783A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E26EBF20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610F42C1" w14:textId="0BE3F161" w:rsidR="00687477" w:rsidRPr="00EF4D31" w:rsidRDefault="00687477" w:rsidP="00EF4D31">
        <w:pPr>
          <w:pStyle w:val="Footer"/>
          <w:tabs>
            <w:tab w:val="clear" w:pos="9026"/>
            <w:tab w:val="right" w:pos="9781"/>
          </w:tabs>
          <w:ind w:left="-907" w:right="-711"/>
          <w:rPr>
            <w:sz w:val="25"/>
            <w:szCs w:val="25"/>
          </w:rPr>
        </w:pP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00E871A7" w:rsidRPr="00E871A7">
          <w:rPr>
            <w:color w:val="768692"/>
            <w:sz w:val="25"/>
            <w:szCs w:val="25"/>
          </w:rPr>
          <w:t>Ciclosporin</w:t>
        </w:r>
        <w:r w:rsidR="00E871A7">
          <w:rPr>
            <w:color w:val="768692"/>
            <w:sz w:val="25"/>
            <w:szCs w:val="25"/>
          </w:rPr>
          <w:t xml:space="preserve"> </w:t>
        </w:r>
        <w:r w:rsidR="00E871A7" w:rsidRPr="00E871A7">
          <w:rPr>
            <w:color w:val="768692"/>
            <w:sz w:val="25"/>
            <w:szCs w:val="25"/>
          </w:rPr>
          <w:t>for patients within adult services</w:t>
        </w:r>
      </w:p>
      <w:p w14:paraId="4994ED65" w14:textId="1269D3F0" w:rsidR="00687477" w:rsidRDefault="00FA5FE6"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A982" w14:textId="77777777" w:rsidR="00783AF4" w:rsidRDefault="00783AF4" w:rsidP="0087662D">
      <w:pPr>
        <w:spacing w:line="240" w:lineRule="auto"/>
      </w:pPr>
      <w:r>
        <w:separator/>
      </w:r>
    </w:p>
  </w:footnote>
  <w:footnote w:type="continuationSeparator" w:id="0">
    <w:p w14:paraId="0A461630" w14:textId="77777777" w:rsidR="00783AF4" w:rsidRDefault="00783AF4" w:rsidP="0087662D">
      <w:pPr>
        <w:spacing w:line="240" w:lineRule="auto"/>
      </w:pPr>
      <w:r>
        <w:continuationSeparator/>
      </w:r>
    </w:p>
  </w:footnote>
  <w:footnote w:type="continuationNotice" w:id="1">
    <w:p w14:paraId="1FF9CC00" w14:textId="77777777" w:rsidR="00783AF4" w:rsidRDefault="00783A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F12B" w14:textId="77777777" w:rsidR="00286256" w:rsidRDefault="00286256" w:rsidP="00286256">
    <w:pPr>
      <w:pStyle w:val="Header"/>
    </w:pPr>
    <w:r>
      <w:rPr>
        <w:noProof/>
      </w:rPr>
      <w:drawing>
        <wp:anchor distT="0" distB="0" distL="114300" distR="114300" simplePos="0" relativeHeight="251661313" behindDoc="1" locked="0" layoutInCell="1" allowOverlap="1" wp14:anchorId="11ECF828" wp14:editId="200A2FF5">
          <wp:simplePos x="0" y="0"/>
          <wp:positionH relativeFrom="page">
            <wp:posOffset>5969704</wp:posOffset>
          </wp:positionH>
          <wp:positionV relativeFrom="page">
            <wp:posOffset>449580</wp:posOffset>
          </wp:positionV>
          <wp:extent cx="1098000" cy="828000"/>
          <wp:effectExtent l="0" t="0" r="6985" b="0"/>
          <wp:wrapNone/>
          <wp:docPr id="1661025423" name="Picture 166102542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25423" name="Picture 1661025423"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9" behindDoc="1" locked="0" layoutInCell="1" allowOverlap="1" wp14:anchorId="49025704" wp14:editId="41DE9AB4">
          <wp:simplePos x="0" y="0"/>
          <wp:positionH relativeFrom="column">
            <wp:posOffset>-381445</wp:posOffset>
          </wp:positionH>
          <wp:positionV relativeFrom="page">
            <wp:posOffset>583565</wp:posOffset>
          </wp:positionV>
          <wp:extent cx="1760400" cy="583200"/>
          <wp:effectExtent l="0" t="0" r="0" b="7620"/>
          <wp:wrapNone/>
          <wp:docPr id="2042489097" name="Picture 2042489097" descr="A green logo with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489097" name="Picture 2042489097" descr="A green logo with words&#10;&#10;AI-generated content may be incorrect."/>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F5CC00" w14:textId="77777777" w:rsidR="00286256" w:rsidRDefault="00286256">
    <w:pPr>
      <w:pStyle w:val="Header"/>
    </w:pPr>
  </w:p>
  <w:p w14:paraId="626A8CF2" w14:textId="77777777" w:rsidR="00286256" w:rsidRDefault="00286256">
    <w:pPr>
      <w:pStyle w:val="Header"/>
    </w:pPr>
  </w:p>
  <w:p w14:paraId="2CABCC3F" w14:textId="77777777" w:rsidR="00286256" w:rsidRDefault="00286256">
    <w:pPr>
      <w:pStyle w:val="Header"/>
    </w:pPr>
  </w:p>
  <w:p w14:paraId="5D9A40CB" w14:textId="77777777" w:rsidR="00286256" w:rsidRDefault="00286256">
    <w:pPr>
      <w:pStyle w:val="Header"/>
    </w:pPr>
  </w:p>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286256" w14:paraId="3EEA00D5" w14:textId="77777777" w:rsidTr="001673DC">
      <w:trPr>
        <w:trHeight w:val="642"/>
      </w:trPr>
      <w:sdt>
        <w:sdtPr>
          <w:alias w:val="Protective Marking"/>
          <w:tag w:val="Protective Marking"/>
          <w:id w:val="1850981390"/>
          <w:placeholder>
            <w:docPart w:val="95A08C235C6243DF8E5D953050B11EC2"/>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64DE4AD7" w14:textId="77777777" w:rsidR="00286256" w:rsidRDefault="00286256" w:rsidP="00286256">
              <w:pPr>
                <w:pStyle w:val="Classification"/>
              </w:pPr>
              <w:r>
                <w:t>Classification: Official</w:t>
              </w:r>
            </w:p>
          </w:tc>
        </w:sdtContent>
      </w:sdt>
    </w:tr>
    <w:tr w:rsidR="00286256" w14:paraId="477BE513" w14:textId="77777777" w:rsidTr="001673DC">
      <w:tc>
        <w:tcPr>
          <w:tcW w:w="6727" w:type="dxa"/>
        </w:tcPr>
        <w:p w14:paraId="322EC658" w14:textId="77777777" w:rsidR="00286256" w:rsidRDefault="00286256" w:rsidP="00286256">
          <w:pPr>
            <w:pStyle w:val="Classification"/>
          </w:pPr>
          <w:r>
            <w:t>Publication approval reference: PAR1621_xv</w:t>
          </w:r>
        </w:p>
      </w:tc>
    </w:tr>
  </w:tbl>
  <w:p w14:paraId="070DCACE" w14:textId="77777777" w:rsidR="00286256" w:rsidRDefault="00286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687477"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687477" w:rsidRDefault="00687477" w:rsidP="00C3089D">
              <w:pPr>
                <w:pStyle w:val="Classification"/>
              </w:pPr>
              <w:r>
                <w:t>Classification: Official</w:t>
              </w:r>
            </w:p>
          </w:tc>
        </w:sdtContent>
      </w:sdt>
    </w:tr>
    <w:tr w:rsidR="00687477" w14:paraId="059FB345" w14:textId="77777777" w:rsidTr="00C3089D">
      <w:tc>
        <w:tcPr>
          <w:tcW w:w="6727" w:type="dxa"/>
        </w:tcPr>
        <w:p w14:paraId="540958C7" w14:textId="5BF6B188" w:rsidR="00687477" w:rsidRDefault="00687477" w:rsidP="00C3089D">
          <w:pPr>
            <w:pStyle w:val="Classification"/>
          </w:pPr>
          <w:r>
            <w:t>Publication approval reference: PAR1621</w:t>
          </w:r>
          <w:r w:rsidR="00037AC4">
            <w:t>_xv</w:t>
          </w:r>
        </w:p>
      </w:tc>
    </w:tr>
  </w:tbl>
  <w:p w14:paraId="6C9D6A08" w14:textId="4F7F4E81" w:rsidR="00687477" w:rsidRDefault="00037AC4">
    <w:pPr>
      <w:pStyle w:val="Header"/>
    </w:pPr>
    <w:r>
      <w:rPr>
        <w:noProof/>
      </w:rPr>
      <w:drawing>
        <wp:anchor distT="0" distB="0" distL="114300" distR="114300" simplePos="0" relativeHeight="251658241" behindDoc="1" locked="0" layoutInCell="1" allowOverlap="1" wp14:anchorId="4A042B2A" wp14:editId="2BC9769C">
          <wp:simplePos x="0" y="0"/>
          <wp:positionH relativeFrom="page">
            <wp:posOffset>5969704</wp:posOffset>
          </wp:positionH>
          <wp:positionV relativeFrom="page">
            <wp:posOffset>449580</wp:posOffset>
          </wp:positionV>
          <wp:extent cx="1098000" cy="828000"/>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477">
      <w:rPr>
        <w:noProof/>
      </w:rPr>
      <w:drawing>
        <wp:anchor distT="0" distB="0" distL="114300" distR="114300" simplePos="0" relativeHeight="251658240" behindDoc="1" locked="0" layoutInCell="1" allowOverlap="1" wp14:anchorId="1B143649" wp14:editId="136AF4D3">
          <wp:simplePos x="0" y="0"/>
          <wp:positionH relativeFrom="column">
            <wp:posOffset>-381445</wp:posOffset>
          </wp:positionH>
          <wp:positionV relativeFrom="page">
            <wp:posOffset>583565</wp:posOffset>
          </wp:positionV>
          <wp:extent cx="1760400" cy="58320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3B3"/>
    <w:multiLevelType w:val="hybridMultilevel"/>
    <w:tmpl w:val="8BDE6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C4D93"/>
    <w:multiLevelType w:val="hybridMultilevel"/>
    <w:tmpl w:val="942C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00D6D"/>
    <w:multiLevelType w:val="hybridMultilevel"/>
    <w:tmpl w:val="A230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FD133B"/>
    <w:multiLevelType w:val="hybridMultilevel"/>
    <w:tmpl w:val="FAA2B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1147C9"/>
    <w:multiLevelType w:val="hybridMultilevel"/>
    <w:tmpl w:val="607E21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1452BF"/>
    <w:multiLevelType w:val="hybridMultilevel"/>
    <w:tmpl w:val="58DA04F0"/>
    <w:lvl w:ilvl="0" w:tplc="08090001">
      <w:start w:val="1"/>
      <w:numFmt w:val="bullet"/>
      <w:lvlText w:val=""/>
      <w:lvlJc w:val="left"/>
      <w:pPr>
        <w:ind w:left="360" w:hanging="360"/>
      </w:pPr>
      <w:rPr>
        <w:rFonts w:ascii="Symbol" w:hAnsi="Symbol" w:hint="default"/>
      </w:rPr>
    </w:lvl>
    <w:lvl w:ilvl="1" w:tplc="21F06148">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F85885"/>
    <w:multiLevelType w:val="hybridMultilevel"/>
    <w:tmpl w:val="58FC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B4532"/>
    <w:multiLevelType w:val="hybridMultilevel"/>
    <w:tmpl w:val="34B45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8253EA"/>
    <w:multiLevelType w:val="hybridMultilevel"/>
    <w:tmpl w:val="F3B6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0D5A85"/>
    <w:multiLevelType w:val="hybridMultilevel"/>
    <w:tmpl w:val="1A1E6E4A"/>
    <w:lvl w:ilvl="0" w:tplc="79F085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A1277"/>
    <w:multiLevelType w:val="hybridMultilevel"/>
    <w:tmpl w:val="27E29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165600"/>
    <w:multiLevelType w:val="hybridMultilevel"/>
    <w:tmpl w:val="3460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22608"/>
    <w:multiLevelType w:val="hybridMultilevel"/>
    <w:tmpl w:val="7C542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F25545"/>
    <w:multiLevelType w:val="hybridMultilevel"/>
    <w:tmpl w:val="1A021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D71907"/>
    <w:multiLevelType w:val="hybridMultilevel"/>
    <w:tmpl w:val="AE5EE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CC0027"/>
    <w:multiLevelType w:val="hybridMultilevel"/>
    <w:tmpl w:val="5990757C"/>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4F0E8B"/>
    <w:multiLevelType w:val="hybridMultilevel"/>
    <w:tmpl w:val="407668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968C5"/>
    <w:multiLevelType w:val="hybridMultilevel"/>
    <w:tmpl w:val="361AD8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3778BE"/>
    <w:multiLevelType w:val="hybridMultilevel"/>
    <w:tmpl w:val="CA384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0F6C5D"/>
    <w:multiLevelType w:val="multilevel"/>
    <w:tmpl w:val="0A1C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B02142"/>
    <w:multiLevelType w:val="hybridMultilevel"/>
    <w:tmpl w:val="8A380A28"/>
    <w:lvl w:ilvl="0" w:tplc="17767410">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color w:val="1F497D" w:themeColor="text2"/>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4323F5"/>
    <w:multiLevelType w:val="hybridMultilevel"/>
    <w:tmpl w:val="D980B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2A3FA1"/>
    <w:multiLevelType w:val="hybridMultilevel"/>
    <w:tmpl w:val="71E49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B35601"/>
    <w:multiLevelType w:val="hybridMultilevel"/>
    <w:tmpl w:val="6F72D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FD20A3"/>
    <w:multiLevelType w:val="hybridMultilevel"/>
    <w:tmpl w:val="E2D4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B80FDE"/>
    <w:multiLevelType w:val="hybridMultilevel"/>
    <w:tmpl w:val="B1DC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510875">
    <w:abstractNumId w:val="30"/>
  </w:num>
  <w:num w:numId="2" w16cid:durableId="835459205">
    <w:abstractNumId w:val="19"/>
  </w:num>
  <w:num w:numId="3" w16cid:durableId="90979868">
    <w:abstractNumId w:val="22"/>
  </w:num>
  <w:num w:numId="4" w16cid:durableId="437334589">
    <w:abstractNumId w:val="29"/>
  </w:num>
  <w:num w:numId="5" w16cid:durableId="20595616">
    <w:abstractNumId w:val="12"/>
  </w:num>
  <w:num w:numId="6" w16cid:durableId="1603802812">
    <w:abstractNumId w:val="14"/>
  </w:num>
  <w:num w:numId="7" w16cid:durableId="623118756">
    <w:abstractNumId w:val="8"/>
  </w:num>
  <w:num w:numId="8" w16cid:durableId="1580945030">
    <w:abstractNumId w:val="17"/>
  </w:num>
  <w:num w:numId="9" w16cid:durableId="382826688">
    <w:abstractNumId w:val="32"/>
  </w:num>
  <w:num w:numId="10" w16cid:durableId="286156777">
    <w:abstractNumId w:val="33"/>
  </w:num>
  <w:num w:numId="11" w16cid:durableId="1957718000">
    <w:abstractNumId w:val="27"/>
  </w:num>
  <w:num w:numId="12" w16cid:durableId="1441221023">
    <w:abstractNumId w:val="36"/>
  </w:num>
  <w:num w:numId="13" w16cid:durableId="277954085">
    <w:abstractNumId w:val="10"/>
  </w:num>
  <w:num w:numId="14" w16cid:durableId="1818103926">
    <w:abstractNumId w:val="18"/>
  </w:num>
  <w:num w:numId="15" w16cid:durableId="295112822">
    <w:abstractNumId w:val="4"/>
  </w:num>
  <w:num w:numId="16" w16cid:durableId="1664577382">
    <w:abstractNumId w:val="16"/>
  </w:num>
  <w:num w:numId="17" w16cid:durableId="1198859945">
    <w:abstractNumId w:val="2"/>
  </w:num>
  <w:num w:numId="18" w16cid:durableId="734277658">
    <w:abstractNumId w:val="26"/>
  </w:num>
  <w:num w:numId="19" w16cid:durableId="1713726301">
    <w:abstractNumId w:val="9"/>
  </w:num>
  <w:num w:numId="20" w16cid:durableId="1168207856">
    <w:abstractNumId w:val="34"/>
  </w:num>
  <w:num w:numId="21" w16cid:durableId="945574316">
    <w:abstractNumId w:val="15"/>
  </w:num>
  <w:num w:numId="22" w16cid:durableId="851071453">
    <w:abstractNumId w:val="3"/>
  </w:num>
  <w:num w:numId="23" w16cid:durableId="1141574824">
    <w:abstractNumId w:val="7"/>
  </w:num>
  <w:num w:numId="24" w16cid:durableId="217591065">
    <w:abstractNumId w:val="40"/>
  </w:num>
  <w:num w:numId="25" w16cid:durableId="884296690">
    <w:abstractNumId w:val="1"/>
  </w:num>
  <w:num w:numId="26" w16cid:durableId="1632787864">
    <w:abstractNumId w:val="11"/>
  </w:num>
  <w:num w:numId="27" w16cid:durableId="1484736979">
    <w:abstractNumId w:val="24"/>
  </w:num>
  <w:num w:numId="28" w16cid:durableId="2019888267">
    <w:abstractNumId w:val="6"/>
  </w:num>
  <w:num w:numId="29" w16cid:durableId="1458255986">
    <w:abstractNumId w:val="28"/>
  </w:num>
  <w:num w:numId="30" w16cid:durableId="618756673">
    <w:abstractNumId w:val="31"/>
  </w:num>
  <w:num w:numId="31" w16cid:durableId="871575407">
    <w:abstractNumId w:val="35"/>
  </w:num>
  <w:num w:numId="32" w16cid:durableId="2140340387">
    <w:abstractNumId w:val="25"/>
  </w:num>
  <w:num w:numId="33" w16cid:durableId="726684762">
    <w:abstractNumId w:val="39"/>
  </w:num>
  <w:num w:numId="34" w16cid:durableId="113717490">
    <w:abstractNumId w:val="0"/>
  </w:num>
  <w:num w:numId="35" w16cid:durableId="78259626">
    <w:abstractNumId w:val="20"/>
  </w:num>
  <w:num w:numId="36" w16cid:durableId="259679099">
    <w:abstractNumId w:val="38"/>
  </w:num>
  <w:num w:numId="37" w16cid:durableId="143350888">
    <w:abstractNumId w:val="23"/>
  </w:num>
  <w:num w:numId="38" w16cid:durableId="1573811101">
    <w:abstractNumId w:val="5"/>
  </w:num>
  <w:num w:numId="39" w16cid:durableId="854925703">
    <w:abstractNumId w:val="21"/>
  </w:num>
  <w:num w:numId="40" w16cid:durableId="54935354">
    <w:abstractNumId w:val="37"/>
  </w:num>
  <w:num w:numId="41" w16cid:durableId="121546146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rKklhUvt4i29bDZQJFyY6436e3pt//s4FlclYwWW2M2bXpl/nqx8gymhJAIzhvcbIpeZGorr6N1jqMmB4kh3qw==" w:salt="JTi0ecYLuz8fs1fOX64Oz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16530"/>
    <w:rsid w:val="00024DEE"/>
    <w:rsid w:val="00026F7B"/>
    <w:rsid w:val="00027BF3"/>
    <w:rsid w:val="00031040"/>
    <w:rsid w:val="00031A00"/>
    <w:rsid w:val="00032538"/>
    <w:rsid w:val="000354F0"/>
    <w:rsid w:val="0003731C"/>
    <w:rsid w:val="00037AC4"/>
    <w:rsid w:val="00042AE7"/>
    <w:rsid w:val="000469BF"/>
    <w:rsid w:val="00046C47"/>
    <w:rsid w:val="00055685"/>
    <w:rsid w:val="000625E5"/>
    <w:rsid w:val="00063544"/>
    <w:rsid w:val="000652A2"/>
    <w:rsid w:val="00065565"/>
    <w:rsid w:val="00065775"/>
    <w:rsid w:val="00065B98"/>
    <w:rsid w:val="00067C8D"/>
    <w:rsid w:val="00070CFF"/>
    <w:rsid w:val="00080C62"/>
    <w:rsid w:val="00084DC3"/>
    <w:rsid w:val="00091F97"/>
    <w:rsid w:val="00092621"/>
    <w:rsid w:val="00092CAD"/>
    <w:rsid w:val="0009626A"/>
    <w:rsid w:val="00096431"/>
    <w:rsid w:val="000979BA"/>
    <w:rsid w:val="000A1C3F"/>
    <w:rsid w:val="000A2430"/>
    <w:rsid w:val="000A6D12"/>
    <w:rsid w:val="000B5C73"/>
    <w:rsid w:val="000C44F0"/>
    <w:rsid w:val="000C52FE"/>
    <w:rsid w:val="000C7037"/>
    <w:rsid w:val="000D1E44"/>
    <w:rsid w:val="000D5F9E"/>
    <w:rsid w:val="000E1BF6"/>
    <w:rsid w:val="000E376A"/>
    <w:rsid w:val="000E5CFD"/>
    <w:rsid w:val="000E63B8"/>
    <w:rsid w:val="000E743E"/>
    <w:rsid w:val="000F6CED"/>
    <w:rsid w:val="00101ECA"/>
    <w:rsid w:val="001031D5"/>
    <w:rsid w:val="001039DF"/>
    <w:rsid w:val="00104888"/>
    <w:rsid w:val="001130B8"/>
    <w:rsid w:val="001213C9"/>
    <w:rsid w:val="00127457"/>
    <w:rsid w:val="00127FD8"/>
    <w:rsid w:val="00132FF4"/>
    <w:rsid w:val="001354E7"/>
    <w:rsid w:val="0014209C"/>
    <w:rsid w:val="0014434C"/>
    <w:rsid w:val="001468BD"/>
    <w:rsid w:val="00150BBB"/>
    <w:rsid w:val="001516D6"/>
    <w:rsid w:val="001518FB"/>
    <w:rsid w:val="0015685E"/>
    <w:rsid w:val="001636D7"/>
    <w:rsid w:val="00163D1F"/>
    <w:rsid w:val="00165190"/>
    <w:rsid w:val="00166280"/>
    <w:rsid w:val="00171D4D"/>
    <w:rsid w:val="00173C0C"/>
    <w:rsid w:val="00181489"/>
    <w:rsid w:val="00181953"/>
    <w:rsid w:val="00182AA9"/>
    <w:rsid w:val="00186EA2"/>
    <w:rsid w:val="00191F99"/>
    <w:rsid w:val="00193C19"/>
    <w:rsid w:val="00195599"/>
    <w:rsid w:val="001972DA"/>
    <w:rsid w:val="001A1DB6"/>
    <w:rsid w:val="001A3A33"/>
    <w:rsid w:val="001B096D"/>
    <w:rsid w:val="001B7539"/>
    <w:rsid w:val="001B7860"/>
    <w:rsid w:val="001C2FA2"/>
    <w:rsid w:val="001C3E4B"/>
    <w:rsid w:val="001C57F1"/>
    <w:rsid w:val="001C5879"/>
    <w:rsid w:val="001C6573"/>
    <w:rsid w:val="001D124F"/>
    <w:rsid w:val="001D20B3"/>
    <w:rsid w:val="001D2756"/>
    <w:rsid w:val="001E068F"/>
    <w:rsid w:val="001E0A5E"/>
    <w:rsid w:val="001E3E2A"/>
    <w:rsid w:val="001E7AAA"/>
    <w:rsid w:val="001F04D1"/>
    <w:rsid w:val="001F2FFE"/>
    <w:rsid w:val="001F3C1D"/>
    <w:rsid w:val="001F4ECE"/>
    <w:rsid w:val="001F6FD3"/>
    <w:rsid w:val="00205AE1"/>
    <w:rsid w:val="002102CD"/>
    <w:rsid w:val="002109B2"/>
    <w:rsid w:val="002170F9"/>
    <w:rsid w:val="00221A17"/>
    <w:rsid w:val="0022471E"/>
    <w:rsid w:val="00224B60"/>
    <w:rsid w:val="0022582A"/>
    <w:rsid w:val="00230445"/>
    <w:rsid w:val="002307A1"/>
    <w:rsid w:val="00230F2C"/>
    <w:rsid w:val="00232C40"/>
    <w:rsid w:val="00234C3F"/>
    <w:rsid w:val="00236640"/>
    <w:rsid w:val="00237CAB"/>
    <w:rsid w:val="00243CF1"/>
    <w:rsid w:val="0024571E"/>
    <w:rsid w:val="00246CC5"/>
    <w:rsid w:val="00252052"/>
    <w:rsid w:val="00254A99"/>
    <w:rsid w:val="00256BBF"/>
    <w:rsid w:val="00271DA1"/>
    <w:rsid w:val="00271F18"/>
    <w:rsid w:val="00280725"/>
    <w:rsid w:val="00281660"/>
    <w:rsid w:val="00281F31"/>
    <w:rsid w:val="0028289C"/>
    <w:rsid w:val="002829B6"/>
    <w:rsid w:val="00286256"/>
    <w:rsid w:val="0028743E"/>
    <w:rsid w:val="0029228C"/>
    <w:rsid w:val="00295135"/>
    <w:rsid w:val="002A1D88"/>
    <w:rsid w:val="002A4121"/>
    <w:rsid w:val="002A451D"/>
    <w:rsid w:val="002B3965"/>
    <w:rsid w:val="002B6C74"/>
    <w:rsid w:val="002C1080"/>
    <w:rsid w:val="002C1756"/>
    <w:rsid w:val="002C1FC3"/>
    <w:rsid w:val="002C36BE"/>
    <w:rsid w:val="002C69B2"/>
    <w:rsid w:val="002D0399"/>
    <w:rsid w:val="002D0D8A"/>
    <w:rsid w:val="002D32AD"/>
    <w:rsid w:val="002D43A6"/>
    <w:rsid w:val="002D5EC6"/>
    <w:rsid w:val="002D6DA8"/>
    <w:rsid w:val="002E0340"/>
    <w:rsid w:val="002E4E12"/>
    <w:rsid w:val="002E64F1"/>
    <w:rsid w:val="00300AFE"/>
    <w:rsid w:val="00303318"/>
    <w:rsid w:val="00316A2C"/>
    <w:rsid w:val="0031762F"/>
    <w:rsid w:val="00320028"/>
    <w:rsid w:val="00321536"/>
    <w:rsid w:val="0032558C"/>
    <w:rsid w:val="00327EC5"/>
    <w:rsid w:val="00334710"/>
    <w:rsid w:val="00334B2C"/>
    <w:rsid w:val="00335640"/>
    <w:rsid w:val="00335935"/>
    <w:rsid w:val="00337F56"/>
    <w:rsid w:val="003422DE"/>
    <w:rsid w:val="0034687F"/>
    <w:rsid w:val="00347046"/>
    <w:rsid w:val="00347990"/>
    <w:rsid w:val="003512FF"/>
    <w:rsid w:val="0035163C"/>
    <w:rsid w:val="00352B0E"/>
    <w:rsid w:val="003569AC"/>
    <w:rsid w:val="0035702F"/>
    <w:rsid w:val="00361826"/>
    <w:rsid w:val="00362B20"/>
    <w:rsid w:val="00364CD9"/>
    <w:rsid w:val="00370966"/>
    <w:rsid w:val="003734C9"/>
    <w:rsid w:val="003736AF"/>
    <w:rsid w:val="003767F5"/>
    <w:rsid w:val="003768B6"/>
    <w:rsid w:val="003832B6"/>
    <w:rsid w:val="003873A7"/>
    <w:rsid w:val="00393796"/>
    <w:rsid w:val="00395BCB"/>
    <w:rsid w:val="00397375"/>
    <w:rsid w:val="00397EA3"/>
    <w:rsid w:val="003A0310"/>
    <w:rsid w:val="003B03B0"/>
    <w:rsid w:val="003B5326"/>
    <w:rsid w:val="003C1546"/>
    <w:rsid w:val="003C291F"/>
    <w:rsid w:val="003D0261"/>
    <w:rsid w:val="003D163E"/>
    <w:rsid w:val="003D3182"/>
    <w:rsid w:val="003D325A"/>
    <w:rsid w:val="003D4B49"/>
    <w:rsid w:val="003E25EA"/>
    <w:rsid w:val="003E6BAD"/>
    <w:rsid w:val="003E7515"/>
    <w:rsid w:val="003E7F57"/>
    <w:rsid w:val="003F3997"/>
    <w:rsid w:val="003F53C9"/>
    <w:rsid w:val="00403A06"/>
    <w:rsid w:val="00404041"/>
    <w:rsid w:val="00411634"/>
    <w:rsid w:val="00412A51"/>
    <w:rsid w:val="00413361"/>
    <w:rsid w:val="004206F9"/>
    <w:rsid w:val="004243EF"/>
    <w:rsid w:val="00425C08"/>
    <w:rsid w:val="00426DE1"/>
    <w:rsid w:val="004301BF"/>
    <w:rsid w:val="00431CDC"/>
    <w:rsid w:val="00440FC3"/>
    <w:rsid w:val="00441F07"/>
    <w:rsid w:val="004470C5"/>
    <w:rsid w:val="004475E1"/>
    <w:rsid w:val="0044786D"/>
    <w:rsid w:val="00447C55"/>
    <w:rsid w:val="00450FE2"/>
    <w:rsid w:val="00454EBC"/>
    <w:rsid w:val="00455CD5"/>
    <w:rsid w:val="00470083"/>
    <w:rsid w:val="00471EBC"/>
    <w:rsid w:val="00472FE3"/>
    <w:rsid w:val="0047377F"/>
    <w:rsid w:val="00474D84"/>
    <w:rsid w:val="004804AA"/>
    <w:rsid w:val="00480571"/>
    <w:rsid w:val="00480595"/>
    <w:rsid w:val="00483CD1"/>
    <w:rsid w:val="00487028"/>
    <w:rsid w:val="0048728C"/>
    <w:rsid w:val="00487BEB"/>
    <w:rsid w:val="00492CD8"/>
    <w:rsid w:val="004A0BF6"/>
    <w:rsid w:val="004A20B0"/>
    <w:rsid w:val="004A32C9"/>
    <w:rsid w:val="004A7EB4"/>
    <w:rsid w:val="004B09E9"/>
    <w:rsid w:val="004B1A68"/>
    <w:rsid w:val="004B3351"/>
    <w:rsid w:val="004B4FE2"/>
    <w:rsid w:val="004B59C6"/>
    <w:rsid w:val="004C0E0B"/>
    <w:rsid w:val="004C3859"/>
    <w:rsid w:val="004C6B7F"/>
    <w:rsid w:val="004F0714"/>
    <w:rsid w:val="004F3450"/>
    <w:rsid w:val="00505A68"/>
    <w:rsid w:val="0051050E"/>
    <w:rsid w:val="00511346"/>
    <w:rsid w:val="005137F4"/>
    <w:rsid w:val="00514D5F"/>
    <w:rsid w:val="00516AFA"/>
    <w:rsid w:val="00516C57"/>
    <w:rsid w:val="00527AE1"/>
    <w:rsid w:val="0053224C"/>
    <w:rsid w:val="005354DC"/>
    <w:rsid w:val="00536A18"/>
    <w:rsid w:val="0054125F"/>
    <w:rsid w:val="00543DA8"/>
    <w:rsid w:val="00544899"/>
    <w:rsid w:val="00551E14"/>
    <w:rsid w:val="00552232"/>
    <w:rsid w:val="00553C58"/>
    <w:rsid w:val="00553DF7"/>
    <w:rsid w:val="00554E0F"/>
    <w:rsid w:val="0056444A"/>
    <w:rsid w:val="00567D84"/>
    <w:rsid w:val="0057584D"/>
    <w:rsid w:val="00582F77"/>
    <w:rsid w:val="00587310"/>
    <w:rsid w:val="0059083D"/>
    <w:rsid w:val="00595041"/>
    <w:rsid w:val="00595B0A"/>
    <w:rsid w:val="005A01FF"/>
    <w:rsid w:val="005A175B"/>
    <w:rsid w:val="005A5C7B"/>
    <w:rsid w:val="005B431B"/>
    <w:rsid w:val="005B612D"/>
    <w:rsid w:val="005C0784"/>
    <w:rsid w:val="005C1E75"/>
    <w:rsid w:val="005C2437"/>
    <w:rsid w:val="005C3015"/>
    <w:rsid w:val="005C48AE"/>
    <w:rsid w:val="005C49B0"/>
    <w:rsid w:val="005C61AE"/>
    <w:rsid w:val="005C78E5"/>
    <w:rsid w:val="005D08B4"/>
    <w:rsid w:val="005D2143"/>
    <w:rsid w:val="005D30E8"/>
    <w:rsid w:val="005E281F"/>
    <w:rsid w:val="005E541C"/>
    <w:rsid w:val="005E6488"/>
    <w:rsid w:val="005F463D"/>
    <w:rsid w:val="005F6358"/>
    <w:rsid w:val="006004D7"/>
    <w:rsid w:val="006025E4"/>
    <w:rsid w:val="00606660"/>
    <w:rsid w:val="00607027"/>
    <w:rsid w:val="00612B55"/>
    <w:rsid w:val="006214C8"/>
    <w:rsid w:val="006225C4"/>
    <w:rsid w:val="006242BB"/>
    <w:rsid w:val="006249F0"/>
    <w:rsid w:val="00624EE6"/>
    <w:rsid w:val="00626B5F"/>
    <w:rsid w:val="006270F1"/>
    <w:rsid w:val="006309F9"/>
    <w:rsid w:val="00631304"/>
    <w:rsid w:val="00632FAA"/>
    <w:rsid w:val="00637261"/>
    <w:rsid w:val="0064050C"/>
    <w:rsid w:val="006408B1"/>
    <w:rsid w:val="006505B0"/>
    <w:rsid w:val="006513D3"/>
    <w:rsid w:val="00651BD9"/>
    <w:rsid w:val="006521B8"/>
    <w:rsid w:val="00657F95"/>
    <w:rsid w:val="00666714"/>
    <w:rsid w:val="00672B9B"/>
    <w:rsid w:val="00673B7A"/>
    <w:rsid w:val="00684E6F"/>
    <w:rsid w:val="00684EB3"/>
    <w:rsid w:val="00687477"/>
    <w:rsid w:val="006A1763"/>
    <w:rsid w:val="006A1C3F"/>
    <w:rsid w:val="006A2910"/>
    <w:rsid w:val="006A35B2"/>
    <w:rsid w:val="006A77D6"/>
    <w:rsid w:val="006A7F2C"/>
    <w:rsid w:val="006B1367"/>
    <w:rsid w:val="006B4B99"/>
    <w:rsid w:val="006B6C80"/>
    <w:rsid w:val="006C35B2"/>
    <w:rsid w:val="006C44AF"/>
    <w:rsid w:val="006C782B"/>
    <w:rsid w:val="006D4AFF"/>
    <w:rsid w:val="006D4B1B"/>
    <w:rsid w:val="006D4DCC"/>
    <w:rsid w:val="006D4FE0"/>
    <w:rsid w:val="006D559B"/>
    <w:rsid w:val="006D77DA"/>
    <w:rsid w:val="006E2338"/>
    <w:rsid w:val="006E2D55"/>
    <w:rsid w:val="006E40C7"/>
    <w:rsid w:val="006E68A7"/>
    <w:rsid w:val="006F289F"/>
    <w:rsid w:val="006F28E4"/>
    <w:rsid w:val="006F3BBA"/>
    <w:rsid w:val="0070429F"/>
    <w:rsid w:val="007062A7"/>
    <w:rsid w:val="00706BA7"/>
    <w:rsid w:val="00707E5D"/>
    <w:rsid w:val="00712B97"/>
    <w:rsid w:val="007148DE"/>
    <w:rsid w:val="00715012"/>
    <w:rsid w:val="00715E23"/>
    <w:rsid w:val="00716548"/>
    <w:rsid w:val="00723BC1"/>
    <w:rsid w:val="00727C2E"/>
    <w:rsid w:val="0073175A"/>
    <w:rsid w:val="00733C34"/>
    <w:rsid w:val="007343A7"/>
    <w:rsid w:val="0073587B"/>
    <w:rsid w:val="007359F4"/>
    <w:rsid w:val="00736ABA"/>
    <w:rsid w:val="00736F3B"/>
    <w:rsid w:val="00737CFE"/>
    <w:rsid w:val="00742F60"/>
    <w:rsid w:val="007450A7"/>
    <w:rsid w:val="00747618"/>
    <w:rsid w:val="007555AA"/>
    <w:rsid w:val="00757E5D"/>
    <w:rsid w:val="00757F9E"/>
    <w:rsid w:val="00761363"/>
    <w:rsid w:val="007623B6"/>
    <w:rsid w:val="007634F4"/>
    <w:rsid w:val="0076450B"/>
    <w:rsid w:val="00765204"/>
    <w:rsid w:val="00766CFA"/>
    <w:rsid w:val="00770DC9"/>
    <w:rsid w:val="00774F7C"/>
    <w:rsid w:val="00783AF4"/>
    <w:rsid w:val="00790845"/>
    <w:rsid w:val="00792300"/>
    <w:rsid w:val="00794292"/>
    <w:rsid w:val="00797F3F"/>
    <w:rsid w:val="007A2AF0"/>
    <w:rsid w:val="007A3CC6"/>
    <w:rsid w:val="007A4A79"/>
    <w:rsid w:val="007B3418"/>
    <w:rsid w:val="007B54C4"/>
    <w:rsid w:val="007B739A"/>
    <w:rsid w:val="007B74CC"/>
    <w:rsid w:val="007B76B0"/>
    <w:rsid w:val="007C2F00"/>
    <w:rsid w:val="007C6B10"/>
    <w:rsid w:val="007C6CD4"/>
    <w:rsid w:val="007C6E86"/>
    <w:rsid w:val="007C7198"/>
    <w:rsid w:val="007C7494"/>
    <w:rsid w:val="007C7671"/>
    <w:rsid w:val="007D4F4F"/>
    <w:rsid w:val="007E228E"/>
    <w:rsid w:val="007E4BD7"/>
    <w:rsid w:val="007E547C"/>
    <w:rsid w:val="007F3977"/>
    <w:rsid w:val="007F3F28"/>
    <w:rsid w:val="007F7B88"/>
    <w:rsid w:val="008009CB"/>
    <w:rsid w:val="00801D14"/>
    <w:rsid w:val="00802960"/>
    <w:rsid w:val="00802BC6"/>
    <w:rsid w:val="00805F12"/>
    <w:rsid w:val="00806AB9"/>
    <w:rsid w:val="00812227"/>
    <w:rsid w:val="008210A6"/>
    <w:rsid w:val="00822096"/>
    <w:rsid w:val="0082422C"/>
    <w:rsid w:val="008359A8"/>
    <w:rsid w:val="00841BE2"/>
    <w:rsid w:val="008426BA"/>
    <w:rsid w:val="008427D0"/>
    <w:rsid w:val="008466C6"/>
    <w:rsid w:val="00846A4A"/>
    <w:rsid w:val="00853518"/>
    <w:rsid w:val="008548F9"/>
    <w:rsid w:val="00856710"/>
    <w:rsid w:val="00862DC4"/>
    <w:rsid w:val="00865875"/>
    <w:rsid w:val="00866650"/>
    <w:rsid w:val="00867FD9"/>
    <w:rsid w:val="00871AF9"/>
    <w:rsid w:val="00872A42"/>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584D"/>
    <w:rsid w:val="008E62E9"/>
    <w:rsid w:val="008F2DA2"/>
    <w:rsid w:val="008F47B1"/>
    <w:rsid w:val="009038BB"/>
    <w:rsid w:val="00905F9C"/>
    <w:rsid w:val="009067F0"/>
    <w:rsid w:val="00907EB0"/>
    <w:rsid w:val="00912A1D"/>
    <w:rsid w:val="009142FC"/>
    <w:rsid w:val="00916006"/>
    <w:rsid w:val="00922068"/>
    <w:rsid w:val="00933A4C"/>
    <w:rsid w:val="0093601C"/>
    <w:rsid w:val="00940AA2"/>
    <w:rsid w:val="00943E35"/>
    <w:rsid w:val="00944BA0"/>
    <w:rsid w:val="00946248"/>
    <w:rsid w:val="009509FD"/>
    <w:rsid w:val="009533A6"/>
    <w:rsid w:val="00955F72"/>
    <w:rsid w:val="00956C8E"/>
    <w:rsid w:val="009610F0"/>
    <w:rsid w:val="00964CEB"/>
    <w:rsid w:val="00965B22"/>
    <w:rsid w:val="009704AA"/>
    <w:rsid w:val="0097517B"/>
    <w:rsid w:val="00982031"/>
    <w:rsid w:val="00983EF3"/>
    <w:rsid w:val="00985C56"/>
    <w:rsid w:val="00986D3D"/>
    <w:rsid w:val="00995EAE"/>
    <w:rsid w:val="009A16D5"/>
    <w:rsid w:val="009A2F28"/>
    <w:rsid w:val="009A544D"/>
    <w:rsid w:val="009A5568"/>
    <w:rsid w:val="009A5F87"/>
    <w:rsid w:val="009B1BC3"/>
    <w:rsid w:val="009B36E7"/>
    <w:rsid w:val="009B44E1"/>
    <w:rsid w:val="009C1B55"/>
    <w:rsid w:val="009C4C14"/>
    <w:rsid w:val="009C57DE"/>
    <w:rsid w:val="009D1C3D"/>
    <w:rsid w:val="009D47A8"/>
    <w:rsid w:val="009E24CA"/>
    <w:rsid w:val="009E32B5"/>
    <w:rsid w:val="009E3461"/>
    <w:rsid w:val="009E3803"/>
    <w:rsid w:val="009E3840"/>
    <w:rsid w:val="009F3E18"/>
    <w:rsid w:val="00A00BD0"/>
    <w:rsid w:val="00A0302F"/>
    <w:rsid w:val="00A063A1"/>
    <w:rsid w:val="00A12522"/>
    <w:rsid w:val="00A125D3"/>
    <w:rsid w:val="00A16193"/>
    <w:rsid w:val="00A20A57"/>
    <w:rsid w:val="00A211B8"/>
    <w:rsid w:val="00A22608"/>
    <w:rsid w:val="00A244F8"/>
    <w:rsid w:val="00A257B8"/>
    <w:rsid w:val="00A32B8B"/>
    <w:rsid w:val="00A33B0A"/>
    <w:rsid w:val="00A371DB"/>
    <w:rsid w:val="00A4762E"/>
    <w:rsid w:val="00A525CA"/>
    <w:rsid w:val="00A54EC2"/>
    <w:rsid w:val="00A557C0"/>
    <w:rsid w:val="00A624F4"/>
    <w:rsid w:val="00A63ACD"/>
    <w:rsid w:val="00A6476C"/>
    <w:rsid w:val="00A64BF1"/>
    <w:rsid w:val="00A70FB7"/>
    <w:rsid w:val="00A73796"/>
    <w:rsid w:val="00A75F99"/>
    <w:rsid w:val="00A807BD"/>
    <w:rsid w:val="00A8099A"/>
    <w:rsid w:val="00A81545"/>
    <w:rsid w:val="00A836C4"/>
    <w:rsid w:val="00A837C8"/>
    <w:rsid w:val="00A84C2C"/>
    <w:rsid w:val="00A84E41"/>
    <w:rsid w:val="00A96801"/>
    <w:rsid w:val="00A96E6D"/>
    <w:rsid w:val="00AA3E21"/>
    <w:rsid w:val="00AA41D4"/>
    <w:rsid w:val="00AA4BBC"/>
    <w:rsid w:val="00AB2869"/>
    <w:rsid w:val="00AB4977"/>
    <w:rsid w:val="00AB5BA1"/>
    <w:rsid w:val="00AC1D52"/>
    <w:rsid w:val="00AC36B9"/>
    <w:rsid w:val="00AD3C9C"/>
    <w:rsid w:val="00AD44FD"/>
    <w:rsid w:val="00AE1188"/>
    <w:rsid w:val="00AE1969"/>
    <w:rsid w:val="00AE425C"/>
    <w:rsid w:val="00AE42DB"/>
    <w:rsid w:val="00AE53FD"/>
    <w:rsid w:val="00AE6586"/>
    <w:rsid w:val="00AF3F50"/>
    <w:rsid w:val="00AF6D10"/>
    <w:rsid w:val="00B00079"/>
    <w:rsid w:val="00B020B2"/>
    <w:rsid w:val="00B03457"/>
    <w:rsid w:val="00B04271"/>
    <w:rsid w:val="00B04282"/>
    <w:rsid w:val="00B04D9D"/>
    <w:rsid w:val="00B064C9"/>
    <w:rsid w:val="00B12334"/>
    <w:rsid w:val="00B14CA5"/>
    <w:rsid w:val="00B2035F"/>
    <w:rsid w:val="00B21815"/>
    <w:rsid w:val="00B234E7"/>
    <w:rsid w:val="00B27C36"/>
    <w:rsid w:val="00B3074A"/>
    <w:rsid w:val="00B30EDA"/>
    <w:rsid w:val="00B32EFF"/>
    <w:rsid w:val="00B33A9E"/>
    <w:rsid w:val="00B41B88"/>
    <w:rsid w:val="00B42D05"/>
    <w:rsid w:val="00B4379B"/>
    <w:rsid w:val="00B44A56"/>
    <w:rsid w:val="00B44E04"/>
    <w:rsid w:val="00B47638"/>
    <w:rsid w:val="00B47C6D"/>
    <w:rsid w:val="00B47F83"/>
    <w:rsid w:val="00B52794"/>
    <w:rsid w:val="00B54B34"/>
    <w:rsid w:val="00B5529F"/>
    <w:rsid w:val="00B57455"/>
    <w:rsid w:val="00B61CA4"/>
    <w:rsid w:val="00B648CF"/>
    <w:rsid w:val="00B67DAB"/>
    <w:rsid w:val="00B708F7"/>
    <w:rsid w:val="00B712E5"/>
    <w:rsid w:val="00B71EE0"/>
    <w:rsid w:val="00B760F1"/>
    <w:rsid w:val="00B82416"/>
    <w:rsid w:val="00B858F0"/>
    <w:rsid w:val="00B92DDF"/>
    <w:rsid w:val="00B964E3"/>
    <w:rsid w:val="00B97BED"/>
    <w:rsid w:val="00BA1AE8"/>
    <w:rsid w:val="00BA24D9"/>
    <w:rsid w:val="00BA59EB"/>
    <w:rsid w:val="00BB0368"/>
    <w:rsid w:val="00BB49AD"/>
    <w:rsid w:val="00BB5065"/>
    <w:rsid w:val="00BB5C60"/>
    <w:rsid w:val="00BB700A"/>
    <w:rsid w:val="00BC1D5A"/>
    <w:rsid w:val="00BC5C31"/>
    <w:rsid w:val="00BC5E18"/>
    <w:rsid w:val="00BD02D8"/>
    <w:rsid w:val="00BD5B04"/>
    <w:rsid w:val="00BE087C"/>
    <w:rsid w:val="00BE1451"/>
    <w:rsid w:val="00BE410E"/>
    <w:rsid w:val="00BF02FA"/>
    <w:rsid w:val="00BF1BE2"/>
    <w:rsid w:val="00BF1DF5"/>
    <w:rsid w:val="00BF50E1"/>
    <w:rsid w:val="00C00D54"/>
    <w:rsid w:val="00C01923"/>
    <w:rsid w:val="00C05E8E"/>
    <w:rsid w:val="00C12F02"/>
    <w:rsid w:val="00C13AA2"/>
    <w:rsid w:val="00C238DB"/>
    <w:rsid w:val="00C23955"/>
    <w:rsid w:val="00C24F4B"/>
    <w:rsid w:val="00C275E9"/>
    <w:rsid w:val="00C27AA2"/>
    <w:rsid w:val="00C3089D"/>
    <w:rsid w:val="00C32D59"/>
    <w:rsid w:val="00C32F9E"/>
    <w:rsid w:val="00C3304C"/>
    <w:rsid w:val="00C3345A"/>
    <w:rsid w:val="00C369E9"/>
    <w:rsid w:val="00C414FE"/>
    <w:rsid w:val="00C46976"/>
    <w:rsid w:val="00C47FF6"/>
    <w:rsid w:val="00C5228B"/>
    <w:rsid w:val="00C527A1"/>
    <w:rsid w:val="00C62383"/>
    <w:rsid w:val="00C73CAA"/>
    <w:rsid w:val="00C76CAD"/>
    <w:rsid w:val="00C823A4"/>
    <w:rsid w:val="00C83A02"/>
    <w:rsid w:val="00C85511"/>
    <w:rsid w:val="00C87950"/>
    <w:rsid w:val="00C9099E"/>
    <w:rsid w:val="00C92AFF"/>
    <w:rsid w:val="00C95E86"/>
    <w:rsid w:val="00CA1398"/>
    <w:rsid w:val="00CA2577"/>
    <w:rsid w:val="00CA3320"/>
    <w:rsid w:val="00CB4B29"/>
    <w:rsid w:val="00CC339E"/>
    <w:rsid w:val="00CC3DC0"/>
    <w:rsid w:val="00CC475D"/>
    <w:rsid w:val="00CC5377"/>
    <w:rsid w:val="00CC68BF"/>
    <w:rsid w:val="00CC6A32"/>
    <w:rsid w:val="00CD1B89"/>
    <w:rsid w:val="00CD2C7A"/>
    <w:rsid w:val="00CD6369"/>
    <w:rsid w:val="00CE0B03"/>
    <w:rsid w:val="00CE280B"/>
    <w:rsid w:val="00CE510C"/>
    <w:rsid w:val="00CE782A"/>
    <w:rsid w:val="00CF0694"/>
    <w:rsid w:val="00D06FFC"/>
    <w:rsid w:val="00D16DE9"/>
    <w:rsid w:val="00D177BC"/>
    <w:rsid w:val="00D211D5"/>
    <w:rsid w:val="00D24669"/>
    <w:rsid w:val="00D24C1F"/>
    <w:rsid w:val="00D26595"/>
    <w:rsid w:val="00D26849"/>
    <w:rsid w:val="00D2779D"/>
    <w:rsid w:val="00D332B7"/>
    <w:rsid w:val="00D344B5"/>
    <w:rsid w:val="00D410E6"/>
    <w:rsid w:val="00D42DB7"/>
    <w:rsid w:val="00D452BD"/>
    <w:rsid w:val="00D5240C"/>
    <w:rsid w:val="00D65476"/>
    <w:rsid w:val="00D67A08"/>
    <w:rsid w:val="00D762C7"/>
    <w:rsid w:val="00D80FBC"/>
    <w:rsid w:val="00D82394"/>
    <w:rsid w:val="00D826EF"/>
    <w:rsid w:val="00D83615"/>
    <w:rsid w:val="00D87B9D"/>
    <w:rsid w:val="00D9456C"/>
    <w:rsid w:val="00D95E41"/>
    <w:rsid w:val="00DA4CF2"/>
    <w:rsid w:val="00DA4F5F"/>
    <w:rsid w:val="00DA666E"/>
    <w:rsid w:val="00DB3315"/>
    <w:rsid w:val="00DB41D9"/>
    <w:rsid w:val="00DB59C8"/>
    <w:rsid w:val="00DB65C7"/>
    <w:rsid w:val="00DB7825"/>
    <w:rsid w:val="00DC50D1"/>
    <w:rsid w:val="00DC5C14"/>
    <w:rsid w:val="00DC681C"/>
    <w:rsid w:val="00DD0D1C"/>
    <w:rsid w:val="00DD4017"/>
    <w:rsid w:val="00DD64A4"/>
    <w:rsid w:val="00DD6EC1"/>
    <w:rsid w:val="00DE0A69"/>
    <w:rsid w:val="00DE19AD"/>
    <w:rsid w:val="00DE5F89"/>
    <w:rsid w:val="00DE63FD"/>
    <w:rsid w:val="00DF18B5"/>
    <w:rsid w:val="00DF1B3F"/>
    <w:rsid w:val="00DF4972"/>
    <w:rsid w:val="00DF618A"/>
    <w:rsid w:val="00DF69E3"/>
    <w:rsid w:val="00DF7950"/>
    <w:rsid w:val="00E014D0"/>
    <w:rsid w:val="00E048B4"/>
    <w:rsid w:val="00E06273"/>
    <w:rsid w:val="00E12942"/>
    <w:rsid w:val="00E20D4E"/>
    <w:rsid w:val="00E21B0C"/>
    <w:rsid w:val="00E236CE"/>
    <w:rsid w:val="00E25F16"/>
    <w:rsid w:val="00E30436"/>
    <w:rsid w:val="00E3221B"/>
    <w:rsid w:val="00E32C4B"/>
    <w:rsid w:val="00E41C5F"/>
    <w:rsid w:val="00E50AEB"/>
    <w:rsid w:val="00E5276F"/>
    <w:rsid w:val="00E54E90"/>
    <w:rsid w:val="00E553BD"/>
    <w:rsid w:val="00E6468E"/>
    <w:rsid w:val="00E739FE"/>
    <w:rsid w:val="00E85523"/>
    <w:rsid w:val="00E871A7"/>
    <w:rsid w:val="00E912F4"/>
    <w:rsid w:val="00E935DD"/>
    <w:rsid w:val="00E95966"/>
    <w:rsid w:val="00EA0F68"/>
    <w:rsid w:val="00EA58C4"/>
    <w:rsid w:val="00EA7DEB"/>
    <w:rsid w:val="00EA7FCA"/>
    <w:rsid w:val="00EB3E98"/>
    <w:rsid w:val="00EB409A"/>
    <w:rsid w:val="00EB55B3"/>
    <w:rsid w:val="00EB7CBC"/>
    <w:rsid w:val="00EC08B9"/>
    <w:rsid w:val="00EC2AD8"/>
    <w:rsid w:val="00EC5145"/>
    <w:rsid w:val="00EC5AD0"/>
    <w:rsid w:val="00ED0A4B"/>
    <w:rsid w:val="00ED1287"/>
    <w:rsid w:val="00ED1C37"/>
    <w:rsid w:val="00ED5C88"/>
    <w:rsid w:val="00ED684C"/>
    <w:rsid w:val="00ED6BD6"/>
    <w:rsid w:val="00EE03F6"/>
    <w:rsid w:val="00EF11B8"/>
    <w:rsid w:val="00EF1D4C"/>
    <w:rsid w:val="00EF4AE0"/>
    <w:rsid w:val="00EF4D31"/>
    <w:rsid w:val="00F02163"/>
    <w:rsid w:val="00F0435A"/>
    <w:rsid w:val="00F048FF"/>
    <w:rsid w:val="00F13240"/>
    <w:rsid w:val="00F17CC2"/>
    <w:rsid w:val="00F17F2B"/>
    <w:rsid w:val="00F209BD"/>
    <w:rsid w:val="00F24B0B"/>
    <w:rsid w:val="00F25E95"/>
    <w:rsid w:val="00F30F74"/>
    <w:rsid w:val="00F47C3E"/>
    <w:rsid w:val="00F53290"/>
    <w:rsid w:val="00F54C28"/>
    <w:rsid w:val="00F55E49"/>
    <w:rsid w:val="00F56535"/>
    <w:rsid w:val="00F60DBE"/>
    <w:rsid w:val="00F63420"/>
    <w:rsid w:val="00F73DF4"/>
    <w:rsid w:val="00F77963"/>
    <w:rsid w:val="00F81739"/>
    <w:rsid w:val="00F81982"/>
    <w:rsid w:val="00F90B83"/>
    <w:rsid w:val="00F91132"/>
    <w:rsid w:val="00F92EAA"/>
    <w:rsid w:val="00F9325D"/>
    <w:rsid w:val="00F979AA"/>
    <w:rsid w:val="00FA4930"/>
    <w:rsid w:val="00FA495C"/>
    <w:rsid w:val="00FA56E0"/>
    <w:rsid w:val="00FA5FE6"/>
    <w:rsid w:val="00FA657A"/>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179BA231"/>
    <w:rsid w:val="1D25FEB4"/>
    <w:rsid w:val="2A60A4AB"/>
    <w:rsid w:val="48A10C11"/>
    <w:rsid w:val="5A73B5A2"/>
    <w:rsid w:val="6E57CE66"/>
    <w:rsid w:val="75121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256"/>
    <w:rPr>
      <w:rFonts w:ascii="Arial" w:hAnsi="Arial"/>
      <w:sz w:val="24"/>
    </w:rPr>
  </w:style>
  <w:style w:type="paragraph" w:styleId="Heading1">
    <w:name w:val="heading 1"/>
    <w:basedOn w:val="Normal"/>
    <w:next w:val="Normal"/>
    <w:link w:val="Heading1Char"/>
    <w:uiPriority w:val="9"/>
    <w:qFormat/>
    <w:rsid w:val="00DE19AD"/>
    <w:pPr>
      <w:keepNext/>
      <w:numPr>
        <w:numId w:val="10"/>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line="240" w:lineRule="auto"/>
    </w:pPr>
    <w:rPr>
      <w:rFonts w:ascii="Calibri" w:hAnsi="Calibri" w:cs="Calibri"/>
      <w:lang w:eastAsia="en-GB"/>
    </w:rPr>
  </w:style>
  <w:style w:type="paragraph" w:customStyle="1" w:styleId="xmsolistparagraph">
    <w:name w:val="x_msolistparagraph"/>
    <w:basedOn w:val="Normal"/>
    <w:rsid w:val="00B92DDF"/>
    <w:pPr>
      <w:spacing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0710874">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 w:id="205541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nf.nice.org.uk/?" TargetMode="External"/><Relationship Id="rId18" Type="http://schemas.openxmlformats.org/officeDocument/2006/relationships/hyperlink" Target="https://www.gov.uk/government/organisations/medicines-and-healthcare-products-regulatory-agency" TargetMode="External"/><Relationship Id="rId26" Type="http://schemas.openxmlformats.org/officeDocument/2006/relationships/hyperlink" Target="https://www.medicines.org.uk/emc/" TargetMode="External"/><Relationship Id="rId39" Type="http://schemas.openxmlformats.org/officeDocument/2006/relationships/hyperlink" Target="https://bnf.nice.org.uk/" TargetMode="External"/><Relationship Id="rId21" Type="http://schemas.openxmlformats.org/officeDocument/2006/relationships/footer" Target="footer1.xml"/><Relationship Id="rId34" Type="http://schemas.openxmlformats.org/officeDocument/2006/relationships/hyperlink" Target="https://www.bad.org.uk/for-the-public/patient-information-leaflets/ciclosporin" TargetMode="External"/><Relationship Id="rId42" Type="http://schemas.openxmlformats.org/officeDocument/2006/relationships/hyperlink" Target="https://www.medicines.org.uk/emc/product/1034/smpc" TargetMode="External"/><Relationship Id="rId47" Type="http://schemas.openxmlformats.org/officeDocument/2006/relationships/hyperlink" Target="https://www.sps.nhs.uk/articles/rmoc-shared-care-guidance/" TargetMode="External"/><Relationship Id="rId50" Type="http://schemas.openxmlformats.org/officeDocument/2006/relationships/hyperlink" Target="https://www.nice.org.uk/guidance/ng197/"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edicines.org.uk/emc/" TargetMode="External"/><Relationship Id="rId29" Type="http://schemas.openxmlformats.org/officeDocument/2006/relationships/hyperlink" Target="https://www.gov.uk/government/publications/influenza-the-green-book-chapter-19" TargetMode="External"/><Relationship Id="rId11" Type="http://schemas.openxmlformats.org/officeDocument/2006/relationships/image" Target="media/image1.png"/><Relationship Id="rId24" Type="http://schemas.openxmlformats.org/officeDocument/2006/relationships/hyperlink" Target="https://www.medicines.org.uk/emc/" TargetMode="External"/><Relationship Id="rId32" Type="http://schemas.openxmlformats.org/officeDocument/2006/relationships/hyperlink" Target="https://www.gov.uk/government/publications/varicella-the-green-book-chapter-34" TargetMode="External"/><Relationship Id="rId37" Type="http://schemas.openxmlformats.org/officeDocument/2006/relationships/hyperlink" Target="https://www.medicinesinpregnancy.org/Medicine--pregnancy/Ciclosporin/" TargetMode="External"/><Relationship Id="rId40" Type="http://schemas.openxmlformats.org/officeDocument/2006/relationships/hyperlink" Target="https://www.medicines.org.uk/emc/product/695/smpc" TargetMode="External"/><Relationship Id="rId45" Type="http://schemas.openxmlformats.org/officeDocument/2006/relationships/hyperlink" Target="https://academic.oup.com/rheumatology/article/55/9/1693/1744535"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nice.org.uk/" TargetMode="External"/><Relationship Id="rId31" Type="http://schemas.openxmlformats.org/officeDocument/2006/relationships/hyperlink" Target="http://www.mhra.gov.uk/yellowcard" TargetMode="External"/><Relationship Id="rId44" Type="http://schemas.openxmlformats.org/officeDocument/2006/relationships/hyperlink" Target="https://academic.oup.com/rheumatology/article/56/6/865/3053478"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medicines-and-healthcare-products-regulatory-agency" TargetMode="External"/><Relationship Id="rId22" Type="http://schemas.openxmlformats.org/officeDocument/2006/relationships/header" Target="header2.xml"/><Relationship Id="rId27" Type="http://schemas.openxmlformats.org/officeDocument/2006/relationships/hyperlink" Target="https://www.gov.uk/government/publications/contraindications-and-special-considerations-the-green-book-chapter-6" TargetMode="External"/><Relationship Id="rId30" Type="http://schemas.openxmlformats.org/officeDocument/2006/relationships/hyperlink" Target="https://www.gov.uk/government/publications/pneumococcal-the-green-book-chapter-25" TargetMode="External"/><Relationship Id="rId35" Type="http://schemas.openxmlformats.org/officeDocument/2006/relationships/hyperlink" Target="https://www.medicines.org.uk/emc/search?q=ciclosporin" TargetMode="External"/><Relationship Id="rId43" Type="http://schemas.openxmlformats.org/officeDocument/2006/relationships/hyperlink" Target="https://www.medicines.org.uk/emc/product/5300/smpc" TargetMode="External"/><Relationship Id="rId48" Type="http://schemas.openxmlformats.org/officeDocument/2006/relationships/hyperlink" Target="https://www.england.nhs.uk/publication/responsibility-for-prescribing-between-primary-and-secondary-tertiary-care/"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medicines.org.uk/emc/" TargetMode="External"/><Relationship Id="rId17" Type="http://schemas.openxmlformats.org/officeDocument/2006/relationships/hyperlink" Target="https://bnf.nice.org.uk/?" TargetMode="External"/><Relationship Id="rId25" Type="http://schemas.openxmlformats.org/officeDocument/2006/relationships/hyperlink" Target="https://bnf.nice.org.uk/drugs/" TargetMode="External"/><Relationship Id="rId33" Type="http://schemas.openxmlformats.org/officeDocument/2006/relationships/hyperlink" Target="https://assets.publishing.service.gov.uk/government/uploads/system/uploads/attachment_data/file/1073013/UKHSA_guidelines_on_VZ_post_exposure_prophylaxis.pdf" TargetMode="External"/><Relationship Id="rId38" Type="http://schemas.openxmlformats.org/officeDocument/2006/relationships/hyperlink" Target="https://www.sps.nhs.uk/medicines/ciclosporin/" TargetMode="External"/><Relationship Id="rId46" Type="http://schemas.openxmlformats.org/officeDocument/2006/relationships/hyperlink" Target="https://www.sps.nhs.uk/monitorings/ciclosporin-monitoring/" TargetMode="External"/><Relationship Id="rId20" Type="http://schemas.openxmlformats.org/officeDocument/2006/relationships/header" Target="header1.xml"/><Relationship Id="rId41" Type="http://schemas.openxmlformats.org/officeDocument/2006/relationships/hyperlink" Target="https://www.medicines.org.uk/emc/product/2613/smp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ice.org.uk/" TargetMode="External"/><Relationship Id="rId23" Type="http://schemas.openxmlformats.org/officeDocument/2006/relationships/hyperlink" Target="https://bnf.nice.org.uk/drugs/" TargetMode="External"/><Relationship Id="rId28" Type="http://schemas.openxmlformats.org/officeDocument/2006/relationships/hyperlink" Target="https://www.gov.uk/government/publications/shingles-herpes-zoster-the-green-book-chapter-28a" TargetMode="External"/><Relationship Id="rId36" Type="http://schemas.openxmlformats.org/officeDocument/2006/relationships/hyperlink" Target="https://www.medicinesinpregnancy.org/bumps/monographs/USE-OF-CICLOSPORIN-IN-PREGNANCY/" TargetMode="External"/><Relationship Id="rId49" Type="http://schemas.openxmlformats.org/officeDocument/2006/relationships/hyperlink" Target="https://www.gmc-uk.org/ethical-guidance/ethical-guidance-for-doctors/good-practice-in-prescribing-and-managing-medicines-and-devices/shared-ca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95A08C235C6243DF8E5D953050B11EC2"/>
        <w:category>
          <w:name w:val="General"/>
          <w:gallery w:val="placeholder"/>
        </w:category>
        <w:types>
          <w:type w:val="bbPlcHdr"/>
        </w:types>
        <w:behaviors>
          <w:behavior w:val="content"/>
        </w:behaviors>
        <w:guid w:val="{A7B8E7B4-59DD-4D40-A7CD-0712FA2818C6}"/>
      </w:docPartPr>
      <w:docPartBody>
        <w:p w:rsidR="006531BC" w:rsidRDefault="006531BC" w:rsidP="006531BC">
          <w:pPr>
            <w:pStyle w:val="95A08C235C6243DF8E5D953050B11EC2"/>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E26EBF20t00">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01097C"/>
    <w:rsid w:val="00153DC5"/>
    <w:rsid w:val="00360B47"/>
    <w:rsid w:val="00413361"/>
    <w:rsid w:val="0048263F"/>
    <w:rsid w:val="005334EC"/>
    <w:rsid w:val="00556BEA"/>
    <w:rsid w:val="00595B0A"/>
    <w:rsid w:val="0061234E"/>
    <w:rsid w:val="006531BC"/>
    <w:rsid w:val="006A1AFD"/>
    <w:rsid w:val="006A364A"/>
    <w:rsid w:val="007E254C"/>
    <w:rsid w:val="00872A42"/>
    <w:rsid w:val="00A3791B"/>
    <w:rsid w:val="00AE0FF6"/>
    <w:rsid w:val="00C05E8E"/>
    <w:rsid w:val="00CE510C"/>
    <w:rsid w:val="00DC0891"/>
    <w:rsid w:val="00F05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1B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95A08C235C6243DF8E5D953050B11EC2">
    <w:name w:val="95A08C235C6243DF8E5D953050B11EC2"/>
    <w:rsid w:val="006531B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974ED38BE4D40ABD0D3042C4A68F2" ma:contentTypeVersion="14" ma:contentTypeDescription="Create a new document." ma:contentTypeScope="" ma:versionID="ff3411b6f64f0b16685ddb82cd160342">
  <xsd:schema xmlns:xsd="http://www.w3.org/2001/XMLSchema" xmlns:xs="http://www.w3.org/2001/XMLSchema" xmlns:p="http://schemas.microsoft.com/office/2006/metadata/properties" xmlns:ns2="4512f041-31c9-4873-9aa3-f06e57144f25" xmlns:ns3="a9828ea0-a2d3-4f70-8da5-04d4217a29a9" targetNamespace="http://schemas.microsoft.com/office/2006/metadata/properties" ma:root="true" ma:fieldsID="2ab546bd242e3a235fc617ae9aaae465" ns2:_="" ns3:_="">
    <xsd:import namespace="4512f041-31c9-4873-9aa3-f06e57144f25"/>
    <xsd:import namespace="a9828ea0-a2d3-4f70-8da5-04d4217a2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2f041-31c9-4873-9aa3-f06e5714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ArchiverLinkFileType" ma:index="21"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8ea0-a2d3-4f70-8da5-04d4217a2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f5a2c-574a-44c2-94c7-a606183d4442}" ma:internalName="TaxCatchAll" ma:showField="CatchAllData" ma:web="a9828ea0-a2d3-4f70-8da5-04d4217a2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12f041-31c9-4873-9aa3-f06e57144f25">
      <Terms xmlns="http://schemas.microsoft.com/office/infopath/2007/PartnerControls"/>
    </lcf76f155ced4ddcb4097134ff3c332f>
    <TaxCatchAll xmlns="a9828ea0-a2d3-4f70-8da5-04d4217a29a9" xsi:nil="true"/>
    <ArchiverLinkFileType xmlns="4512f041-31c9-4873-9aa3-f06e57144f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B068AD1-E2D6-4601-AB12-22DC26ADB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2f041-31c9-4873-9aa3-f06e57144f25"/>
    <ds:schemaRef ds:uri="a9828ea0-a2d3-4f70-8da5-04d4217a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83591-FD7D-427C-94D0-8E6ABE21205E}">
  <ds:schemaRefs>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 ds:uri="http://schemas.microsoft.com/office/infopath/2007/PartnerControls"/>
    <ds:schemaRef ds:uri="a9828ea0-a2d3-4f70-8da5-04d4217a29a9"/>
    <ds:schemaRef ds:uri="4512f041-31c9-4873-9aa3-f06e57144f25"/>
    <ds:schemaRef ds:uri="http://purl.org/dc/elements/1.1/"/>
  </ds:schemaRefs>
</ds:datastoreItem>
</file>

<file path=customXml/itemProps3.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4.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6533</Words>
  <Characters>37242</Characters>
  <Application>Microsoft Office Word</Application>
  <DocSecurity>8</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43688</CharactersWithSpaces>
  <SharedDoc>false</SharedDoc>
  <HLinks>
    <vt:vector size="492" baseType="variant">
      <vt:variant>
        <vt:i4>524290</vt:i4>
      </vt:variant>
      <vt:variant>
        <vt:i4>216</vt:i4>
      </vt:variant>
      <vt:variant>
        <vt:i4>0</vt:i4>
      </vt:variant>
      <vt:variant>
        <vt:i4>5</vt:i4>
      </vt:variant>
      <vt:variant>
        <vt:lpwstr/>
      </vt:variant>
      <vt:variant>
        <vt:lpwstr>Responsibilities</vt:lpwstr>
      </vt:variant>
      <vt:variant>
        <vt:i4>6553641</vt:i4>
      </vt:variant>
      <vt:variant>
        <vt:i4>213</vt:i4>
      </vt:variant>
      <vt:variant>
        <vt:i4>0</vt:i4>
      </vt:variant>
      <vt:variant>
        <vt:i4>5</vt:i4>
      </vt:variant>
      <vt:variant>
        <vt:lpwstr>https://www.nice.org.uk/guidance/ng197/</vt:lpwstr>
      </vt:variant>
      <vt:variant>
        <vt:lpwstr/>
      </vt:variant>
      <vt:variant>
        <vt:i4>4390932</vt:i4>
      </vt:variant>
      <vt:variant>
        <vt:i4>210</vt:i4>
      </vt:variant>
      <vt:variant>
        <vt:i4>0</vt:i4>
      </vt:variant>
      <vt:variant>
        <vt:i4>5</vt:i4>
      </vt:variant>
      <vt:variant>
        <vt:lpwstr>https://www.gmc-uk.org/ethical-guidance/ethical-guidance-for-doctors/good-practice-in-prescribing-and-managing-medicines-and-devices/shared-care</vt:lpwstr>
      </vt:variant>
      <vt:variant>
        <vt:lpwstr/>
      </vt:variant>
      <vt:variant>
        <vt:i4>4128875</vt:i4>
      </vt:variant>
      <vt:variant>
        <vt:i4>207</vt:i4>
      </vt:variant>
      <vt:variant>
        <vt:i4>0</vt:i4>
      </vt:variant>
      <vt:variant>
        <vt:i4>5</vt:i4>
      </vt:variant>
      <vt:variant>
        <vt:lpwstr>https://www.england.nhs.uk/publication/responsibility-for-prescribing-between-primary-and-secondary-tertiary-care/</vt:lpwstr>
      </vt:variant>
      <vt:variant>
        <vt:lpwstr/>
      </vt:variant>
      <vt:variant>
        <vt:i4>7602283</vt:i4>
      </vt:variant>
      <vt:variant>
        <vt:i4>204</vt:i4>
      </vt:variant>
      <vt:variant>
        <vt:i4>0</vt:i4>
      </vt:variant>
      <vt:variant>
        <vt:i4>5</vt:i4>
      </vt:variant>
      <vt:variant>
        <vt:lpwstr>https://www.sps.nhs.uk/articles/rmoc-shared-care-guidance/</vt:lpwstr>
      </vt:variant>
      <vt:variant>
        <vt:lpwstr/>
      </vt:variant>
      <vt:variant>
        <vt:i4>524290</vt:i4>
      </vt:variant>
      <vt:variant>
        <vt:i4>201</vt:i4>
      </vt:variant>
      <vt:variant>
        <vt:i4>0</vt:i4>
      </vt:variant>
      <vt:variant>
        <vt:i4>5</vt:i4>
      </vt:variant>
      <vt:variant>
        <vt:lpwstr/>
      </vt:variant>
      <vt:variant>
        <vt:lpwstr>Responsibilities</vt:lpwstr>
      </vt:variant>
      <vt:variant>
        <vt:i4>6553717</vt:i4>
      </vt:variant>
      <vt:variant>
        <vt:i4>198</vt:i4>
      </vt:variant>
      <vt:variant>
        <vt:i4>0</vt:i4>
      </vt:variant>
      <vt:variant>
        <vt:i4>5</vt:i4>
      </vt:variant>
      <vt:variant>
        <vt:lpwstr>https://www.sps.nhs.uk/monitorings/ciclosporin-monitoring/</vt:lpwstr>
      </vt:variant>
      <vt:variant>
        <vt:lpwstr/>
      </vt:variant>
      <vt:variant>
        <vt:i4>6291567</vt:i4>
      </vt:variant>
      <vt:variant>
        <vt:i4>195</vt:i4>
      </vt:variant>
      <vt:variant>
        <vt:i4>0</vt:i4>
      </vt:variant>
      <vt:variant>
        <vt:i4>5</vt:i4>
      </vt:variant>
      <vt:variant>
        <vt:lpwstr>https://academic.oup.com/rheumatology/article/55/9/1693/1744535</vt:lpwstr>
      </vt:variant>
      <vt:variant>
        <vt:lpwstr/>
      </vt:variant>
      <vt:variant>
        <vt:i4>8126583</vt:i4>
      </vt:variant>
      <vt:variant>
        <vt:i4>192</vt:i4>
      </vt:variant>
      <vt:variant>
        <vt:i4>0</vt:i4>
      </vt:variant>
      <vt:variant>
        <vt:i4>5</vt:i4>
      </vt:variant>
      <vt:variant>
        <vt:lpwstr>https://academic.oup.com/rheumatology/article/56/6/865/3053478</vt:lpwstr>
      </vt:variant>
      <vt:variant>
        <vt:lpwstr/>
      </vt:variant>
      <vt:variant>
        <vt:i4>7143549</vt:i4>
      </vt:variant>
      <vt:variant>
        <vt:i4>189</vt:i4>
      </vt:variant>
      <vt:variant>
        <vt:i4>0</vt:i4>
      </vt:variant>
      <vt:variant>
        <vt:i4>5</vt:i4>
      </vt:variant>
      <vt:variant>
        <vt:lpwstr>https://www.medicines.org.uk/emc/product/5300/smpc</vt:lpwstr>
      </vt:variant>
      <vt:variant>
        <vt:lpwstr/>
      </vt:variant>
      <vt:variant>
        <vt:i4>6946938</vt:i4>
      </vt:variant>
      <vt:variant>
        <vt:i4>186</vt:i4>
      </vt:variant>
      <vt:variant>
        <vt:i4>0</vt:i4>
      </vt:variant>
      <vt:variant>
        <vt:i4>5</vt:i4>
      </vt:variant>
      <vt:variant>
        <vt:lpwstr>https://www.medicines.org.uk/emc/product/1034/smpc</vt:lpwstr>
      </vt:variant>
      <vt:variant>
        <vt:lpwstr/>
      </vt:variant>
      <vt:variant>
        <vt:i4>7012475</vt:i4>
      </vt:variant>
      <vt:variant>
        <vt:i4>183</vt:i4>
      </vt:variant>
      <vt:variant>
        <vt:i4>0</vt:i4>
      </vt:variant>
      <vt:variant>
        <vt:i4>5</vt:i4>
      </vt:variant>
      <vt:variant>
        <vt:lpwstr>https://www.medicines.org.uk/emc/product/2613/smpc</vt:lpwstr>
      </vt:variant>
      <vt:variant>
        <vt:lpwstr/>
      </vt:variant>
      <vt:variant>
        <vt:i4>4784134</vt:i4>
      </vt:variant>
      <vt:variant>
        <vt:i4>180</vt:i4>
      </vt:variant>
      <vt:variant>
        <vt:i4>0</vt:i4>
      </vt:variant>
      <vt:variant>
        <vt:i4>5</vt:i4>
      </vt:variant>
      <vt:variant>
        <vt:lpwstr>https://www.medicines.org.uk/emc/product/695/smpc</vt:lpwstr>
      </vt:variant>
      <vt:variant>
        <vt:lpwstr/>
      </vt:variant>
      <vt:variant>
        <vt:i4>983120</vt:i4>
      </vt:variant>
      <vt:variant>
        <vt:i4>177</vt:i4>
      </vt:variant>
      <vt:variant>
        <vt:i4>0</vt:i4>
      </vt:variant>
      <vt:variant>
        <vt:i4>5</vt:i4>
      </vt:variant>
      <vt:variant>
        <vt:lpwstr>https://bnf.nice.org.uk/</vt:lpwstr>
      </vt:variant>
      <vt:variant>
        <vt:lpwstr/>
      </vt:variant>
      <vt:variant>
        <vt:i4>524290</vt:i4>
      </vt:variant>
      <vt:variant>
        <vt:i4>174</vt:i4>
      </vt:variant>
      <vt:variant>
        <vt:i4>0</vt:i4>
      </vt:variant>
      <vt:variant>
        <vt:i4>5</vt:i4>
      </vt:variant>
      <vt:variant>
        <vt:lpwstr/>
      </vt:variant>
      <vt:variant>
        <vt:lpwstr>Responsibilities</vt:lpwstr>
      </vt:variant>
      <vt:variant>
        <vt:i4>524290</vt:i4>
      </vt:variant>
      <vt:variant>
        <vt:i4>171</vt:i4>
      </vt:variant>
      <vt:variant>
        <vt:i4>0</vt:i4>
      </vt:variant>
      <vt:variant>
        <vt:i4>5</vt:i4>
      </vt:variant>
      <vt:variant>
        <vt:lpwstr/>
      </vt:variant>
      <vt:variant>
        <vt:lpwstr>Responsibilities</vt:lpwstr>
      </vt:variant>
      <vt:variant>
        <vt:i4>524290</vt:i4>
      </vt:variant>
      <vt:variant>
        <vt:i4>168</vt:i4>
      </vt:variant>
      <vt:variant>
        <vt:i4>0</vt:i4>
      </vt:variant>
      <vt:variant>
        <vt:i4>5</vt:i4>
      </vt:variant>
      <vt:variant>
        <vt:lpwstr/>
      </vt:variant>
      <vt:variant>
        <vt:lpwstr>Responsibilities</vt:lpwstr>
      </vt:variant>
      <vt:variant>
        <vt:i4>5177432</vt:i4>
      </vt:variant>
      <vt:variant>
        <vt:i4>165</vt:i4>
      </vt:variant>
      <vt:variant>
        <vt:i4>0</vt:i4>
      </vt:variant>
      <vt:variant>
        <vt:i4>5</vt:i4>
      </vt:variant>
      <vt:variant>
        <vt:lpwstr>https://www.sps.nhs.uk/medicines/ciclosporin/</vt:lpwstr>
      </vt:variant>
      <vt:variant>
        <vt:lpwstr/>
      </vt:variant>
      <vt:variant>
        <vt:i4>5439593</vt:i4>
      </vt:variant>
      <vt:variant>
        <vt:i4>162</vt:i4>
      </vt:variant>
      <vt:variant>
        <vt:i4>0</vt:i4>
      </vt:variant>
      <vt:variant>
        <vt:i4>5</vt:i4>
      </vt:variant>
      <vt:variant>
        <vt:lpwstr/>
      </vt:variant>
      <vt:variant>
        <vt:lpwstr>Six_pharmaceutical</vt:lpwstr>
      </vt:variant>
      <vt:variant>
        <vt:i4>196696</vt:i4>
      </vt:variant>
      <vt:variant>
        <vt:i4>159</vt:i4>
      </vt:variant>
      <vt:variant>
        <vt:i4>0</vt:i4>
      </vt:variant>
      <vt:variant>
        <vt:i4>5</vt:i4>
      </vt:variant>
      <vt:variant>
        <vt:lpwstr>https://www.medicinesinpregnancy.org/Medicine--pregnancy/Ciclosporin/</vt:lpwstr>
      </vt:variant>
      <vt:variant>
        <vt:lpwstr/>
      </vt:variant>
      <vt:variant>
        <vt:i4>3932267</vt:i4>
      </vt:variant>
      <vt:variant>
        <vt:i4>156</vt:i4>
      </vt:variant>
      <vt:variant>
        <vt:i4>0</vt:i4>
      </vt:variant>
      <vt:variant>
        <vt:i4>5</vt:i4>
      </vt:variant>
      <vt:variant>
        <vt:lpwstr>https://www.medicinesinpregnancy.org/bumps/monographs/USE-OF-CICLOSPORIN-IN-PREGNANCY/</vt:lpwstr>
      </vt:variant>
      <vt:variant>
        <vt:lpwstr/>
      </vt:variant>
      <vt:variant>
        <vt:i4>5439593</vt:i4>
      </vt:variant>
      <vt:variant>
        <vt:i4>153</vt:i4>
      </vt:variant>
      <vt:variant>
        <vt:i4>0</vt:i4>
      </vt:variant>
      <vt:variant>
        <vt:i4>5</vt:i4>
      </vt:variant>
      <vt:variant>
        <vt:lpwstr/>
      </vt:variant>
      <vt:variant>
        <vt:lpwstr>Six_pharmaceutical</vt:lpwstr>
      </vt:variant>
      <vt:variant>
        <vt:i4>524290</vt:i4>
      </vt:variant>
      <vt:variant>
        <vt:i4>150</vt:i4>
      </vt:variant>
      <vt:variant>
        <vt:i4>0</vt:i4>
      </vt:variant>
      <vt:variant>
        <vt:i4>5</vt:i4>
      </vt:variant>
      <vt:variant>
        <vt:lpwstr/>
      </vt:variant>
      <vt:variant>
        <vt:lpwstr>Responsibilities</vt:lpwstr>
      </vt:variant>
      <vt:variant>
        <vt:i4>5505092</vt:i4>
      </vt:variant>
      <vt:variant>
        <vt:i4>147</vt:i4>
      </vt:variant>
      <vt:variant>
        <vt:i4>0</vt:i4>
      </vt:variant>
      <vt:variant>
        <vt:i4>5</vt:i4>
      </vt:variant>
      <vt:variant>
        <vt:lpwstr>https://www.medicines.org.uk/emc/search?q=ciclosporin</vt:lpwstr>
      </vt:variant>
      <vt:variant>
        <vt:lpwstr/>
      </vt:variant>
      <vt:variant>
        <vt:i4>6684717</vt:i4>
      </vt:variant>
      <vt:variant>
        <vt:i4>144</vt:i4>
      </vt:variant>
      <vt:variant>
        <vt:i4>0</vt:i4>
      </vt:variant>
      <vt:variant>
        <vt:i4>5</vt:i4>
      </vt:variant>
      <vt:variant>
        <vt:lpwstr>https://www.bad.org.uk/for-the-public/patient-information-leaflets/ciclosporin</vt:lpwstr>
      </vt:variant>
      <vt:variant>
        <vt:lpwstr/>
      </vt:variant>
      <vt:variant>
        <vt:i4>65658</vt:i4>
      </vt:variant>
      <vt:variant>
        <vt:i4>141</vt:i4>
      </vt:variant>
      <vt:variant>
        <vt:i4>0</vt:i4>
      </vt:variant>
      <vt:variant>
        <vt:i4>5</vt:i4>
      </vt:variant>
      <vt:variant>
        <vt:lpwstr>https://assets.publishing.service.gov.uk/government/uploads/system/uploads/attachment_data/file/1073013/UKHSA_guidelines_on_VZ_post_exposure_prophylaxis.pdf</vt:lpwstr>
      </vt:variant>
      <vt:variant>
        <vt:lpwstr/>
      </vt:variant>
      <vt:variant>
        <vt:i4>7077932</vt:i4>
      </vt:variant>
      <vt:variant>
        <vt:i4>138</vt:i4>
      </vt:variant>
      <vt:variant>
        <vt:i4>0</vt:i4>
      </vt:variant>
      <vt:variant>
        <vt:i4>5</vt:i4>
      </vt:variant>
      <vt:variant>
        <vt:lpwstr>https://www.gov.uk/government/publications/varicella-the-green-book-chapter-34</vt:lpwstr>
      </vt:variant>
      <vt:variant>
        <vt:lpwstr/>
      </vt:variant>
      <vt:variant>
        <vt:i4>524290</vt:i4>
      </vt:variant>
      <vt:variant>
        <vt:i4>135</vt:i4>
      </vt:variant>
      <vt:variant>
        <vt:i4>0</vt:i4>
      </vt:variant>
      <vt:variant>
        <vt:i4>5</vt:i4>
      </vt:variant>
      <vt:variant>
        <vt:lpwstr/>
      </vt:variant>
      <vt:variant>
        <vt:lpwstr>Responsibilities</vt:lpwstr>
      </vt:variant>
      <vt:variant>
        <vt:i4>6094944</vt:i4>
      </vt:variant>
      <vt:variant>
        <vt:i4>132</vt:i4>
      </vt:variant>
      <vt:variant>
        <vt:i4>0</vt:i4>
      </vt:variant>
      <vt:variant>
        <vt:i4>5</vt:i4>
      </vt:variant>
      <vt:variant>
        <vt:lpwstr/>
      </vt:variant>
      <vt:variant>
        <vt:lpwstr>Seven_interactions</vt:lpwstr>
      </vt:variant>
      <vt:variant>
        <vt:i4>5963789</vt:i4>
      </vt:variant>
      <vt:variant>
        <vt:i4>129</vt:i4>
      </vt:variant>
      <vt:variant>
        <vt:i4>0</vt:i4>
      </vt:variant>
      <vt:variant>
        <vt:i4>5</vt:i4>
      </vt:variant>
      <vt:variant>
        <vt:lpwstr>http://www.mhra.gov.uk/yellowcard</vt:lpwstr>
      </vt:variant>
      <vt:variant>
        <vt:lpwstr/>
      </vt:variant>
      <vt:variant>
        <vt:i4>524290</vt:i4>
      </vt:variant>
      <vt:variant>
        <vt:i4>126</vt:i4>
      </vt:variant>
      <vt:variant>
        <vt:i4>0</vt:i4>
      </vt:variant>
      <vt:variant>
        <vt:i4>5</vt:i4>
      </vt:variant>
      <vt:variant>
        <vt:lpwstr/>
      </vt:variant>
      <vt:variant>
        <vt:lpwstr>Responsibilities</vt:lpwstr>
      </vt:variant>
      <vt:variant>
        <vt:i4>4587605</vt:i4>
      </vt:variant>
      <vt:variant>
        <vt:i4>123</vt:i4>
      </vt:variant>
      <vt:variant>
        <vt:i4>0</vt:i4>
      </vt:variant>
      <vt:variant>
        <vt:i4>5</vt:i4>
      </vt:variant>
      <vt:variant>
        <vt:lpwstr>https://www.gov.uk/government/publications/pneumococcal-the-green-book-chapter-25</vt:lpwstr>
      </vt:variant>
      <vt:variant>
        <vt:lpwstr/>
      </vt:variant>
      <vt:variant>
        <vt:i4>8257586</vt:i4>
      </vt:variant>
      <vt:variant>
        <vt:i4>120</vt:i4>
      </vt:variant>
      <vt:variant>
        <vt:i4>0</vt:i4>
      </vt:variant>
      <vt:variant>
        <vt:i4>5</vt:i4>
      </vt:variant>
      <vt:variant>
        <vt:lpwstr>https://www.gov.uk/government/publications/influenza-the-green-book-chapter-19</vt:lpwstr>
      </vt:variant>
      <vt:variant>
        <vt:lpwstr/>
      </vt:variant>
      <vt:variant>
        <vt:i4>65627</vt:i4>
      </vt:variant>
      <vt:variant>
        <vt:i4>117</vt:i4>
      </vt:variant>
      <vt:variant>
        <vt:i4>0</vt:i4>
      </vt:variant>
      <vt:variant>
        <vt:i4>5</vt:i4>
      </vt:variant>
      <vt:variant>
        <vt:lpwstr>https://www.gov.uk/government/publications/shingles-herpes-zoster-the-green-book-chapter-28a</vt:lpwstr>
      </vt:variant>
      <vt:variant>
        <vt:lpwstr/>
      </vt:variant>
      <vt:variant>
        <vt:i4>5439497</vt:i4>
      </vt:variant>
      <vt:variant>
        <vt:i4>114</vt:i4>
      </vt:variant>
      <vt:variant>
        <vt:i4>0</vt:i4>
      </vt:variant>
      <vt:variant>
        <vt:i4>5</vt:i4>
      </vt:variant>
      <vt:variant>
        <vt:lpwstr>https://www.gov.uk/government/publications/contraindications-and-special-considerations-the-green-book-chapter-6</vt:lpwstr>
      </vt:variant>
      <vt:variant>
        <vt:lpwstr/>
      </vt:variant>
      <vt:variant>
        <vt:i4>5177447</vt:i4>
      </vt:variant>
      <vt:variant>
        <vt:i4>111</vt:i4>
      </vt:variant>
      <vt:variant>
        <vt:i4>0</vt:i4>
      </vt:variant>
      <vt:variant>
        <vt:i4>5</vt:i4>
      </vt:variant>
      <vt:variant>
        <vt:lpwstr/>
      </vt:variant>
      <vt:variant>
        <vt:lpwstr>Ten_ADRs_and_Management</vt:lpwstr>
      </vt:variant>
      <vt:variant>
        <vt:i4>524290</vt:i4>
      </vt:variant>
      <vt:variant>
        <vt:i4>108</vt:i4>
      </vt:variant>
      <vt:variant>
        <vt:i4>0</vt:i4>
      </vt:variant>
      <vt:variant>
        <vt:i4>5</vt:i4>
      </vt:variant>
      <vt:variant>
        <vt:lpwstr/>
      </vt:variant>
      <vt:variant>
        <vt:lpwstr>Responsibilities</vt:lpwstr>
      </vt:variant>
      <vt:variant>
        <vt:i4>2359298</vt:i4>
      </vt:variant>
      <vt:variant>
        <vt:i4>105</vt:i4>
      </vt:variant>
      <vt:variant>
        <vt:i4>0</vt:i4>
      </vt:variant>
      <vt:variant>
        <vt:i4>5</vt:i4>
      </vt:variant>
      <vt:variant>
        <vt:lpwstr/>
      </vt:variant>
      <vt:variant>
        <vt:lpwstr>Nine_primary_care_monitoring</vt:lpwstr>
      </vt:variant>
      <vt:variant>
        <vt:i4>524290</vt:i4>
      </vt:variant>
      <vt:variant>
        <vt:i4>102</vt:i4>
      </vt:variant>
      <vt:variant>
        <vt:i4>0</vt:i4>
      </vt:variant>
      <vt:variant>
        <vt:i4>5</vt:i4>
      </vt:variant>
      <vt:variant>
        <vt:lpwstr/>
      </vt:variant>
      <vt:variant>
        <vt:lpwstr>Responsibilities</vt:lpwstr>
      </vt:variant>
      <vt:variant>
        <vt:i4>1638432</vt:i4>
      </vt:variant>
      <vt:variant>
        <vt:i4>99</vt:i4>
      </vt:variant>
      <vt:variant>
        <vt:i4>0</vt:i4>
      </vt:variant>
      <vt:variant>
        <vt:i4>5</vt:i4>
      </vt:variant>
      <vt:variant>
        <vt:lpwstr/>
      </vt:variant>
      <vt:variant>
        <vt:lpwstr>Four_cx_and_cautions</vt:lpwstr>
      </vt:variant>
      <vt:variant>
        <vt:i4>5701640</vt:i4>
      </vt:variant>
      <vt:variant>
        <vt:i4>96</vt:i4>
      </vt:variant>
      <vt:variant>
        <vt:i4>0</vt:i4>
      </vt:variant>
      <vt:variant>
        <vt:i4>5</vt:i4>
      </vt:variant>
      <vt:variant>
        <vt:lpwstr>https://www.medicines.org.uk/emc/</vt:lpwstr>
      </vt:variant>
      <vt:variant>
        <vt:lpwstr/>
      </vt:variant>
      <vt:variant>
        <vt:i4>3473458</vt:i4>
      </vt:variant>
      <vt:variant>
        <vt:i4>93</vt:i4>
      </vt:variant>
      <vt:variant>
        <vt:i4>0</vt:i4>
      </vt:variant>
      <vt:variant>
        <vt:i4>5</vt:i4>
      </vt:variant>
      <vt:variant>
        <vt:lpwstr>https://bnf.nice.org.uk/drugs/</vt:lpwstr>
      </vt:variant>
      <vt:variant>
        <vt:lpwstr/>
      </vt:variant>
      <vt:variant>
        <vt:i4>524290</vt:i4>
      </vt:variant>
      <vt:variant>
        <vt:i4>90</vt:i4>
      </vt:variant>
      <vt:variant>
        <vt:i4>0</vt:i4>
      </vt:variant>
      <vt:variant>
        <vt:i4>5</vt:i4>
      </vt:variant>
      <vt:variant>
        <vt:lpwstr/>
      </vt:variant>
      <vt:variant>
        <vt:lpwstr>Responsibilities</vt:lpwstr>
      </vt:variant>
      <vt:variant>
        <vt:i4>5898313</vt:i4>
      </vt:variant>
      <vt:variant>
        <vt:i4>87</vt:i4>
      </vt:variant>
      <vt:variant>
        <vt:i4>0</vt:i4>
      </vt:variant>
      <vt:variant>
        <vt:i4>5</vt:i4>
      </vt:variant>
      <vt:variant>
        <vt:lpwstr/>
      </vt:variant>
      <vt:variant>
        <vt:lpwstr>Eight_specialist_monitoring</vt:lpwstr>
      </vt:variant>
      <vt:variant>
        <vt:i4>524290</vt:i4>
      </vt:variant>
      <vt:variant>
        <vt:i4>84</vt:i4>
      </vt:variant>
      <vt:variant>
        <vt:i4>0</vt:i4>
      </vt:variant>
      <vt:variant>
        <vt:i4>5</vt:i4>
      </vt:variant>
      <vt:variant>
        <vt:lpwstr/>
      </vt:variant>
      <vt:variant>
        <vt:lpwstr>Responsibilities</vt:lpwstr>
      </vt:variant>
      <vt:variant>
        <vt:i4>5177447</vt:i4>
      </vt:variant>
      <vt:variant>
        <vt:i4>81</vt:i4>
      </vt:variant>
      <vt:variant>
        <vt:i4>0</vt:i4>
      </vt:variant>
      <vt:variant>
        <vt:i4>5</vt:i4>
      </vt:variant>
      <vt:variant>
        <vt:lpwstr/>
      </vt:variant>
      <vt:variant>
        <vt:lpwstr>Ten_ADRs_and_Management</vt:lpwstr>
      </vt:variant>
      <vt:variant>
        <vt:i4>524290</vt:i4>
      </vt:variant>
      <vt:variant>
        <vt:i4>78</vt:i4>
      </vt:variant>
      <vt:variant>
        <vt:i4>0</vt:i4>
      </vt:variant>
      <vt:variant>
        <vt:i4>5</vt:i4>
      </vt:variant>
      <vt:variant>
        <vt:lpwstr/>
      </vt:variant>
      <vt:variant>
        <vt:lpwstr>Responsibilities</vt:lpwstr>
      </vt:variant>
      <vt:variant>
        <vt:i4>5439593</vt:i4>
      </vt:variant>
      <vt:variant>
        <vt:i4>75</vt:i4>
      </vt:variant>
      <vt:variant>
        <vt:i4>0</vt:i4>
      </vt:variant>
      <vt:variant>
        <vt:i4>5</vt:i4>
      </vt:variant>
      <vt:variant>
        <vt:lpwstr/>
      </vt:variant>
      <vt:variant>
        <vt:lpwstr>Six_pharmaceutical</vt:lpwstr>
      </vt:variant>
      <vt:variant>
        <vt:i4>7602286</vt:i4>
      </vt:variant>
      <vt:variant>
        <vt:i4>72</vt:i4>
      </vt:variant>
      <vt:variant>
        <vt:i4>0</vt:i4>
      </vt:variant>
      <vt:variant>
        <vt:i4>5</vt:i4>
      </vt:variant>
      <vt:variant>
        <vt:lpwstr/>
      </vt:variant>
      <vt:variant>
        <vt:lpwstr>Twelve_pregnancy_paternity</vt:lpwstr>
      </vt:variant>
      <vt:variant>
        <vt:i4>6094944</vt:i4>
      </vt:variant>
      <vt:variant>
        <vt:i4>69</vt:i4>
      </vt:variant>
      <vt:variant>
        <vt:i4>0</vt:i4>
      </vt:variant>
      <vt:variant>
        <vt:i4>5</vt:i4>
      </vt:variant>
      <vt:variant>
        <vt:lpwstr/>
      </vt:variant>
      <vt:variant>
        <vt:lpwstr>Seven_interactions</vt:lpwstr>
      </vt:variant>
      <vt:variant>
        <vt:i4>6094944</vt:i4>
      </vt:variant>
      <vt:variant>
        <vt:i4>66</vt:i4>
      </vt:variant>
      <vt:variant>
        <vt:i4>0</vt:i4>
      </vt:variant>
      <vt:variant>
        <vt:i4>5</vt:i4>
      </vt:variant>
      <vt:variant>
        <vt:lpwstr/>
      </vt:variant>
      <vt:variant>
        <vt:lpwstr>Seven_interactions</vt:lpwstr>
      </vt:variant>
      <vt:variant>
        <vt:i4>5177447</vt:i4>
      </vt:variant>
      <vt:variant>
        <vt:i4>63</vt:i4>
      </vt:variant>
      <vt:variant>
        <vt:i4>0</vt:i4>
      </vt:variant>
      <vt:variant>
        <vt:i4>5</vt:i4>
      </vt:variant>
      <vt:variant>
        <vt:lpwstr/>
      </vt:variant>
      <vt:variant>
        <vt:lpwstr>Ten_ADRs_and_Management</vt:lpwstr>
      </vt:variant>
      <vt:variant>
        <vt:i4>6094944</vt:i4>
      </vt:variant>
      <vt:variant>
        <vt:i4>60</vt:i4>
      </vt:variant>
      <vt:variant>
        <vt:i4>0</vt:i4>
      </vt:variant>
      <vt:variant>
        <vt:i4>5</vt:i4>
      </vt:variant>
      <vt:variant>
        <vt:lpwstr/>
      </vt:variant>
      <vt:variant>
        <vt:lpwstr>Seven_interactions</vt:lpwstr>
      </vt:variant>
      <vt:variant>
        <vt:i4>5701640</vt:i4>
      </vt:variant>
      <vt:variant>
        <vt:i4>57</vt:i4>
      </vt:variant>
      <vt:variant>
        <vt:i4>0</vt:i4>
      </vt:variant>
      <vt:variant>
        <vt:i4>5</vt:i4>
      </vt:variant>
      <vt:variant>
        <vt:lpwstr>https://www.medicines.org.uk/emc/</vt:lpwstr>
      </vt:variant>
      <vt:variant>
        <vt:lpwstr/>
      </vt:variant>
      <vt:variant>
        <vt:i4>3473458</vt:i4>
      </vt:variant>
      <vt:variant>
        <vt:i4>54</vt:i4>
      </vt:variant>
      <vt:variant>
        <vt:i4>0</vt:i4>
      </vt:variant>
      <vt:variant>
        <vt:i4>5</vt:i4>
      </vt:variant>
      <vt:variant>
        <vt:lpwstr>https://bnf.nice.org.uk/drugs/</vt:lpwstr>
      </vt:variant>
      <vt:variant>
        <vt:lpwstr/>
      </vt:variant>
      <vt:variant>
        <vt:i4>524290</vt:i4>
      </vt:variant>
      <vt:variant>
        <vt:i4>51</vt:i4>
      </vt:variant>
      <vt:variant>
        <vt:i4>0</vt:i4>
      </vt:variant>
      <vt:variant>
        <vt:i4>5</vt:i4>
      </vt:variant>
      <vt:variant>
        <vt:lpwstr/>
      </vt:variant>
      <vt:variant>
        <vt:lpwstr>Responsibilities</vt:lpwstr>
      </vt:variant>
      <vt:variant>
        <vt:i4>524290</vt:i4>
      </vt:variant>
      <vt:variant>
        <vt:i4>48</vt:i4>
      </vt:variant>
      <vt:variant>
        <vt:i4>0</vt:i4>
      </vt:variant>
      <vt:variant>
        <vt:i4>5</vt:i4>
      </vt:variant>
      <vt:variant>
        <vt:lpwstr/>
      </vt:variant>
      <vt:variant>
        <vt:lpwstr>Responsibilities</vt:lpwstr>
      </vt:variant>
      <vt:variant>
        <vt:i4>524290</vt:i4>
      </vt:variant>
      <vt:variant>
        <vt:i4>45</vt:i4>
      </vt:variant>
      <vt:variant>
        <vt:i4>0</vt:i4>
      </vt:variant>
      <vt:variant>
        <vt:i4>5</vt:i4>
      </vt:variant>
      <vt:variant>
        <vt:lpwstr/>
      </vt:variant>
      <vt:variant>
        <vt:lpwstr>Responsibilities</vt:lpwstr>
      </vt:variant>
      <vt:variant>
        <vt:i4>524290</vt:i4>
      </vt:variant>
      <vt:variant>
        <vt:i4>42</vt:i4>
      </vt:variant>
      <vt:variant>
        <vt:i4>0</vt:i4>
      </vt:variant>
      <vt:variant>
        <vt:i4>5</vt:i4>
      </vt:variant>
      <vt:variant>
        <vt:lpwstr/>
      </vt:variant>
      <vt:variant>
        <vt:lpwstr>Responsibilities</vt:lpwstr>
      </vt:variant>
      <vt:variant>
        <vt:i4>2424863</vt:i4>
      </vt:variant>
      <vt:variant>
        <vt:i4>39</vt:i4>
      </vt:variant>
      <vt:variant>
        <vt:i4>0</vt:i4>
      </vt:variant>
      <vt:variant>
        <vt:i4>5</vt:i4>
      </vt:variant>
      <vt:variant>
        <vt:lpwstr/>
      </vt:variant>
      <vt:variant>
        <vt:lpwstr>Eleven_advice_to_patients</vt:lpwstr>
      </vt:variant>
      <vt:variant>
        <vt:i4>5177447</vt:i4>
      </vt:variant>
      <vt:variant>
        <vt:i4>36</vt:i4>
      </vt:variant>
      <vt:variant>
        <vt:i4>0</vt:i4>
      </vt:variant>
      <vt:variant>
        <vt:i4>5</vt:i4>
      </vt:variant>
      <vt:variant>
        <vt:lpwstr/>
      </vt:variant>
      <vt:variant>
        <vt:lpwstr>Ten_ADRs_and_Management</vt:lpwstr>
      </vt:variant>
      <vt:variant>
        <vt:i4>2359298</vt:i4>
      </vt:variant>
      <vt:variant>
        <vt:i4>33</vt:i4>
      </vt:variant>
      <vt:variant>
        <vt:i4>0</vt:i4>
      </vt:variant>
      <vt:variant>
        <vt:i4>5</vt:i4>
      </vt:variant>
      <vt:variant>
        <vt:lpwstr/>
      </vt:variant>
      <vt:variant>
        <vt:lpwstr>Nine_primary_care_monitoring</vt:lpwstr>
      </vt:variant>
      <vt:variant>
        <vt:i4>6094944</vt:i4>
      </vt:variant>
      <vt:variant>
        <vt:i4>30</vt:i4>
      </vt:variant>
      <vt:variant>
        <vt:i4>0</vt:i4>
      </vt:variant>
      <vt:variant>
        <vt:i4>5</vt:i4>
      </vt:variant>
      <vt:variant>
        <vt:lpwstr/>
      </vt:variant>
      <vt:variant>
        <vt:lpwstr>Seven_interactions</vt:lpwstr>
      </vt:variant>
      <vt:variant>
        <vt:i4>7667785</vt:i4>
      </vt:variant>
      <vt:variant>
        <vt:i4>27</vt:i4>
      </vt:variant>
      <vt:variant>
        <vt:i4>0</vt:i4>
      </vt:variant>
      <vt:variant>
        <vt:i4>5</vt:i4>
      </vt:variant>
      <vt:variant>
        <vt:lpwstr/>
      </vt:variant>
      <vt:variant>
        <vt:lpwstr>Five_dosing</vt:lpwstr>
      </vt:variant>
      <vt:variant>
        <vt:i4>2359298</vt:i4>
      </vt:variant>
      <vt:variant>
        <vt:i4>24</vt:i4>
      </vt:variant>
      <vt:variant>
        <vt:i4>0</vt:i4>
      </vt:variant>
      <vt:variant>
        <vt:i4>5</vt:i4>
      </vt:variant>
      <vt:variant>
        <vt:lpwstr/>
      </vt:variant>
      <vt:variant>
        <vt:lpwstr>Nine_primary_care_monitoring</vt:lpwstr>
      </vt:variant>
      <vt:variant>
        <vt:i4>5898313</vt:i4>
      </vt:variant>
      <vt:variant>
        <vt:i4>21</vt:i4>
      </vt:variant>
      <vt:variant>
        <vt:i4>0</vt:i4>
      </vt:variant>
      <vt:variant>
        <vt:i4>5</vt:i4>
      </vt:variant>
      <vt:variant>
        <vt:lpwstr/>
      </vt:variant>
      <vt:variant>
        <vt:lpwstr>Eight_specialist_monitoring</vt:lpwstr>
      </vt:variant>
      <vt:variant>
        <vt:i4>5636176</vt:i4>
      </vt:variant>
      <vt:variant>
        <vt:i4>18</vt:i4>
      </vt:variant>
      <vt:variant>
        <vt:i4>0</vt:i4>
      </vt:variant>
      <vt:variant>
        <vt:i4>5</vt:i4>
      </vt:variant>
      <vt:variant>
        <vt:lpwstr/>
      </vt:variant>
      <vt:variant>
        <vt:lpwstr>Thirteen_specialist_contact</vt:lpwstr>
      </vt:variant>
      <vt:variant>
        <vt:i4>7667785</vt:i4>
      </vt:variant>
      <vt:variant>
        <vt:i4>15</vt:i4>
      </vt:variant>
      <vt:variant>
        <vt:i4>0</vt:i4>
      </vt:variant>
      <vt:variant>
        <vt:i4>5</vt:i4>
      </vt:variant>
      <vt:variant>
        <vt:lpwstr/>
      </vt:variant>
      <vt:variant>
        <vt:lpwstr>Five_dosing</vt:lpwstr>
      </vt:variant>
      <vt:variant>
        <vt:i4>5898313</vt:i4>
      </vt:variant>
      <vt:variant>
        <vt:i4>12</vt:i4>
      </vt:variant>
      <vt:variant>
        <vt:i4>0</vt:i4>
      </vt:variant>
      <vt:variant>
        <vt:i4>5</vt:i4>
      </vt:variant>
      <vt:variant>
        <vt:lpwstr/>
      </vt:variant>
      <vt:variant>
        <vt:lpwstr>Eight_specialist_monitoring</vt:lpwstr>
      </vt:variant>
      <vt:variant>
        <vt:i4>6094944</vt:i4>
      </vt:variant>
      <vt:variant>
        <vt:i4>9</vt:i4>
      </vt:variant>
      <vt:variant>
        <vt:i4>0</vt:i4>
      </vt:variant>
      <vt:variant>
        <vt:i4>5</vt:i4>
      </vt:variant>
      <vt:variant>
        <vt:lpwstr/>
      </vt:variant>
      <vt:variant>
        <vt:lpwstr>Seven_interactions</vt:lpwstr>
      </vt:variant>
      <vt:variant>
        <vt:i4>1638432</vt:i4>
      </vt:variant>
      <vt:variant>
        <vt:i4>6</vt:i4>
      </vt:variant>
      <vt:variant>
        <vt:i4>0</vt:i4>
      </vt:variant>
      <vt:variant>
        <vt:i4>5</vt:i4>
      </vt:variant>
      <vt:variant>
        <vt:lpwstr/>
      </vt:variant>
      <vt:variant>
        <vt:lpwstr>Four_cx_and_cautions</vt:lpwstr>
      </vt:variant>
      <vt:variant>
        <vt:i4>2424863</vt:i4>
      </vt:variant>
      <vt:variant>
        <vt:i4>3</vt:i4>
      </vt:variant>
      <vt:variant>
        <vt:i4>0</vt:i4>
      </vt:variant>
      <vt:variant>
        <vt:i4>5</vt:i4>
      </vt:variant>
      <vt:variant>
        <vt:lpwstr/>
      </vt:variant>
      <vt:variant>
        <vt:lpwstr>Eleven_advice_to_patients</vt:lpwstr>
      </vt:variant>
      <vt:variant>
        <vt:i4>4784238</vt:i4>
      </vt:variant>
      <vt:variant>
        <vt:i4>0</vt:i4>
      </vt:variant>
      <vt:variant>
        <vt:i4>0</vt:i4>
      </vt:variant>
      <vt:variant>
        <vt:i4>5</vt:i4>
      </vt:variant>
      <vt:variant>
        <vt:lpwstr/>
      </vt:variant>
      <vt:variant>
        <vt:lpwstr>Two_indications</vt:lpwstr>
      </vt:variant>
      <vt:variant>
        <vt:i4>1441876</vt:i4>
      </vt:variant>
      <vt:variant>
        <vt:i4>24</vt:i4>
      </vt:variant>
      <vt:variant>
        <vt:i4>0</vt:i4>
      </vt:variant>
      <vt:variant>
        <vt:i4>5</vt:i4>
      </vt:variant>
      <vt:variant>
        <vt:lpwstr>https://www.nice.org.uk/</vt:lpwstr>
      </vt:variant>
      <vt:variant>
        <vt:lpwstr/>
      </vt:variant>
      <vt:variant>
        <vt:i4>2490477</vt:i4>
      </vt:variant>
      <vt:variant>
        <vt:i4>21</vt:i4>
      </vt:variant>
      <vt:variant>
        <vt:i4>0</vt:i4>
      </vt:variant>
      <vt:variant>
        <vt:i4>5</vt:i4>
      </vt:variant>
      <vt:variant>
        <vt:lpwstr>https://www.gov.uk/government/organisations/medicines-and-healthcare-products-regulatory-agency</vt:lpwstr>
      </vt:variant>
      <vt:variant>
        <vt:lpwstr/>
      </vt:variant>
      <vt:variant>
        <vt:i4>983120</vt:i4>
      </vt:variant>
      <vt:variant>
        <vt:i4>18</vt:i4>
      </vt:variant>
      <vt:variant>
        <vt:i4>0</vt:i4>
      </vt:variant>
      <vt:variant>
        <vt:i4>5</vt:i4>
      </vt:variant>
      <vt:variant>
        <vt:lpwstr>https://bnf.nice.org.uk/?</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2359298</vt:i4>
      </vt:variant>
      <vt:variant>
        <vt:i4>12</vt:i4>
      </vt:variant>
      <vt:variant>
        <vt:i4>0</vt:i4>
      </vt:variant>
      <vt:variant>
        <vt:i4>5</vt:i4>
      </vt:variant>
      <vt:variant>
        <vt:lpwstr/>
      </vt:variant>
      <vt:variant>
        <vt:lpwstr>Nine_primary_care_monitoring</vt:lpwstr>
      </vt:variant>
      <vt:variant>
        <vt:i4>1572977</vt:i4>
      </vt:variant>
      <vt:variant>
        <vt:i4>9</vt:i4>
      </vt:variant>
      <vt:variant>
        <vt:i4>0</vt:i4>
      </vt:variant>
      <vt:variant>
        <vt:i4>5</vt:i4>
      </vt:variant>
      <vt:variant>
        <vt:lpwstr/>
      </vt:variant>
      <vt:variant>
        <vt:lpwstr>_Baseline_investigations,_initial</vt:lpwstr>
      </vt:variant>
      <vt:variant>
        <vt:i4>7536711</vt:i4>
      </vt:variant>
      <vt:variant>
        <vt:i4>6</vt:i4>
      </vt:variant>
      <vt:variant>
        <vt:i4>0</vt:i4>
      </vt:variant>
      <vt:variant>
        <vt:i4>5</vt:i4>
      </vt:variant>
      <vt:variant>
        <vt:lpwstr/>
      </vt:variant>
      <vt:variant>
        <vt:lpwstr>_Initiation_and_ongoing</vt:lpwstr>
      </vt:variant>
      <vt:variant>
        <vt:i4>3604530</vt:i4>
      </vt:variant>
      <vt:variant>
        <vt:i4>3</vt:i4>
      </vt:variant>
      <vt:variant>
        <vt:i4>0</vt:i4>
      </vt:variant>
      <vt:variant>
        <vt:i4>5</vt:i4>
      </vt:variant>
      <vt:variant>
        <vt:lpwstr/>
      </vt:variant>
      <vt:variant>
        <vt:lpwstr>_Specialist_responsibilities</vt:lpwstr>
      </vt:variant>
      <vt:variant>
        <vt:i4>8126467</vt:i4>
      </vt:variant>
      <vt:variant>
        <vt:i4>0</vt:i4>
      </vt:variant>
      <vt:variant>
        <vt:i4>0</vt:i4>
      </vt:variant>
      <vt:variant>
        <vt:i4>5</vt:i4>
      </vt:variant>
      <vt:variant>
        <vt:lpwstr/>
      </vt:variant>
      <vt:variant>
        <vt:lpwstr>_Locally_agreed_off-label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Rebecca Gibson</cp:lastModifiedBy>
  <cp:revision>2</cp:revision>
  <cp:lastPrinted>2022-07-04T15:09:00Z</cp:lastPrinted>
  <dcterms:created xsi:type="dcterms:W3CDTF">2025-06-16T13:05:00Z</dcterms:created>
  <dcterms:modified xsi:type="dcterms:W3CDTF">2025-06-16T13:05:00Z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0x010100838974ED38BE4D40ABD0D3042C4A68F2</vt:lpwstr>
  </property>
  <property fmtid="{D5CDD505-2E9C-101B-9397-08002B2CF9AE}" pid="3" name="MediaServiceImageTags">
    <vt:lpwstr/>
  </property>
</Properties>
</file>