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2434" w14:textId="77777777" w:rsidR="00AB44EC" w:rsidRDefault="00AB44EC" w:rsidP="00C3089D">
      <w:pPr>
        <w:spacing w:line="240" w:lineRule="auto"/>
        <w:ind w:left="-709" w:right="-711"/>
        <w:rPr>
          <w:rFonts w:cs="Arial"/>
          <w:sz w:val="36"/>
          <w:szCs w:val="36"/>
        </w:rPr>
      </w:pPr>
    </w:p>
    <w:p w14:paraId="54D7F876" w14:textId="77777777" w:rsidR="00AB44EC" w:rsidRDefault="00AB44EC" w:rsidP="00C3089D">
      <w:pPr>
        <w:spacing w:line="240" w:lineRule="auto"/>
        <w:ind w:left="-709" w:right="-711"/>
        <w:rPr>
          <w:rFonts w:cs="Arial"/>
          <w:sz w:val="36"/>
          <w:szCs w:val="36"/>
        </w:rPr>
      </w:pPr>
    </w:p>
    <w:p w14:paraId="14331BC6" w14:textId="77777777" w:rsidR="00AB44EC" w:rsidRDefault="00AB44EC" w:rsidP="00C3089D">
      <w:pPr>
        <w:spacing w:line="240" w:lineRule="auto"/>
        <w:ind w:left="-709" w:right="-711"/>
        <w:rPr>
          <w:rFonts w:cs="Arial"/>
          <w:sz w:val="36"/>
          <w:szCs w:val="36"/>
        </w:rPr>
      </w:pPr>
    </w:p>
    <w:p w14:paraId="328BA1AF" w14:textId="7C639AB5" w:rsidR="00C3089D" w:rsidRPr="002D255E" w:rsidRDefault="00C3089D" w:rsidP="00C3089D">
      <w:pPr>
        <w:spacing w:line="240" w:lineRule="auto"/>
        <w:ind w:left="-709" w:right="-711"/>
        <w:rPr>
          <w:rFonts w:cs="Arial"/>
          <w:sz w:val="36"/>
          <w:szCs w:val="36"/>
        </w:rPr>
      </w:pPr>
      <w:r w:rsidRPr="002D255E">
        <w:rPr>
          <w:rFonts w:cs="Arial"/>
          <w:sz w:val="36"/>
          <w:szCs w:val="36"/>
        </w:rPr>
        <w:t>National shared care protocol:</w:t>
      </w:r>
    </w:p>
    <w:p w14:paraId="7B5BA465" w14:textId="7502875B" w:rsidR="00A0218C" w:rsidRPr="002D255E" w:rsidRDefault="00A0218C" w:rsidP="004206F9">
      <w:pPr>
        <w:pStyle w:val="Subtitle"/>
        <w:spacing w:before="240" w:after="120"/>
        <w:ind w:left="-709"/>
        <w:rPr>
          <w:rFonts w:eastAsiaTheme="majorEastAsia" w:cstheme="majorBidi"/>
          <w:spacing w:val="-10"/>
          <w:kern w:val="28"/>
          <w:sz w:val="48"/>
          <w:szCs w:val="56"/>
        </w:rPr>
      </w:pPr>
      <w:r w:rsidRPr="002D255E">
        <w:rPr>
          <w:rFonts w:eastAsiaTheme="majorEastAsia" w:cstheme="majorBidi"/>
          <w:spacing w:val="-10"/>
          <w:kern w:val="28"/>
          <w:sz w:val="48"/>
          <w:szCs w:val="56"/>
        </w:rPr>
        <w:t>Methotrexate (oral and subcutaneous) for patients in adult services (excluding cancer care)</w:t>
      </w:r>
    </w:p>
    <w:p w14:paraId="0BEDCEE3" w14:textId="0655C7C2" w:rsidR="004206F9" w:rsidRPr="002D255E" w:rsidRDefault="00000444" w:rsidP="004206F9">
      <w:pPr>
        <w:pStyle w:val="Subtitle"/>
        <w:spacing w:before="240" w:after="120"/>
        <w:ind w:left="-709"/>
      </w:pPr>
      <w:r w:rsidRPr="00373E49">
        <w:rPr>
          <w:noProof/>
        </w:rPr>
        <mc:AlternateContent>
          <mc:Choice Requires="wps">
            <w:drawing>
              <wp:anchor distT="45720" distB="45720" distL="114300" distR="114300" simplePos="0" relativeHeight="251658240" behindDoc="1" locked="0" layoutInCell="1" allowOverlap="1" wp14:anchorId="09449613" wp14:editId="7AB3BFD6">
                <wp:simplePos x="0" y="0"/>
                <wp:positionH relativeFrom="margin">
                  <wp:posOffset>-671830</wp:posOffset>
                </wp:positionH>
                <wp:positionV relativeFrom="paragraph">
                  <wp:posOffset>310515</wp:posOffset>
                </wp:positionV>
                <wp:extent cx="7162800" cy="5781675"/>
                <wp:effectExtent l="19050" t="19050" r="19050" b="28575"/>
                <wp:wrapTight wrapText="bothSides">
                  <wp:wrapPolygon edited="0">
                    <wp:start x="-57" y="-71"/>
                    <wp:lineTo x="-57" y="21636"/>
                    <wp:lineTo x="21600" y="21636"/>
                    <wp:lineTo x="21600" y="-71"/>
                    <wp:lineTo x="-57" y="-71"/>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781675"/>
                        </a:xfrm>
                        <a:prstGeom prst="rect">
                          <a:avLst/>
                        </a:prstGeom>
                        <a:noFill/>
                        <a:ln w="38100">
                          <a:solidFill>
                            <a:srgbClr val="00B050"/>
                          </a:solidFill>
                          <a:miter lim="800000"/>
                          <a:headEnd/>
                          <a:tailEnd/>
                        </a:ln>
                      </wps:spPr>
                      <wps:txbx>
                        <w:txbxContent>
                          <w:p w14:paraId="28B8C8B0" w14:textId="2C8DABDE" w:rsidR="00226760" w:rsidRPr="00FA6FA7" w:rsidRDefault="00F3490C" w:rsidP="00145418">
                            <w:pPr>
                              <w:spacing w:line="20" w:lineRule="atLeast"/>
                              <w:rPr>
                                <w:rStyle w:val="Hyperlink"/>
                                <w:rFonts w:cs="Arial"/>
                                <w:b/>
                                <w:bCs/>
                                <w:color w:val="auto"/>
                                <w:sz w:val="22"/>
                                <w:u w:val="none"/>
                              </w:rPr>
                            </w:pPr>
                            <w:r w:rsidRPr="00AC53CF">
                              <w:rPr>
                                <w:rFonts w:cstheme="minorHAnsi"/>
                                <w:b/>
                                <w:bCs/>
                                <w:color w:val="005EB8"/>
                                <w:sz w:val="28"/>
                              </w:rPr>
                              <w:t>SWL</w:t>
                            </w:r>
                            <w:r w:rsidR="00226760" w:rsidRPr="00AC53CF">
                              <w:rPr>
                                <w:rFonts w:cstheme="minorHAnsi"/>
                                <w:b/>
                                <w:bCs/>
                                <w:color w:val="005EB8"/>
                                <w:sz w:val="28"/>
                              </w:rPr>
                              <w:t xml:space="preserve"> </w:t>
                            </w:r>
                            <w:r w:rsidR="00AC53CF">
                              <w:rPr>
                                <w:rFonts w:cstheme="minorHAnsi"/>
                                <w:b/>
                                <w:bCs/>
                                <w:color w:val="005EB8"/>
                                <w:sz w:val="28"/>
                              </w:rPr>
                              <w:t>Local Adaptation</w:t>
                            </w:r>
                            <w:r w:rsidR="00145418">
                              <w:rPr>
                                <w:rFonts w:cs="Arial"/>
                                <w:b/>
                                <w:bCs/>
                                <w:sz w:val="22"/>
                              </w:rPr>
                              <w:br/>
                            </w:r>
                            <w:r>
                              <w:rPr>
                                <w:rFonts w:cs="Arial"/>
                                <w:b/>
                                <w:bCs/>
                                <w:sz w:val="22"/>
                              </w:rPr>
                              <w:t>November</w:t>
                            </w:r>
                            <w:r w:rsidR="00226760">
                              <w:rPr>
                                <w:rFonts w:cs="Arial"/>
                                <w:b/>
                                <w:bCs/>
                                <w:sz w:val="22"/>
                              </w:rPr>
                              <w:t xml:space="preserve"> 202</w:t>
                            </w:r>
                            <w:r>
                              <w:rPr>
                                <w:rFonts w:cs="Arial"/>
                                <w:b/>
                                <w:bCs/>
                                <w:sz w:val="22"/>
                              </w:rPr>
                              <w:t>2</w:t>
                            </w:r>
                            <w:r w:rsidR="007B6D20">
                              <w:rPr>
                                <w:rFonts w:cs="Arial"/>
                                <w:b/>
                                <w:bCs/>
                                <w:sz w:val="22"/>
                              </w:rPr>
                              <w:br/>
                            </w:r>
                            <w:r w:rsidR="00FA6FA7">
                              <w:rPr>
                                <w:rFonts w:cs="Arial"/>
                                <w:b/>
                                <w:bCs/>
                                <w:sz w:val="22"/>
                              </w:rPr>
                              <w:br/>
                            </w:r>
                            <w:r w:rsidR="00226760" w:rsidRPr="006B5715">
                              <w:rPr>
                                <w:rFonts w:cs="Arial"/>
                                <w:sz w:val="22"/>
                              </w:rPr>
                              <w:t xml:space="preserve">Please </w:t>
                            </w:r>
                            <w:r w:rsidR="00226760">
                              <w:rPr>
                                <w:rFonts w:cs="Arial"/>
                                <w:sz w:val="22"/>
                              </w:rPr>
                              <w:t xml:space="preserve">follow link to </w:t>
                            </w:r>
                            <w:r w:rsidR="00226760" w:rsidRPr="006B5715">
                              <w:rPr>
                                <w:rFonts w:cs="Arial"/>
                                <w:sz w:val="22"/>
                              </w:rPr>
                              <w:t>local amendment regarding</w:t>
                            </w:r>
                            <w:r w:rsidR="00226760" w:rsidRPr="00110AD5">
                              <w:rPr>
                                <w:rFonts w:cs="Arial"/>
                                <w:b/>
                                <w:bCs/>
                                <w:sz w:val="22"/>
                              </w:rPr>
                              <w:t xml:space="preserve"> </w:t>
                            </w:r>
                            <w:hyperlink w:anchor="_Locally_agreed_off-label" w:history="1">
                              <w:r w:rsidR="00226760" w:rsidRPr="00226760">
                                <w:rPr>
                                  <w:rStyle w:val="Hyperlink"/>
                                  <w:rFonts w:cs="Arial"/>
                                  <w:sz w:val="22"/>
                                  <w:lang w:eastAsia="en-GB"/>
                                </w:rPr>
                                <w:t>Locally agreed off-label use</w:t>
                              </w:r>
                            </w:hyperlink>
                          </w:p>
                          <w:p w14:paraId="53F7D796" w14:textId="36D5672A" w:rsidR="00226760" w:rsidRPr="00DD4221" w:rsidRDefault="00226760" w:rsidP="00226760">
                            <w:pPr>
                              <w:pStyle w:val="ListParagraph"/>
                              <w:numPr>
                                <w:ilvl w:val="0"/>
                                <w:numId w:val="35"/>
                              </w:numPr>
                              <w:spacing w:before="60"/>
                              <w:rPr>
                                <w:rFonts w:eastAsia="Arial" w:cs="Arial"/>
                                <w:sz w:val="22"/>
                              </w:rPr>
                            </w:pPr>
                            <w:r w:rsidRPr="00CB33F5">
                              <w:rPr>
                                <w:rFonts w:eastAsia="Arial" w:cs="Arial"/>
                                <w:color w:val="000000"/>
                                <w:sz w:val="22"/>
                              </w:rPr>
                              <w:t xml:space="preserve">The word ‘normally’ under </w:t>
                            </w:r>
                            <w:hyperlink w:anchor="_Specialist_responsibilities" w:history="1">
                              <w:r w:rsidRPr="00CB33F5">
                                <w:rPr>
                                  <w:rStyle w:val="Hyperlink"/>
                                  <w:rFonts w:eastAsia="Arial" w:cs="Arial"/>
                                  <w:sz w:val="22"/>
                                </w:rPr>
                                <w:t>specialist responsibilities</w:t>
                              </w:r>
                            </w:hyperlink>
                            <w:r w:rsidRPr="00CB33F5">
                              <w:rPr>
                                <w:rFonts w:eastAsia="Arial" w:cs="Arial"/>
                                <w:color w:val="000000"/>
                                <w:sz w:val="22"/>
                              </w:rPr>
                              <w:t xml:space="preserve"> section bullet point 6 and </w:t>
                            </w:r>
                            <w:hyperlink w:anchor="_Initiation_and_ongoing" w:history="1">
                              <w:r w:rsidRPr="00CB33F5">
                                <w:rPr>
                                  <w:rStyle w:val="Hyperlink"/>
                                  <w:rFonts w:eastAsia="Arial" w:cs="Arial"/>
                                  <w:sz w:val="22"/>
                                </w:rPr>
                                <w:t>section 5</w:t>
                              </w:r>
                            </w:hyperlink>
                            <w:r w:rsidRPr="00CB33F5">
                              <w:rPr>
                                <w:rFonts w:eastAsia="Arial" w:cs="Arial"/>
                                <w:color w:val="000000"/>
                                <w:sz w:val="22"/>
                              </w:rPr>
                              <w:t>, first bullet point has been deleted</w:t>
                            </w:r>
                            <w:r w:rsidR="00977F05">
                              <w:rPr>
                                <w:rFonts w:eastAsia="Arial" w:cs="Arial"/>
                                <w:color w:val="000000"/>
                                <w:sz w:val="22"/>
                              </w:rPr>
                              <w:t>: ‘</w:t>
                            </w:r>
                            <w:r w:rsidR="00977F05" w:rsidRPr="00744A1A">
                              <w:rPr>
                                <w:rFonts w:eastAsia="Arial" w:cs="Arial"/>
                                <w:color w:val="000000"/>
                                <w:sz w:val="22"/>
                              </w:rPr>
                              <w:t xml:space="preserve">Transfer to primary care is </w:t>
                            </w:r>
                            <w:r w:rsidR="00977F05" w:rsidRPr="00744A1A">
                              <w:rPr>
                                <w:rFonts w:eastAsia="Arial" w:cs="Arial"/>
                                <w:strike/>
                                <w:color w:val="000000"/>
                                <w:sz w:val="22"/>
                              </w:rPr>
                              <w:t>normally</w:t>
                            </w:r>
                            <w:r w:rsidR="00977F05" w:rsidRPr="00744A1A">
                              <w:rPr>
                                <w:rFonts w:eastAsia="Arial" w:cs="Arial"/>
                                <w:color w:val="000000"/>
                                <w:sz w:val="22"/>
                              </w:rPr>
                              <w:t xml:space="preserve"> after the patient has been treated for 3 months and with satisfactory investigation results for at least 4 weeks.</w:t>
                            </w:r>
                            <w:r w:rsidR="00977F05">
                              <w:rPr>
                                <w:rFonts w:eastAsia="Arial" w:cs="Arial"/>
                                <w:color w:val="000000"/>
                                <w:sz w:val="22"/>
                              </w:rPr>
                              <w:t>’</w:t>
                            </w:r>
                            <w:r w:rsidRPr="00CB33F5">
                              <w:rPr>
                                <w:rFonts w:eastAsia="Arial" w:cs="Arial"/>
                                <w:color w:val="000000"/>
                                <w:sz w:val="22"/>
                              </w:rPr>
                              <w:t xml:space="preserve"> </w:t>
                            </w:r>
                          </w:p>
                          <w:p w14:paraId="1357D172" w14:textId="77777777" w:rsidR="004A6143" w:rsidRPr="004A6143" w:rsidRDefault="00DD1BEA" w:rsidP="004A6143">
                            <w:pPr>
                              <w:pStyle w:val="ListParagraph"/>
                              <w:numPr>
                                <w:ilvl w:val="0"/>
                                <w:numId w:val="35"/>
                              </w:numPr>
                              <w:spacing w:before="60"/>
                              <w:rPr>
                                <w:rFonts w:eastAsia="Arial" w:cs="Arial"/>
                                <w:sz w:val="22"/>
                              </w:rPr>
                            </w:pPr>
                            <w:r>
                              <w:rPr>
                                <w:rFonts w:eastAsia="Arial" w:cs="Arial"/>
                                <w:color w:val="000000"/>
                                <w:sz w:val="22"/>
                              </w:rPr>
                              <w:t>The following amendments have been made to section 8 and section 9 of the document:</w:t>
                            </w:r>
                          </w:p>
                          <w:p w14:paraId="733751F5" w14:textId="33C730BA" w:rsidR="00ED20C6" w:rsidRPr="00ED20C6" w:rsidRDefault="00AB44EC" w:rsidP="00A712E9">
                            <w:pPr>
                              <w:pStyle w:val="ListParagraph"/>
                              <w:numPr>
                                <w:ilvl w:val="1"/>
                                <w:numId w:val="35"/>
                              </w:numPr>
                              <w:spacing w:before="60"/>
                              <w:rPr>
                                <w:rFonts w:eastAsia="Arial" w:cs="Arial"/>
                                <w:sz w:val="22"/>
                              </w:rPr>
                            </w:pPr>
                            <w:hyperlink w:anchor="_Baseline_investigations,_initial" w:history="1">
                              <w:r w:rsidR="00DD1BEA" w:rsidRPr="00A346D8">
                                <w:rPr>
                                  <w:rStyle w:val="Hyperlink"/>
                                  <w:rFonts w:eastAsia="Arial" w:cs="Arial"/>
                                  <w:sz w:val="22"/>
                                </w:rPr>
                                <w:t>Section 8</w:t>
                              </w:r>
                            </w:hyperlink>
                            <w:r w:rsidR="000B7E25">
                              <w:rPr>
                                <w:rFonts w:eastAsia="Arial" w:cs="Arial"/>
                                <w:color w:val="000000"/>
                                <w:sz w:val="22"/>
                              </w:rPr>
                              <w:t xml:space="preserve"> </w:t>
                            </w:r>
                            <w:r w:rsidR="004A6143" w:rsidRPr="004A6143">
                              <w:rPr>
                                <w:rFonts w:eastAsia="Arial" w:cs="Arial"/>
                                <w:color w:val="000000"/>
                                <w:sz w:val="22"/>
                              </w:rPr>
                              <w:t>We have added</w:t>
                            </w:r>
                            <w:r w:rsidR="00857C50">
                              <w:rPr>
                                <w:rFonts w:eastAsia="Arial" w:cs="Arial"/>
                                <w:color w:val="000000"/>
                                <w:sz w:val="22"/>
                              </w:rPr>
                              <w:t xml:space="preserve"> a new subheading called</w:t>
                            </w:r>
                            <w:r w:rsidR="004A6143" w:rsidRPr="004A6143">
                              <w:rPr>
                                <w:rFonts w:eastAsia="Arial" w:cs="Arial"/>
                                <w:color w:val="000000"/>
                                <w:sz w:val="22"/>
                              </w:rPr>
                              <w:t xml:space="preserve"> </w:t>
                            </w:r>
                            <w:r w:rsidR="004A6143" w:rsidRPr="00857C50">
                              <w:rPr>
                                <w:rFonts w:eastAsia="Arial" w:cs="Arial"/>
                                <w:b/>
                                <w:bCs/>
                                <w:color w:val="000000"/>
                                <w:sz w:val="22"/>
                              </w:rPr>
                              <w:t>ongoing monitoring</w:t>
                            </w:r>
                            <w:r w:rsidR="00DB1695">
                              <w:rPr>
                                <w:rFonts w:eastAsia="Arial" w:cs="Arial"/>
                                <w:b/>
                                <w:bCs/>
                                <w:color w:val="000000"/>
                                <w:sz w:val="22"/>
                              </w:rPr>
                              <w:t xml:space="preserve"> </w:t>
                            </w:r>
                            <w:r w:rsidR="00DB1695" w:rsidRPr="00DB1695">
                              <w:rPr>
                                <w:rFonts w:eastAsia="Arial" w:cs="Arial"/>
                                <w:color w:val="000000"/>
                                <w:sz w:val="22"/>
                              </w:rPr>
                              <w:t>which states that</w:t>
                            </w:r>
                            <w:r w:rsidR="00DB1695">
                              <w:rPr>
                                <w:rFonts w:eastAsia="Arial" w:cs="Arial"/>
                                <w:b/>
                                <w:bCs/>
                                <w:color w:val="000000"/>
                                <w:sz w:val="22"/>
                              </w:rPr>
                              <w:t xml:space="preserve"> </w:t>
                            </w:r>
                            <w:r w:rsidR="004A6143" w:rsidRPr="00DB1695">
                              <w:rPr>
                                <w:rFonts w:eastAsia="Times New Roman" w:cstheme="minorHAnsi"/>
                                <w:b/>
                                <w:bCs/>
                                <w:sz w:val="22"/>
                                <w:lang w:eastAsia="en-GB"/>
                              </w:rPr>
                              <w:t>Psoriasis patients: serum PIIINP: This test is to remain with the specialist</w:t>
                            </w:r>
                            <w:r w:rsidR="004A6143" w:rsidRPr="004A6143">
                              <w:rPr>
                                <w:rFonts w:eastAsia="Times New Roman" w:cstheme="minorHAnsi"/>
                                <w:sz w:val="22"/>
                                <w:lang w:eastAsia="en-GB"/>
                              </w:rPr>
                              <w:t>.</w:t>
                            </w:r>
                            <w:r w:rsidR="002A4A0C">
                              <w:rPr>
                                <w:rFonts w:eastAsia="Times New Roman" w:cstheme="minorHAnsi"/>
                                <w:sz w:val="22"/>
                                <w:lang w:eastAsia="en-GB"/>
                              </w:rPr>
                              <w:t xml:space="preserve"> Rationale:</w:t>
                            </w:r>
                            <w:r w:rsidR="004A6143" w:rsidRPr="004A6143">
                              <w:rPr>
                                <w:rFonts w:eastAsia="Times New Roman" w:cstheme="minorHAnsi"/>
                                <w:sz w:val="22"/>
                                <w:lang w:eastAsia="en-GB"/>
                              </w:rPr>
                              <w:t xml:space="preserve"> </w:t>
                            </w:r>
                            <w:r w:rsidR="00ED20C6">
                              <w:rPr>
                                <w:rFonts w:eastAsia="Times New Roman" w:cstheme="minorHAnsi"/>
                                <w:sz w:val="22"/>
                                <w:lang w:eastAsia="en-GB"/>
                              </w:rPr>
                              <w:t>Previously the National shared care document suggested GPs in primary care could do this test</w:t>
                            </w:r>
                            <w:r w:rsidR="00BE15E9">
                              <w:rPr>
                                <w:rFonts w:eastAsia="Times New Roman" w:cstheme="minorHAnsi"/>
                                <w:sz w:val="22"/>
                                <w:lang w:eastAsia="en-GB"/>
                              </w:rPr>
                              <w:t>, i</w:t>
                            </w:r>
                            <w:r w:rsidR="00AF2D7B">
                              <w:rPr>
                                <w:rFonts w:eastAsia="Times New Roman" w:cstheme="minorHAnsi"/>
                                <w:sz w:val="22"/>
                                <w:lang w:eastAsia="en-GB"/>
                              </w:rPr>
                              <w:t xml:space="preserve">t was agreed locally </w:t>
                            </w:r>
                            <w:r w:rsidR="00ED20C6">
                              <w:rPr>
                                <w:rFonts w:eastAsia="Times New Roman" w:cstheme="minorHAnsi"/>
                                <w:sz w:val="22"/>
                                <w:lang w:eastAsia="en-GB"/>
                              </w:rPr>
                              <w:t xml:space="preserve">that this test should remain with the specialist. </w:t>
                            </w:r>
                          </w:p>
                          <w:p w14:paraId="74ECD87C" w14:textId="207ACFFA" w:rsidR="00DD1BEA" w:rsidRPr="00CB33F5" w:rsidRDefault="00AB44EC" w:rsidP="00A712E9">
                            <w:pPr>
                              <w:pStyle w:val="ListParagraph"/>
                              <w:numPr>
                                <w:ilvl w:val="1"/>
                                <w:numId w:val="35"/>
                              </w:numPr>
                              <w:spacing w:before="60"/>
                              <w:rPr>
                                <w:rFonts w:eastAsia="Arial" w:cs="Arial"/>
                                <w:sz w:val="22"/>
                              </w:rPr>
                            </w:pPr>
                            <w:hyperlink w:anchor="_Ongoing_monitoring_requirements" w:history="1">
                              <w:r w:rsidR="002A4A0C" w:rsidRPr="00A346D8">
                                <w:rPr>
                                  <w:rStyle w:val="Hyperlink"/>
                                  <w:rFonts w:eastAsia="Arial" w:cs="Arial"/>
                                  <w:sz w:val="22"/>
                                </w:rPr>
                                <w:t>Section 9</w:t>
                              </w:r>
                            </w:hyperlink>
                            <w:r w:rsidR="000B7E25">
                              <w:rPr>
                                <w:rFonts w:eastAsia="Arial" w:cs="Arial"/>
                                <w:sz w:val="22"/>
                              </w:rPr>
                              <w:t xml:space="preserve"> </w:t>
                            </w:r>
                            <w:r w:rsidR="002A4A0C">
                              <w:rPr>
                                <w:rFonts w:eastAsia="Arial" w:cs="Arial"/>
                                <w:sz w:val="22"/>
                              </w:rPr>
                              <w:t>To re-iterate the above amendment, we have added the following</w:t>
                            </w:r>
                            <w:r w:rsidR="00DE6351">
                              <w:rPr>
                                <w:rFonts w:eastAsia="Arial" w:cs="Arial"/>
                                <w:sz w:val="22"/>
                              </w:rPr>
                              <w:t xml:space="preserve"> wording</w:t>
                            </w:r>
                            <w:r w:rsidR="000B7E25">
                              <w:rPr>
                                <w:rFonts w:eastAsia="Arial" w:cs="Arial"/>
                                <w:sz w:val="22"/>
                              </w:rPr>
                              <w:t>:</w:t>
                            </w:r>
                            <w:r w:rsidR="00DE6351">
                              <w:rPr>
                                <w:rFonts w:eastAsia="Arial" w:cs="Arial"/>
                                <w:sz w:val="22"/>
                              </w:rPr>
                              <w:t xml:space="preserve"> </w:t>
                            </w:r>
                            <w:r w:rsidR="00DE6351" w:rsidRPr="00DE6351">
                              <w:rPr>
                                <w:rFonts w:eastAsia="Times New Roman" w:cstheme="minorHAnsi"/>
                                <w:sz w:val="22"/>
                                <w:szCs w:val="20"/>
                                <w:lang w:eastAsia="en-GB"/>
                              </w:rPr>
                              <w:t xml:space="preserve">Psoriasis patients: serum PIIINP – </w:t>
                            </w:r>
                            <w:r w:rsidR="00DE6351" w:rsidRPr="00DE6351">
                              <w:rPr>
                                <w:rFonts w:eastAsia="Times New Roman" w:cstheme="minorHAnsi"/>
                                <w:b/>
                                <w:bCs/>
                                <w:sz w:val="22"/>
                                <w:szCs w:val="20"/>
                                <w:lang w:eastAsia="en-GB"/>
                              </w:rPr>
                              <w:t>this test remains with the specialist.</w:t>
                            </w:r>
                            <w:r w:rsidR="000A34EE">
                              <w:rPr>
                                <w:rFonts w:eastAsia="Times New Roman" w:cstheme="minorHAnsi"/>
                                <w:b/>
                                <w:bCs/>
                                <w:sz w:val="22"/>
                                <w:szCs w:val="20"/>
                                <w:lang w:eastAsia="en-GB"/>
                              </w:rPr>
                              <w:t xml:space="preserve"> See section 8. </w:t>
                            </w:r>
                          </w:p>
                          <w:p w14:paraId="287848FB" w14:textId="44AB7D8B" w:rsidR="00226760" w:rsidRPr="00CB33F5" w:rsidRDefault="00226760" w:rsidP="00226760">
                            <w:pPr>
                              <w:pStyle w:val="ListParagraph"/>
                              <w:numPr>
                                <w:ilvl w:val="0"/>
                                <w:numId w:val="35"/>
                              </w:numPr>
                              <w:rPr>
                                <w:rFonts w:eastAsia="Arial" w:cs="Arial"/>
                                <w:color w:val="000000" w:themeColor="text1"/>
                                <w:sz w:val="22"/>
                              </w:rPr>
                            </w:pPr>
                            <w:r w:rsidRPr="00CB33F5">
                              <w:rPr>
                                <w:rFonts w:eastAsia="Times New Roman" w:cs="Arial"/>
                                <w:sz w:val="22"/>
                                <w:lang w:eastAsia="en-GB"/>
                              </w:rPr>
                              <w:t xml:space="preserve">To reiterate, as stated in </w:t>
                            </w:r>
                            <w:hyperlink w:anchor="_Baseline_investigations,_initial" w:history="1">
                              <w:r w:rsidRPr="00CB33F5">
                                <w:rPr>
                                  <w:rStyle w:val="Hyperlink"/>
                                  <w:rFonts w:eastAsia="Times New Roman" w:cs="Arial"/>
                                  <w:sz w:val="22"/>
                                  <w:lang w:eastAsia="en-GB"/>
                                </w:rPr>
                                <w:t>section 8</w:t>
                              </w:r>
                            </w:hyperlink>
                            <w:r w:rsidRPr="00CB33F5">
                              <w:rPr>
                                <w:rFonts w:eastAsia="Times New Roman" w:cs="Arial"/>
                                <w:sz w:val="22"/>
                                <w:lang w:eastAsia="en-GB"/>
                              </w:rPr>
                              <w:t>: ‘</w:t>
                            </w:r>
                            <w:r w:rsidRPr="00CB33F5">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CD1026">
                              <w:rPr>
                                <w:rFonts w:eastAsia="Arial" w:cs="Arial"/>
                                <w:sz w:val="22"/>
                              </w:rPr>
                              <w:t xml:space="preserve"> </w:t>
                            </w:r>
                            <w:r w:rsidR="00CD1026" w:rsidRPr="00CD1026">
                              <w:rPr>
                                <w:rFonts w:eastAsia="Times New Roman" w:cs="Arial"/>
                                <w:sz w:val="22"/>
                                <w:lang w:eastAsia="en-GB"/>
                              </w:rPr>
                              <w:t xml:space="preserve">When a patient is reviewed, advise primary care whether treatment should be continued, confirm the ongoing dose, and whether the ongoing monitoring outlined in </w:t>
                            </w:r>
                            <w:hyperlink w:anchor="Nine_primary_care_monitoring" w:history="1">
                              <w:r w:rsidR="00CD1026" w:rsidRPr="00CD1026">
                                <w:rPr>
                                  <w:rStyle w:val="Hyperlink"/>
                                  <w:rFonts w:eastAsia="Times New Roman" w:cs="Arial"/>
                                  <w:sz w:val="22"/>
                                  <w:lang w:eastAsia="en-GB"/>
                                </w:rPr>
                                <w:t>section 9</w:t>
                              </w:r>
                            </w:hyperlink>
                            <w:r w:rsidR="00CD1026" w:rsidRPr="00CD1026">
                              <w:rPr>
                                <w:rFonts w:eastAsia="Times New Roman" w:cs="Arial"/>
                                <w:sz w:val="22"/>
                                <w:lang w:eastAsia="en-GB"/>
                              </w:rPr>
                              <w:t xml:space="preserve"> remains appropriate.</w:t>
                            </w:r>
                            <w:r w:rsidRPr="00CD1026">
                              <w:rPr>
                                <w:rFonts w:eastAsia="Arial" w:cs="Arial"/>
                                <w:sz w:val="22"/>
                              </w:rPr>
                              <w:t>’</w:t>
                            </w:r>
                          </w:p>
                          <w:p w14:paraId="0DA69AD3" w14:textId="6F56C693" w:rsidR="00BF1375" w:rsidRPr="008B646E" w:rsidRDefault="00AB44EC" w:rsidP="00226760">
                            <w:pPr>
                              <w:pStyle w:val="ListParagraph"/>
                              <w:numPr>
                                <w:ilvl w:val="0"/>
                                <w:numId w:val="35"/>
                              </w:numPr>
                              <w:rPr>
                                <w:rFonts w:eastAsia="Arial" w:cs="Arial"/>
                                <w:color w:val="000000" w:themeColor="text1"/>
                                <w:sz w:val="22"/>
                              </w:rPr>
                            </w:pPr>
                            <w:hyperlink w:anchor="_Pregnancy,_paternal_exposure" w:history="1">
                              <w:r w:rsidR="001C409F" w:rsidRPr="00CB33F5">
                                <w:rPr>
                                  <w:rStyle w:val="Hyperlink"/>
                                  <w:rFonts w:eastAsia="Times New Roman" w:cstheme="minorHAnsi"/>
                                  <w:sz w:val="22"/>
                                  <w:lang w:eastAsia="en-GB"/>
                                </w:rPr>
                                <w:t>Section 12</w:t>
                              </w:r>
                            </w:hyperlink>
                            <w:r w:rsidR="001C409F" w:rsidRPr="00CB33F5">
                              <w:rPr>
                                <w:rFonts w:eastAsia="Times New Roman" w:cstheme="minorHAnsi"/>
                                <w:color w:val="000000"/>
                                <w:sz w:val="22"/>
                                <w:lang w:eastAsia="en-GB"/>
                              </w:rPr>
                              <w:t xml:space="preserve"> (</w:t>
                            </w:r>
                            <w:r w:rsidR="001C409F" w:rsidRPr="00CB33F5">
                              <w:rPr>
                                <w:sz w:val="22"/>
                                <w:lang w:eastAsia="en-GB"/>
                              </w:rPr>
                              <w:t>Pregnancy, paternal exposure and breast feeding</w:t>
                            </w:r>
                            <w:r w:rsidR="001C409F" w:rsidRPr="00CB33F5">
                              <w:rPr>
                                <w:rFonts w:eastAsia="Times New Roman" w:cstheme="minorHAnsi"/>
                                <w:color w:val="000000"/>
                                <w:sz w:val="22"/>
                                <w:lang w:eastAsia="en-GB"/>
                              </w:rPr>
                              <w:t xml:space="preserve"> ) has the added information which states that the British Society of Rheumatology provides further guidance on methotrexate and pregnancy which clinicians may wish to consider available via the following link: </w:t>
                            </w:r>
                            <w:hyperlink r:id="rId11" w:history="1">
                              <w:r w:rsidR="001C409F" w:rsidRPr="00CB33F5">
                                <w:rPr>
                                  <w:rStyle w:val="Hyperlink"/>
                                  <w:sz w:val="22"/>
                                  <w:lang w:eastAsia="en-GB"/>
                                </w:rPr>
                                <w:t>https://academic.oup.com/rheumatology/article/55/9/1693/1744535</w:t>
                              </w:r>
                            </w:hyperlink>
                          </w:p>
                          <w:p w14:paraId="7FC956C7" w14:textId="5168518E" w:rsidR="008B646E" w:rsidRPr="00CB33F5" w:rsidRDefault="008B646E" w:rsidP="00226760">
                            <w:pPr>
                              <w:pStyle w:val="ListParagraph"/>
                              <w:numPr>
                                <w:ilvl w:val="0"/>
                                <w:numId w:val="35"/>
                              </w:numPr>
                              <w:rPr>
                                <w:rFonts w:eastAsia="Arial" w:cs="Arial"/>
                                <w:color w:val="000000" w:themeColor="text1"/>
                                <w:sz w:val="22"/>
                              </w:rPr>
                            </w:pPr>
                            <w:r>
                              <w:rPr>
                                <w:color w:val="000000"/>
                                <w:sz w:val="22"/>
                                <w:lang w:eastAsia="en-GB"/>
                              </w:rPr>
                              <w:t xml:space="preserve">Local waste management services included in </w:t>
                            </w:r>
                            <w:hyperlink w:anchor="_Additional_information_Back" w:history="1">
                              <w:r w:rsidRPr="0005473B">
                                <w:rPr>
                                  <w:rStyle w:val="Hyperlink"/>
                                  <w:sz w:val="22"/>
                                  <w:lang w:eastAsia="en-GB"/>
                                </w:rPr>
                                <w:t>Section 14</w:t>
                              </w:r>
                            </w:hyperlink>
                          </w:p>
                          <w:p w14:paraId="299492F6" w14:textId="77777777" w:rsidR="00226760" w:rsidRPr="00CB33F5" w:rsidRDefault="00226760" w:rsidP="00226760">
                            <w:pPr>
                              <w:pStyle w:val="ListParagraph"/>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49613" id="_x0000_t202" coordsize="21600,21600" o:spt="202" path="m,l,21600r21600,l21600,xe">
                <v:stroke joinstyle="miter"/>
                <v:path gradientshapeok="t" o:connecttype="rect"/>
              </v:shapetype>
              <v:shape id="_x0000_s1026" type="#_x0000_t202" style="position:absolute;left:0;text-align:left;margin-left:-52.9pt;margin-top:24.45pt;width:564pt;height:45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" filled="f" strokecolor="#00b050" strokeweight="3pt">
                <v:textbox>
                  <w:txbxContent>
                    <w:p w14:paraId="28B8C8B0" w14:textId="2C8DABDE" w:rsidR="00226760" w:rsidRPr="00FA6FA7" w:rsidRDefault="00F3490C" w:rsidP="00145418">
                      <w:pPr>
                        <w:spacing w:line="20" w:lineRule="atLeast"/>
                        <w:rPr>
                          <w:rStyle w:val="Hyperlink"/>
                          <w:rFonts w:cs="Arial"/>
                          <w:b/>
                          <w:bCs/>
                          <w:color w:val="auto"/>
                          <w:sz w:val="22"/>
                          <w:u w:val="none"/>
                        </w:rPr>
                      </w:pPr>
                      <w:r w:rsidRPr="00AC53CF">
                        <w:rPr>
                          <w:rFonts w:cstheme="minorHAnsi"/>
                          <w:b/>
                          <w:bCs/>
                          <w:color w:val="005EB8"/>
                          <w:sz w:val="28"/>
                        </w:rPr>
                        <w:t>SWL</w:t>
                      </w:r>
                      <w:r w:rsidR="00226760" w:rsidRPr="00AC53CF">
                        <w:rPr>
                          <w:rFonts w:cstheme="minorHAnsi"/>
                          <w:b/>
                          <w:bCs/>
                          <w:color w:val="005EB8"/>
                          <w:sz w:val="28"/>
                        </w:rPr>
                        <w:t xml:space="preserve"> </w:t>
                      </w:r>
                      <w:r w:rsidR="00AC53CF">
                        <w:rPr>
                          <w:rFonts w:cstheme="minorHAnsi"/>
                          <w:b/>
                          <w:bCs/>
                          <w:color w:val="005EB8"/>
                          <w:sz w:val="28"/>
                        </w:rPr>
                        <w:t>Local Adaptation</w:t>
                      </w:r>
                      <w:r w:rsidR="00145418">
                        <w:rPr>
                          <w:rFonts w:cs="Arial"/>
                          <w:b/>
                          <w:bCs/>
                          <w:sz w:val="22"/>
                        </w:rPr>
                        <w:br/>
                      </w:r>
                      <w:r>
                        <w:rPr>
                          <w:rFonts w:cs="Arial"/>
                          <w:b/>
                          <w:bCs/>
                          <w:sz w:val="22"/>
                        </w:rPr>
                        <w:t>November</w:t>
                      </w:r>
                      <w:r w:rsidR="00226760">
                        <w:rPr>
                          <w:rFonts w:cs="Arial"/>
                          <w:b/>
                          <w:bCs/>
                          <w:sz w:val="22"/>
                        </w:rPr>
                        <w:t xml:space="preserve"> 202</w:t>
                      </w:r>
                      <w:r>
                        <w:rPr>
                          <w:rFonts w:cs="Arial"/>
                          <w:b/>
                          <w:bCs/>
                          <w:sz w:val="22"/>
                        </w:rPr>
                        <w:t>2</w:t>
                      </w:r>
                      <w:r w:rsidR="007B6D20">
                        <w:rPr>
                          <w:rFonts w:cs="Arial"/>
                          <w:b/>
                          <w:bCs/>
                          <w:sz w:val="22"/>
                        </w:rPr>
                        <w:br/>
                      </w:r>
                      <w:r w:rsidR="00FA6FA7">
                        <w:rPr>
                          <w:rFonts w:cs="Arial"/>
                          <w:b/>
                          <w:bCs/>
                          <w:sz w:val="22"/>
                        </w:rPr>
                        <w:br/>
                      </w:r>
                      <w:r w:rsidR="00226760" w:rsidRPr="006B5715">
                        <w:rPr>
                          <w:rFonts w:cs="Arial"/>
                          <w:sz w:val="22"/>
                        </w:rPr>
                        <w:t xml:space="preserve">Please </w:t>
                      </w:r>
                      <w:r w:rsidR="00226760">
                        <w:rPr>
                          <w:rFonts w:cs="Arial"/>
                          <w:sz w:val="22"/>
                        </w:rPr>
                        <w:t xml:space="preserve">follow link to </w:t>
                      </w:r>
                      <w:r w:rsidR="00226760" w:rsidRPr="006B5715">
                        <w:rPr>
                          <w:rFonts w:cs="Arial"/>
                          <w:sz w:val="22"/>
                        </w:rPr>
                        <w:t>local amendment regarding</w:t>
                      </w:r>
                      <w:r w:rsidR="00226760" w:rsidRPr="00110AD5">
                        <w:rPr>
                          <w:rFonts w:cs="Arial"/>
                          <w:b/>
                          <w:bCs/>
                          <w:sz w:val="22"/>
                        </w:rPr>
                        <w:t xml:space="preserve"> </w:t>
                      </w:r>
                      <w:hyperlink w:anchor="_Locally_agreed_off-label" w:history="1">
                        <w:r w:rsidR="00226760" w:rsidRPr="00226760">
                          <w:rPr>
                            <w:rStyle w:val="Hyperlink"/>
                            <w:rFonts w:cs="Arial"/>
                            <w:sz w:val="22"/>
                            <w:lang w:eastAsia="en-GB"/>
                          </w:rPr>
                          <w:t>Locally agreed off-label use</w:t>
                        </w:r>
                      </w:hyperlink>
                    </w:p>
                    <w:p w14:paraId="53F7D796" w14:textId="36D5672A" w:rsidR="00226760" w:rsidRPr="00DD4221" w:rsidRDefault="00226760" w:rsidP="00226760">
                      <w:pPr>
                        <w:pStyle w:val="ListParagraph"/>
                        <w:numPr>
                          <w:ilvl w:val="0"/>
                          <w:numId w:val="35"/>
                        </w:numPr>
                        <w:spacing w:before="60"/>
                        <w:rPr>
                          <w:rFonts w:eastAsia="Arial" w:cs="Arial"/>
                          <w:sz w:val="22"/>
                        </w:rPr>
                      </w:pPr>
                      <w:r w:rsidRPr="00CB33F5">
                        <w:rPr>
                          <w:rFonts w:eastAsia="Arial" w:cs="Arial"/>
                          <w:color w:val="000000"/>
                          <w:sz w:val="22"/>
                        </w:rPr>
                        <w:t xml:space="preserve">The word ‘normally’ under </w:t>
                      </w:r>
                      <w:hyperlink w:anchor="_Specialist_responsibilities" w:history="1">
                        <w:r w:rsidRPr="00CB33F5">
                          <w:rPr>
                            <w:rStyle w:val="Hyperlink"/>
                            <w:rFonts w:eastAsia="Arial" w:cs="Arial"/>
                            <w:sz w:val="22"/>
                          </w:rPr>
                          <w:t>specialist responsibilities</w:t>
                        </w:r>
                      </w:hyperlink>
                      <w:r w:rsidRPr="00CB33F5">
                        <w:rPr>
                          <w:rFonts w:eastAsia="Arial" w:cs="Arial"/>
                          <w:color w:val="000000"/>
                          <w:sz w:val="22"/>
                        </w:rPr>
                        <w:t xml:space="preserve"> section bullet point 6 and </w:t>
                      </w:r>
                      <w:hyperlink w:anchor="_Initiation_and_ongoing" w:history="1">
                        <w:r w:rsidRPr="00CB33F5">
                          <w:rPr>
                            <w:rStyle w:val="Hyperlink"/>
                            <w:rFonts w:eastAsia="Arial" w:cs="Arial"/>
                            <w:sz w:val="22"/>
                          </w:rPr>
                          <w:t>section 5</w:t>
                        </w:r>
                      </w:hyperlink>
                      <w:r w:rsidRPr="00CB33F5">
                        <w:rPr>
                          <w:rFonts w:eastAsia="Arial" w:cs="Arial"/>
                          <w:color w:val="000000"/>
                          <w:sz w:val="22"/>
                        </w:rPr>
                        <w:t>, first bullet point has been deleted</w:t>
                      </w:r>
                      <w:r w:rsidR="00977F05">
                        <w:rPr>
                          <w:rFonts w:eastAsia="Arial" w:cs="Arial"/>
                          <w:color w:val="000000"/>
                          <w:sz w:val="22"/>
                        </w:rPr>
                        <w:t>: ‘</w:t>
                      </w:r>
                      <w:r w:rsidR="00977F05" w:rsidRPr="00744A1A">
                        <w:rPr>
                          <w:rFonts w:eastAsia="Arial" w:cs="Arial"/>
                          <w:color w:val="000000"/>
                          <w:sz w:val="22"/>
                        </w:rPr>
                        <w:t xml:space="preserve">Transfer to primary care is </w:t>
                      </w:r>
                      <w:r w:rsidR="00977F05" w:rsidRPr="00744A1A">
                        <w:rPr>
                          <w:rFonts w:eastAsia="Arial" w:cs="Arial"/>
                          <w:strike/>
                          <w:color w:val="000000"/>
                          <w:sz w:val="22"/>
                        </w:rPr>
                        <w:t>normally</w:t>
                      </w:r>
                      <w:r w:rsidR="00977F05" w:rsidRPr="00744A1A">
                        <w:rPr>
                          <w:rFonts w:eastAsia="Arial" w:cs="Arial"/>
                          <w:color w:val="000000"/>
                          <w:sz w:val="22"/>
                        </w:rPr>
                        <w:t xml:space="preserve"> after the patient has been treated for 3 months and with satisfactory investigation results for at least 4 weeks.</w:t>
                      </w:r>
                      <w:r w:rsidR="00977F05">
                        <w:rPr>
                          <w:rFonts w:eastAsia="Arial" w:cs="Arial"/>
                          <w:color w:val="000000"/>
                          <w:sz w:val="22"/>
                        </w:rPr>
                        <w:t>’</w:t>
                      </w:r>
                      <w:r w:rsidRPr="00CB33F5">
                        <w:rPr>
                          <w:rFonts w:eastAsia="Arial" w:cs="Arial"/>
                          <w:color w:val="000000"/>
                          <w:sz w:val="22"/>
                        </w:rPr>
                        <w:t xml:space="preserve"> </w:t>
                      </w:r>
                    </w:p>
                    <w:p w14:paraId="1357D172" w14:textId="77777777" w:rsidR="004A6143" w:rsidRPr="004A6143" w:rsidRDefault="00DD1BEA" w:rsidP="004A6143">
                      <w:pPr>
                        <w:pStyle w:val="ListParagraph"/>
                        <w:numPr>
                          <w:ilvl w:val="0"/>
                          <w:numId w:val="35"/>
                        </w:numPr>
                        <w:spacing w:before="60"/>
                        <w:rPr>
                          <w:rFonts w:eastAsia="Arial" w:cs="Arial"/>
                          <w:sz w:val="22"/>
                        </w:rPr>
                      </w:pPr>
                      <w:r>
                        <w:rPr>
                          <w:rFonts w:eastAsia="Arial" w:cs="Arial"/>
                          <w:color w:val="000000"/>
                          <w:sz w:val="22"/>
                        </w:rPr>
                        <w:t>The following amendments have been made to section 8 and section 9 of the document:</w:t>
                      </w:r>
                    </w:p>
                    <w:p w14:paraId="733751F5" w14:textId="33C730BA" w:rsidR="00ED20C6" w:rsidRPr="00ED20C6" w:rsidRDefault="00AB44EC" w:rsidP="00A712E9">
                      <w:pPr>
                        <w:pStyle w:val="ListParagraph"/>
                        <w:numPr>
                          <w:ilvl w:val="1"/>
                          <w:numId w:val="35"/>
                        </w:numPr>
                        <w:spacing w:before="60"/>
                        <w:rPr>
                          <w:rFonts w:eastAsia="Arial" w:cs="Arial"/>
                          <w:sz w:val="22"/>
                        </w:rPr>
                      </w:pPr>
                      <w:hyperlink w:anchor="_Baseline_investigations,_initial" w:history="1">
                        <w:r w:rsidR="00DD1BEA" w:rsidRPr="00A346D8">
                          <w:rPr>
                            <w:rStyle w:val="Hyperlink"/>
                            <w:rFonts w:eastAsia="Arial" w:cs="Arial"/>
                            <w:sz w:val="22"/>
                          </w:rPr>
                          <w:t>Section 8</w:t>
                        </w:r>
                      </w:hyperlink>
                      <w:r w:rsidR="000B7E25">
                        <w:rPr>
                          <w:rFonts w:eastAsia="Arial" w:cs="Arial"/>
                          <w:color w:val="000000"/>
                          <w:sz w:val="22"/>
                        </w:rPr>
                        <w:t xml:space="preserve"> </w:t>
                      </w:r>
                      <w:r w:rsidR="004A6143" w:rsidRPr="004A6143">
                        <w:rPr>
                          <w:rFonts w:eastAsia="Arial" w:cs="Arial"/>
                          <w:color w:val="000000"/>
                          <w:sz w:val="22"/>
                        </w:rPr>
                        <w:t>We have added</w:t>
                      </w:r>
                      <w:r w:rsidR="00857C50">
                        <w:rPr>
                          <w:rFonts w:eastAsia="Arial" w:cs="Arial"/>
                          <w:color w:val="000000"/>
                          <w:sz w:val="22"/>
                        </w:rPr>
                        <w:t xml:space="preserve"> a new subheading called</w:t>
                      </w:r>
                      <w:r w:rsidR="004A6143" w:rsidRPr="004A6143">
                        <w:rPr>
                          <w:rFonts w:eastAsia="Arial" w:cs="Arial"/>
                          <w:color w:val="000000"/>
                          <w:sz w:val="22"/>
                        </w:rPr>
                        <w:t xml:space="preserve"> </w:t>
                      </w:r>
                      <w:r w:rsidR="004A6143" w:rsidRPr="00857C50">
                        <w:rPr>
                          <w:rFonts w:eastAsia="Arial" w:cs="Arial"/>
                          <w:b/>
                          <w:bCs/>
                          <w:color w:val="000000"/>
                          <w:sz w:val="22"/>
                        </w:rPr>
                        <w:t>ongoing monitoring</w:t>
                      </w:r>
                      <w:r w:rsidR="00DB1695">
                        <w:rPr>
                          <w:rFonts w:eastAsia="Arial" w:cs="Arial"/>
                          <w:b/>
                          <w:bCs/>
                          <w:color w:val="000000"/>
                          <w:sz w:val="22"/>
                        </w:rPr>
                        <w:t xml:space="preserve"> </w:t>
                      </w:r>
                      <w:r w:rsidR="00DB1695" w:rsidRPr="00DB1695">
                        <w:rPr>
                          <w:rFonts w:eastAsia="Arial" w:cs="Arial"/>
                          <w:color w:val="000000"/>
                          <w:sz w:val="22"/>
                        </w:rPr>
                        <w:t>which states that</w:t>
                      </w:r>
                      <w:r w:rsidR="00DB1695">
                        <w:rPr>
                          <w:rFonts w:eastAsia="Arial" w:cs="Arial"/>
                          <w:b/>
                          <w:bCs/>
                          <w:color w:val="000000"/>
                          <w:sz w:val="22"/>
                        </w:rPr>
                        <w:t xml:space="preserve"> </w:t>
                      </w:r>
                      <w:r w:rsidR="004A6143" w:rsidRPr="00DB1695">
                        <w:rPr>
                          <w:rFonts w:eastAsia="Times New Roman" w:cstheme="minorHAnsi"/>
                          <w:b/>
                          <w:bCs/>
                          <w:sz w:val="22"/>
                          <w:lang w:eastAsia="en-GB"/>
                        </w:rPr>
                        <w:t>Psoriasis patients: serum PIIINP: This test is to remain with the specialist</w:t>
                      </w:r>
                      <w:r w:rsidR="004A6143" w:rsidRPr="004A6143">
                        <w:rPr>
                          <w:rFonts w:eastAsia="Times New Roman" w:cstheme="minorHAnsi"/>
                          <w:sz w:val="22"/>
                          <w:lang w:eastAsia="en-GB"/>
                        </w:rPr>
                        <w:t>.</w:t>
                      </w:r>
                      <w:r w:rsidR="002A4A0C">
                        <w:rPr>
                          <w:rFonts w:eastAsia="Times New Roman" w:cstheme="minorHAnsi"/>
                          <w:sz w:val="22"/>
                          <w:lang w:eastAsia="en-GB"/>
                        </w:rPr>
                        <w:t xml:space="preserve"> Rationale:</w:t>
                      </w:r>
                      <w:r w:rsidR="004A6143" w:rsidRPr="004A6143">
                        <w:rPr>
                          <w:rFonts w:eastAsia="Times New Roman" w:cstheme="minorHAnsi"/>
                          <w:sz w:val="22"/>
                          <w:lang w:eastAsia="en-GB"/>
                        </w:rPr>
                        <w:t xml:space="preserve"> </w:t>
                      </w:r>
                      <w:r w:rsidR="00ED20C6">
                        <w:rPr>
                          <w:rFonts w:eastAsia="Times New Roman" w:cstheme="minorHAnsi"/>
                          <w:sz w:val="22"/>
                          <w:lang w:eastAsia="en-GB"/>
                        </w:rPr>
                        <w:t>Previously the National shared care document suggested GPs in primary care could do this test</w:t>
                      </w:r>
                      <w:r w:rsidR="00BE15E9">
                        <w:rPr>
                          <w:rFonts w:eastAsia="Times New Roman" w:cstheme="minorHAnsi"/>
                          <w:sz w:val="22"/>
                          <w:lang w:eastAsia="en-GB"/>
                        </w:rPr>
                        <w:t>, i</w:t>
                      </w:r>
                      <w:r w:rsidR="00AF2D7B">
                        <w:rPr>
                          <w:rFonts w:eastAsia="Times New Roman" w:cstheme="minorHAnsi"/>
                          <w:sz w:val="22"/>
                          <w:lang w:eastAsia="en-GB"/>
                        </w:rPr>
                        <w:t xml:space="preserve">t was agreed locally </w:t>
                      </w:r>
                      <w:r w:rsidR="00ED20C6">
                        <w:rPr>
                          <w:rFonts w:eastAsia="Times New Roman" w:cstheme="minorHAnsi"/>
                          <w:sz w:val="22"/>
                          <w:lang w:eastAsia="en-GB"/>
                        </w:rPr>
                        <w:t xml:space="preserve">that this test should remain with the specialist. </w:t>
                      </w:r>
                    </w:p>
                    <w:p w14:paraId="74ECD87C" w14:textId="207ACFFA" w:rsidR="00DD1BEA" w:rsidRPr="00CB33F5" w:rsidRDefault="00AB44EC" w:rsidP="00A712E9">
                      <w:pPr>
                        <w:pStyle w:val="ListParagraph"/>
                        <w:numPr>
                          <w:ilvl w:val="1"/>
                          <w:numId w:val="35"/>
                        </w:numPr>
                        <w:spacing w:before="60"/>
                        <w:rPr>
                          <w:rFonts w:eastAsia="Arial" w:cs="Arial"/>
                          <w:sz w:val="22"/>
                        </w:rPr>
                      </w:pPr>
                      <w:hyperlink w:anchor="_Ongoing_monitoring_requirements" w:history="1">
                        <w:r w:rsidR="002A4A0C" w:rsidRPr="00A346D8">
                          <w:rPr>
                            <w:rStyle w:val="Hyperlink"/>
                            <w:rFonts w:eastAsia="Arial" w:cs="Arial"/>
                            <w:sz w:val="22"/>
                          </w:rPr>
                          <w:t>Section 9</w:t>
                        </w:r>
                      </w:hyperlink>
                      <w:r w:rsidR="000B7E25">
                        <w:rPr>
                          <w:rFonts w:eastAsia="Arial" w:cs="Arial"/>
                          <w:sz w:val="22"/>
                        </w:rPr>
                        <w:t xml:space="preserve"> </w:t>
                      </w:r>
                      <w:r w:rsidR="002A4A0C">
                        <w:rPr>
                          <w:rFonts w:eastAsia="Arial" w:cs="Arial"/>
                          <w:sz w:val="22"/>
                        </w:rPr>
                        <w:t>To re-iterate the above amendment, we have added the following</w:t>
                      </w:r>
                      <w:r w:rsidR="00DE6351">
                        <w:rPr>
                          <w:rFonts w:eastAsia="Arial" w:cs="Arial"/>
                          <w:sz w:val="22"/>
                        </w:rPr>
                        <w:t xml:space="preserve"> wording</w:t>
                      </w:r>
                      <w:r w:rsidR="000B7E25">
                        <w:rPr>
                          <w:rFonts w:eastAsia="Arial" w:cs="Arial"/>
                          <w:sz w:val="22"/>
                        </w:rPr>
                        <w:t>:</w:t>
                      </w:r>
                      <w:r w:rsidR="00DE6351">
                        <w:rPr>
                          <w:rFonts w:eastAsia="Arial" w:cs="Arial"/>
                          <w:sz w:val="22"/>
                        </w:rPr>
                        <w:t xml:space="preserve"> </w:t>
                      </w:r>
                      <w:r w:rsidR="00DE6351" w:rsidRPr="00DE6351">
                        <w:rPr>
                          <w:rFonts w:eastAsia="Times New Roman" w:cstheme="minorHAnsi"/>
                          <w:sz w:val="22"/>
                          <w:szCs w:val="20"/>
                          <w:lang w:eastAsia="en-GB"/>
                        </w:rPr>
                        <w:t xml:space="preserve">Psoriasis patients: serum PIIINP – </w:t>
                      </w:r>
                      <w:r w:rsidR="00DE6351" w:rsidRPr="00DE6351">
                        <w:rPr>
                          <w:rFonts w:eastAsia="Times New Roman" w:cstheme="minorHAnsi"/>
                          <w:b/>
                          <w:bCs/>
                          <w:sz w:val="22"/>
                          <w:szCs w:val="20"/>
                          <w:lang w:eastAsia="en-GB"/>
                        </w:rPr>
                        <w:t>this test remains with the specialist.</w:t>
                      </w:r>
                      <w:r w:rsidR="000A34EE">
                        <w:rPr>
                          <w:rFonts w:eastAsia="Times New Roman" w:cstheme="minorHAnsi"/>
                          <w:b/>
                          <w:bCs/>
                          <w:sz w:val="22"/>
                          <w:szCs w:val="20"/>
                          <w:lang w:eastAsia="en-GB"/>
                        </w:rPr>
                        <w:t xml:space="preserve"> See section 8. </w:t>
                      </w:r>
                    </w:p>
                    <w:p w14:paraId="287848FB" w14:textId="44AB7D8B" w:rsidR="00226760" w:rsidRPr="00CB33F5" w:rsidRDefault="00226760" w:rsidP="00226760">
                      <w:pPr>
                        <w:pStyle w:val="ListParagraph"/>
                        <w:numPr>
                          <w:ilvl w:val="0"/>
                          <w:numId w:val="35"/>
                        </w:numPr>
                        <w:rPr>
                          <w:rFonts w:eastAsia="Arial" w:cs="Arial"/>
                          <w:color w:val="000000" w:themeColor="text1"/>
                          <w:sz w:val="22"/>
                        </w:rPr>
                      </w:pPr>
                      <w:r w:rsidRPr="00CB33F5">
                        <w:rPr>
                          <w:rFonts w:eastAsia="Times New Roman" w:cs="Arial"/>
                          <w:sz w:val="22"/>
                          <w:lang w:eastAsia="en-GB"/>
                        </w:rPr>
                        <w:t xml:space="preserve">To reiterate, as stated in </w:t>
                      </w:r>
                      <w:hyperlink w:anchor="_Baseline_investigations,_initial" w:history="1">
                        <w:r w:rsidRPr="00CB33F5">
                          <w:rPr>
                            <w:rStyle w:val="Hyperlink"/>
                            <w:rFonts w:eastAsia="Times New Roman" w:cs="Arial"/>
                            <w:sz w:val="22"/>
                            <w:lang w:eastAsia="en-GB"/>
                          </w:rPr>
                          <w:t>section 8</w:t>
                        </w:r>
                      </w:hyperlink>
                      <w:r w:rsidRPr="00CB33F5">
                        <w:rPr>
                          <w:rFonts w:eastAsia="Times New Roman" w:cs="Arial"/>
                          <w:sz w:val="22"/>
                          <w:lang w:eastAsia="en-GB"/>
                        </w:rPr>
                        <w:t>: ‘</w:t>
                      </w:r>
                      <w:r w:rsidRPr="00CB33F5">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CD1026">
                        <w:rPr>
                          <w:rFonts w:eastAsia="Arial" w:cs="Arial"/>
                          <w:sz w:val="22"/>
                        </w:rPr>
                        <w:t xml:space="preserve"> </w:t>
                      </w:r>
                      <w:r w:rsidR="00CD1026" w:rsidRPr="00CD1026">
                        <w:rPr>
                          <w:rFonts w:eastAsia="Times New Roman" w:cs="Arial"/>
                          <w:sz w:val="22"/>
                          <w:lang w:eastAsia="en-GB"/>
                        </w:rPr>
                        <w:t xml:space="preserve">When a patient is reviewed, advise primary care whether treatment should be continued, confirm the ongoing dose, and whether the ongoing monitoring outlined in </w:t>
                      </w:r>
                      <w:hyperlink w:anchor="Nine_primary_care_monitoring" w:history="1">
                        <w:r w:rsidR="00CD1026" w:rsidRPr="00CD1026">
                          <w:rPr>
                            <w:rStyle w:val="Hyperlink"/>
                            <w:rFonts w:eastAsia="Times New Roman" w:cs="Arial"/>
                            <w:sz w:val="22"/>
                            <w:lang w:eastAsia="en-GB"/>
                          </w:rPr>
                          <w:t>section 9</w:t>
                        </w:r>
                      </w:hyperlink>
                      <w:r w:rsidR="00CD1026" w:rsidRPr="00CD1026">
                        <w:rPr>
                          <w:rFonts w:eastAsia="Times New Roman" w:cs="Arial"/>
                          <w:sz w:val="22"/>
                          <w:lang w:eastAsia="en-GB"/>
                        </w:rPr>
                        <w:t xml:space="preserve"> remains appropriate.</w:t>
                      </w:r>
                      <w:r w:rsidRPr="00CD1026">
                        <w:rPr>
                          <w:rFonts w:eastAsia="Arial" w:cs="Arial"/>
                          <w:sz w:val="22"/>
                        </w:rPr>
                        <w:t>’</w:t>
                      </w:r>
                    </w:p>
                    <w:p w14:paraId="0DA69AD3" w14:textId="6F56C693" w:rsidR="00BF1375" w:rsidRPr="008B646E" w:rsidRDefault="00AB44EC" w:rsidP="00226760">
                      <w:pPr>
                        <w:pStyle w:val="ListParagraph"/>
                        <w:numPr>
                          <w:ilvl w:val="0"/>
                          <w:numId w:val="35"/>
                        </w:numPr>
                        <w:rPr>
                          <w:rFonts w:eastAsia="Arial" w:cs="Arial"/>
                          <w:color w:val="000000" w:themeColor="text1"/>
                          <w:sz w:val="22"/>
                        </w:rPr>
                      </w:pPr>
                      <w:hyperlink w:anchor="_Pregnancy,_paternal_exposure" w:history="1">
                        <w:r w:rsidR="001C409F" w:rsidRPr="00CB33F5">
                          <w:rPr>
                            <w:rStyle w:val="Hyperlink"/>
                            <w:rFonts w:eastAsia="Times New Roman" w:cstheme="minorHAnsi"/>
                            <w:sz w:val="22"/>
                            <w:lang w:eastAsia="en-GB"/>
                          </w:rPr>
                          <w:t>Section 12</w:t>
                        </w:r>
                      </w:hyperlink>
                      <w:r w:rsidR="001C409F" w:rsidRPr="00CB33F5">
                        <w:rPr>
                          <w:rFonts w:eastAsia="Times New Roman" w:cstheme="minorHAnsi"/>
                          <w:color w:val="000000"/>
                          <w:sz w:val="22"/>
                          <w:lang w:eastAsia="en-GB"/>
                        </w:rPr>
                        <w:t xml:space="preserve"> (</w:t>
                      </w:r>
                      <w:r w:rsidR="001C409F" w:rsidRPr="00CB33F5">
                        <w:rPr>
                          <w:sz w:val="22"/>
                          <w:lang w:eastAsia="en-GB"/>
                        </w:rPr>
                        <w:t>Pregnancy, paternal exposure and breast feeding</w:t>
                      </w:r>
                      <w:r w:rsidR="001C409F" w:rsidRPr="00CB33F5">
                        <w:rPr>
                          <w:rFonts w:eastAsia="Times New Roman" w:cstheme="minorHAnsi"/>
                          <w:color w:val="000000"/>
                          <w:sz w:val="22"/>
                          <w:lang w:eastAsia="en-GB"/>
                        </w:rPr>
                        <w:t xml:space="preserve"> ) has the added information which states that the British Society of Rheumatology provides further guidance on methotrexate and pregnancy which clinicians may wish to consider available via the following link: </w:t>
                      </w:r>
                      <w:hyperlink r:id="rId12" w:history="1">
                        <w:r w:rsidR="001C409F" w:rsidRPr="00CB33F5">
                          <w:rPr>
                            <w:rStyle w:val="Hyperlink"/>
                            <w:sz w:val="22"/>
                            <w:lang w:eastAsia="en-GB"/>
                          </w:rPr>
                          <w:t>https://academic.oup.com/rheumatology/article/55/9/1693/1744535</w:t>
                        </w:r>
                      </w:hyperlink>
                    </w:p>
                    <w:p w14:paraId="7FC956C7" w14:textId="5168518E" w:rsidR="008B646E" w:rsidRPr="00CB33F5" w:rsidRDefault="008B646E" w:rsidP="00226760">
                      <w:pPr>
                        <w:pStyle w:val="ListParagraph"/>
                        <w:numPr>
                          <w:ilvl w:val="0"/>
                          <w:numId w:val="35"/>
                        </w:numPr>
                        <w:rPr>
                          <w:rFonts w:eastAsia="Arial" w:cs="Arial"/>
                          <w:color w:val="000000" w:themeColor="text1"/>
                          <w:sz w:val="22"/>
                        </w:rPr>
                      </w:pPr>
                      <w:r>
                        <w:rPr>
                          <w:color w:val="000000"/>
                          <w:sz w:val="22"/>
                          <w:lang w:eastAsia="en-GB"/>
                        </w:rPr>
                        <w:t xml:space="preserve">Local waste management services included in </w:t>
                      </w:r>
                      <w:hyperlink w:anchor="_Additional_information_Back" w:history="1">
                        <w:r w:rsidRPr="0005473B">
                          <w:rPr>
                            <w:rStyle w:val="Hyperlink"/>
                            <w:sz w:val="22"/>
                            <w:lang w:eastAsia="en-GB"/>
                          </w:rPr>
                          <w:t>Section 14</w:t>
                        </w:r>
                      </w:hyperlink>
                    </w:p>
                    <w:p w14:paraId="299492F6" w14:textId="77777777" w:rsidR="00226760" w:rsidRPr="00CB33F5" w:rsidRDefault="00226760" w:rsidP="00226760">
                      <w:pPr>
                        <w:pStyle w:val="ListParagraph"/>
                        <w:rPr>
                          <w:sz w:val="22"/>
                        </w:rPr>
                      </w:pPr>
                    </w:p>
                  </w:txbxContent>
                </v:textbox>
                <w10:wrap type="tight" anchorx="margin"/>
              </v:shape>
            </w:pict>
          </mc:Fallback>
        </mc:AlternateContent>
      </w:r>
      <w:r w:rsidR="00145418">
        <w:rPr>
          <w:noProof/>
        </w:rPr>
        <w:drawing>
          <wp:anchor distT="0" distB="0" distL="114300" distR="114300" simplePos="0" relativeHeight="251658241" behindDoc="1" locked="0" layoutInCell="1" allowOverlap="1" wp14:anchorId="33E7EB4D" wp14:editId="2A0E956F">
            <wp:simplePos x="0" y="0"/>
            <wp:positionH relativeFrom="margin">
              <wp:posOffset>4943475</wp:posOffset>
            </wp:positionH>
            <wp:positionV relativeFrom="paragraph">
              <wp:posOffset>351155</wp:posOffset>
            </wp:positionV>
            <wp:extent cx="1466850" cy="544195"/>
            <wp:effectExtent l="0" t="0" r="0" b="8255"/>
            <wp:wrapTight wrapText="bothSides">
              <wp:wrapPolygon edited="0">
                <wp:start x="0" y="0"/>
                <wp:lineTo x="0" y="21172"/>
                <wp:lineTo x="21319" y="21172"/>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BC5D65" w:rsidRPr="002D255E">
            <w:t>4 July 2022</w:t>
          </w:r>
        </w:sdtContent>
      </w:sdt>
      <w:r w:rsidR="004206F9" w:rsidRPr="002D255E">
        <w:t>, Version 1</w:t>
      </w:r>
    </w:p>
    <w:p w14:paraId="5CBB054D" w14:textId="77777777" w:rsidR="00FF10F2" w:rsidRDefault="00FF10F2" w:rsidP="00FF10F2">
      <w:pPr>
        <w:spacing w:after="120" w:line="240" w:lineRule="auto"/>
      </w:pPr>
      <w:r>
        <w:lastRenderedPageBreak/>
        <w:t>Approved by: Integrated medicines committee (IMOC)</w:t>
      </w:r>
    </w:p>
    <w:p w14:paraId="0DC7375D" w14:textId="089467A2" w:rsidR="00FF10F2" w:rsidRDefault="00FF10F2" w:rsidP="00FF10F2">
      <w:pPr>
        <w:spacing w:after="120" w:line="240" w:lineRule="auto"/>
        <w:rPr>
          <w:b/>
          <w:bCs/>
        </w:rPr>
      </w:pPr>
      <w:r w:rsidRPr="00253247">
        <w:t xml:space="preserve">Approval date: </w:t>
      </w:r>
      <w:r w:rsidR="00FE23D9" w:rsidRPr="0064167A">
        <w:t>15</w:t>
      </w:r>
      <w:r w:rsidR="00FE23D9" w:rsidRPr="0064167A">
        <w:rPr>
          <w:vertAlign w:val="superscript"/>
        </w:rPr>
        <w:t>th</w:t>
      </w:r>
      <w:r w:rsidR="00FE23D9" w:rsidRPr="0064167A">
        <w:t xml:space="preserve"> February 2023</w:t>
      </w:r>
    </w:p>
    <w:p w14:paraId="20D080C3" w14:textId="63D995C9" w:rsidR="000B0A3D" w:rsidRPr="00253247" w:rsidRDefault="000B0A3D" w:rsidP="00FF10F2">
      <w:pPr>
        <w:spacing w:after="120" w:line="240" w:lineRule="auto"/>
        <w:rPr>
          <w:b/>
          <w:bCs/>
        </w:rPr>
      </w:pPr>
      <w:r>
        <w:t xml:space="preserve">Review Date: January 2025, as per NHS England </w:t>
      </w:r>
    </w:p>
    <w:p w14:paraId="0C23819C" w14:textId="47C63B6E" w:rsidR="0093397B" w:rsidRPr="002D255E" w:rsidRDefault="0093397B" w:rsidP="004206F9">
      <w:pPr>
        <w:ind w:left="-709"/>
      </w:pPr>
      <w:r w:rsidRPr="002D255E">
        <w:rPr>
          <w:noProof/>
        </w:rPr>
        <mc:AlternateContent>
          <mc:Choice Requires="wps">
            <w:drawing>
              <wp:inline distT="45720" distB="45720" distL="114300" distR="114300" wp14:anchorId="1AE2D7C2" wp14:editId="2D1EB4ED">
                <wp:extent cx="6625086" cy="1147313"/>
                <wp:effectExtent l="0" t="0" r="23495"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086" cy="1147313"/>
                        </a:xfrm>
                        <a:prstGeom prst="rect">
                          <a:avLst/>
                        </a:prstGeom>
                        <a:solidFill>
                          <a:srgbClr val="FFFFFF"/>
                        </a:solidFill>
                        <a:ln w="9525">
                          <a:solidFill>
                            <a:srgbClr val="000000"/>
                          </a:solidFill>
                          <a:miter lim="800000"/>
                          <a:headEnd/>
                          <a:tailEnd/>
                        </a:ln>
                      </wps:spPr>
                      <wps:txbx>
                        <w:txbxContent>
                          <w:p w14:paraId="2F6DD2C7" w14:textId="77777777" w:rsidR="0093397B" w:rsidRPr="00C55EA7" w:rsidRDefault="0093397B" w:rsidP="0093397B">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33BDD8F" w14:textId="77777777" w:rsidR="0093397B" w:rsidRDefault="0093397B" w:rsidP="0093397B"/>
                        </w:txbxContent>
                      </wps:txbx>
                      <wps:bodyPr rot="0" vert="horz" wrap="square" lIns="91440" tIns="45720" rIns="91440" bIns="45720" anchor="t" anchorCtr="0">
                        <a:noAutofit/>
                      </wps:bodyPr>
                    </wps:wsp>
                  </a:graphicData>
                </a:graphic>
              </wp:inline>
            </w:drawing>
          </mc:Choice>
          <mc:Fallback>
            <w:pict>
              <v:shape w14:anchorId="1AE2D7C2" id="Text Box 2" o:spid="_x0000_s1027" type="#_x0000_t202" style="width:521.65pt;height: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">
                <v:textbox>
                  <w:txbxContent>
                    <w:p w14:paraId="2F6DD2C7" w14:textId="77777777" w:rsidR="0093397B" w:rsidRPr="00C55EA7" w:rsidRDefault="0093397B" w:rsidP="0093397B">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33BDD8F" w14:textId="77777777" w:rsidR="0093397B" w:rsidRDefault="0093397B" w:rsidP="0093397B"/>
                  </w:txbxContent>
                </v:textbox>
                <w10:anchorlock/>
              </v:shape>
            </w:pict>
          </mc:Fallback>
        </mc:AlternateContent>
      </w:r>
    </w:p>
    <w:p w14:paraId="69FD2FF5" w14:textId="13B4356E" w:rsidR="007C7494" w:rsidRPr="002D255E" w:rsidRDefault="007C7494" w:rsidP="0093397B">
      <w:pPr>
        <w:sectPr w:rsidR="007C7494" w:rsidRPr="002D255E" w:rsidSect="00AB44EC">
          <w:footerReference w:type="default" r:id="rId22"/>
          <w:headerReference w:type="first" r:id="rId23"/>
          <w:pgSz w:w="11906" w:h="16838"/>
          <w:pgMar w:top="1474" w:right="1418" w:bottom="1134" w:left="1418" w:header="510"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D255E" w14:paraId="146E6787" w14:textId="77777777" w:rsidTr="7234176C">
        <w:trPr>
          <w:jc w:val="center"/>
        </w:trPr>
        <w:tc>
          <w:tcPr>
            <w:tcW w:w="10455" w:type="dxa"/>
            <w:gridSpan w:val="3"/>
            <w:tcBorders>
              <w:bottom w:val="single" w:sz="4" w:space="0" w:color="auto"/>
            </w:tcBorders>
            <w:shd w:val="clear" w:color="auto" w:fill="F2F2F2" w:themeFill="background1" w:themeFillShade="F2"/>
          </w:tcPr>
          <w:p w14:paraId="7A244829" w14:textId="6843A232" w:rsidR="00055685" w:rsidRPr="002D255E" w:rsidRDefault="00055685" w:rsidP="007C7494">
            <w:pPr>
              <w:pStyle w:val="Heading2"/>
              <w:spacing w:before="0"/>
              <w:rPr>
                <w:lang w:eastAsia="en-GB"/>
              </w:rPr>
            </w:pPr>
            <w:bookmarkStart w:id="0" w:name="_Specialist_responsibilities"/>
            <w:bookmarkStart w:id="1" w:name="Responsibilities"/>
            <w:bookmarkEnd w:id="0"/>
            <w:r w:rsidRPr="002D255E">
              <w:rPr>
                <w:lang w:eastAsia="en-GB"/>
              </w:rPr>
              <w:t>Specialist responsibilities</w:t>
            </w:r>
          </w:p>
          <w:p w14:paraId="36FE4FD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2D255E">
                <w:rPr>
                  <w:rStyle w:val="Hyperlink"/>
                  <w:rFonts w:eastAsia="Times New Roman" w:cstheme="minorHAnsi"/>
                  <w:iCs/>
                  <w:color w:val="0000FF"/>
                  <w:lang w:eastAsia="en-GB"/>
                </w:rPr>
                <w:t>section 2</w:t>
              </w:r>
            </w:hyperlink>
            <w:r w:rsidRPr="002D255E">
              <w:rPr>
                <w:rFonts w:eastAsia="Times New Roman" w:cstheme="minorHAnsi"/>
                <w:iCs/>
                <w:color w:val="000000"/>
                <w:lang w:eastAsia="en-GB"/>
              </w:rPr>
              <w:t>) and communicated to primary care.</w:t>
            </w:r>
          </w:p>
          <w:p w14:paraId="554AA5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 to enable the patient to reach an informed decision. Obtain and document patient consent. Provide an appropriate patient information leaflet.</w:t>
            </w:r>
          </w:p>
          <w:p w14:paraId="2BB386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Ensure the patient and/or carer understands and can follow the once-weekly dose regimen.</w:t>
            </w:r>
          </w:p>
          <w:p w14:paraId="2137458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If prescribing subcutaneous methotrexate ensure the patient/carer is trained to administer safely, or liaise with primary care to arrange safe administration by a healthcare professional. Ensure that there are local arrangements for safe supply and disposal of ancillary products.</w:t>
            </w:r>
          </w:p>
          <w:p w14:paraId="6073236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Assess for contraindications and cautions (see </w:t>
            </w:r>
            <w:hyperlink w:anchor="Four_cx_and_cautions" w:history="1">
              <w:r w:rsidRPr="002D255E">
                <w:rPr>
                  <w:rStyle w:val="Hyperlink"/>
                  <w:rFonts w:eastAsia="Times New Roman" w:cstheme="minorHAnsi"/>
                  <w:iCs/>
                  <w:color w:val="0000FF"/>
                  <w:lang w:eastAsia="en-GB"/>
                </w:rPr>
                <w:t>section 4</w:t>
              </w:r>
            </w:hyperlink>
            <w:r w:rsidRPr="002D255E">
              <w:rPr>
                <w:rFonts w:eastAsia="Times New Roman" w:cstheme="minorHAnsi"/>
                <w:iCs/>
                <w:color w:val="000000"/>
                <w:lang w:eastAsia="en-GB"/>
              </w:rPr>
              <w:t xml:space="preserve">) and interactions (see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3C22450B" w14:textId="47713CF1" w:rsidR="008D5964" w:rsidRPr="002D255E" w:rsidRDefault="008D5964" w:rsidP="008D5964">
            <w:pPr>
              <w:pStyle w:val="ListParagraph"/>
              <w:numPr>
                <w:ilvl w:val="0"/>
                <w:numId w:val="22"/>
              </w:numPr>
              <w:spacing w:after="200" w:line="276"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Initiate and optimise treatment as outlined in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Transfer to primary care is after the patient has been treated for 3 months and with satisfactory investigation results for at least 4 weeks.</w:t>
            </w:r>
          </w:p>
          <w:p w14:paraId="09BF7EEE"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Once treatment is optimised, complete the shared care documentation and send to patient’s GP practice detailing the diagnosis, current and ongoing dose of methotrexate and folic acid, any relevant test results, which day of the week the patient takes their methotrexate and folic acid, and when the next monitoring is required. Include contact information (</w:t>
            </w:r>
            <w:hyperlink w:anchor="Thirteen_specialist_contact" w:history="1">
              <w:r w:rsidRPr="002D255E">
                <w:rPr>
                  <w:rStyle w:val="Hyperlink"/>
                  <w:rFonts w:eastAsia="Times New Roman" w:cstheme="minorHAnsi"/>
                  <w:iCs/>
                  <w:color w:val="0000FF"/>
                  <w:lang w:eastAsia="en-GB"/>
                </w:rPr>
                <w:t>section 13</w:t>
              </w:r>
            </w:hyperlink>
            <w:r w:rsidRPr="002D255E">
              <w:rPr>
                <w:rFonts w:eastAsia="Times New Roman" w:cstheme="minorHAnsi"/>
                <w:iCs/>
                <w:color w:val="000000"/>
                <w:lang w:eastAsia="en-GB"/>
              </w:rPr>
              <w:t xml:space="preserve">). If subcutaneous methotrexate is prescribed, include the brand. </w:t>
            </w:r>
          </w:p>
          <w:p w14:paraId="1275325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Prescribe sufficient medication to enable transfer to primary care, including where there are unforeseen delays to transfer of care.</w:t>
            </w:r>
          </w:p>
          <w:p w14:paraId="3518670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Conduct the required monitoring in </w:t>
            </w:r>
            <w:hyperlink w:anchor="Eight_specialist_monitoring" w:history="1">
              <w:r w:rsidRPr="002D255E">
                <w:rPr>
                  <w:rStyle w:val="Hyperlink"/>
                  <w:rFonts w:eastAsia="Times New Roman" w:cstheme="minorHAnsi"/>
                  <w:iCs/>
                  <w:color w:val="0000FF"/>
                  <w:lang w:eastAsia="en-GB"/>
                </w:rPr>
                <w:t>section 8</w:t>
              </w:r>
            </w:hyperlink>
            <w:r w:rsidRPr="002D255E">
              <w:rPr>
                <w:rStyle w:val="Hyperlink"/>
                <w:rFonts w:eastAsia="Times New Roman" w:cstheme="minorHAnsi"/>
                <w:iCs/>
                <w:color w:val="0000FF"/>
                <w:u w:val="none"/>
                <w:lang w:eastAsia="en-GB"/>
              </w:rPr>
              <w:t xml:space="preserve"> </w:t>
            </w:r>
            <w:r w:rsidRPr="002D255E">
              <w:rPr>
                <w:rStyle w:val="Hyperlink"/>
                <w:rFonts w:eastAsia="Times New Roman" w:cstheme="minorHAnsi"/>
                <w:iCs/>
                <w:color w:val="000000"/>
                <w:u w:val="none"/>
                <w:lang w:eastAsia="en-GB"/>
              </w:rPr>
              <w:t xml:space="preserve">and communicate the results to primary care. After each review, advise primary care whether treatment should be continued, confirm the ongoing dose, and whether the ongoing monitoring outlined in </w:t>
            </w:r>
            <w:hyperlink w:anchor="Nine_primary_care_monitoring" w:history="1">
              <w:r w:rsidRPr="002D255E">
                <w:rPr>
                  <w:rStyle w:val="Hyperlink"/>
                  <w:rFonts w:eastAsia="Times New Roman" w:cstheme="minorHAnsi"/>
                  <w:iCs/>
                  <w:color w:val="0000FF"/>
                  <w:lang w:eastAsia="en-GB"/>
                </w:rPr>
                <w:t>section 9</w:t>
              </w:r>
            </w:hyperlink>
            <w:r w:rsidRPr="002D255E">
              <w:rPr>
                <w:rStyle w:val="Hyperlink"/>
                <w:rFonts w:eastAsia="Times New Roman" w:cstheme="minorHAnsi"/>
                <w:iCs/>
                <w:color w:val="000000"/>
                <w:u w:val="none"/>
                <w:lang w:eastAsia="en-GB"/>
              </w:rPr>
              <w:t xml:space="preserve"> remains appropriate</w:t>
            </w:r>
            <w:r w:rsidRPr="002D255E">
              <w:rPr>
                <w:rFonts w:eastAsia="Times New Roman" w:cstheme="minorHAnsi"/>
                <w:iCs/>
                <w:color w:val="000000"/>
                <w:lang w:eastAsia="en-GB"/>
              </w:rPr>
              <w:t xml:space="preserve">. </w:t>
            </w:r>
          </w:p>
          <w:p w14:paraId="04355F53" w14:textId="44E30812"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Review treatment and reassume prescribing responsibility if a patient becomes or wishes to become pregnant.</w:t>
            </w:r>
          </w:p>
          <w:p w14:paraId="05B249AF" w14:textId="0E969639"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Provide advice to primary care on the management of adverse effects if required</w:t>
            </w:r>
          </w:p>
          <w:bookmarkEnd w:id="1"/>
          <w:p w14:paraId="777ACBA6" w14:textId="5A724922" w:rsidR="00055685" w:rsidRPr="002D255E" w:rsidRDefault="00055685" w:rsidP="007C7494">
            <w:pPr>
              <w:pStyle w:val="Heading2"/>
              <w:rPr>
                <w:lang w:eastAsia="en-GB"/>
              </w:rPr>
            </w:pPr>
            <w:r w:rsidRPr="002D255E">
              <w:rPr>
                <w:lang w:eastAsia="en-GB"/>
              </w:rPr>
              <w:t>Primary care responsibilities</w:t>
            </w:r>
          </w:p>
          <w:p w14:paraId="4702042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365C5F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If accepted, prescribe methotrexate and folic acid as detailed in the specialists request and as per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xml:space="preserve">, taking into any account potential drug interactions in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6267D231"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Adjust the dose of methotrexate and folic acid prescribed as advised by the specialist.</w:t>
            </w:r>
          </w:p>
          <w:p w14:paraId="43F7969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lastRenderedPageBreak/>
              <w:t xml:space="preserve">Conduct the required monitoring as outlined in </w:t>
            </w:r>
            <w:hyperlink w:anchor="Nine_primary_care_monitoring" w:history="1">
              <w:r w:rsidRPr="002D255E">
                <w:rPr>
                  <w:rStyle w:val="Hyperlink"/>
                  <w:rFonts w:eastAsia="Times New Roman" w:cstheme="minorHAnsi"/>
                  <w:iCs/>
                  <w:color w:val="0000FF"/>
                  <w:lang w:eastAsia="en-GB"/>
                </w:rPr>
                <w:t>section 9</w:t>
              </w:r>
            </w:hyperlink>
            <w:r w:rsidRPr="002D255E">
              <w:rPr>
                <w:rFonts w:eastAsia="Times New Roman" w:cstheme="minorHAnsi"/>
                <w:iCs/>
                <w:color w:val="000000"/>
                <w:lang w:eastAsia="en-GB"/>
              </w:rPr>
              <w:t>.</w:t>
            </w:r>
            <w:r w:rsidRPr="002D255E">
              <w:rPr>
                <w:color w:val="000000"/>
              </w:rPr>
              <w:t xml:space="preserve"> </w:t>
            </w:r>
            <w:r w:rsidRPr="002D255E">
              <w:rPr>
                <w:rFonts w:eastAsia="Times New Roman" w:cstheme="minorHAnsi"/>
                <w:iCs/>
                <w:color w:val="000000"/>
                <w:lang w:eastAsia="en-GB"/>
              </w:rPr>
              <w:t>Communicate any abnormal results to the specialist.</w:t>
            </w:r>
          </w:p>
          <w:p w14:paraId="0C59E5B2"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Manage adverse effects as detailed in </w:t>
            </w:r>
            <w:hyperlink w:anchor="Ten_ADRs_and_Management" w:history="1">
              <w:r w:rsidRPr="002D255E">
                <w:rPr>
                  <w:rStyle w:val="Hyperlink"/>
                  <w:rFonts w:eastAsia="Times New Roman" w:cstheme="minorHAnsi"/>
                  <w:iCs/>
                  <w:color w:val="0000FF"/>
                  <w:lang w:eastAsia="en-GB"/>
                </w:rPr>
                <w:t>section 10</w:t>
              </w:r>
            </w:hyperlink>
            <w:r w:rsidRPr="002D255E">
              <w:rPr>
                <w:rFonts w:eastAsia="Times New Roman" w:cstheme="minorHAnsi"/>
                <w:iCs/>
                <w:color w:val="000000"/>
                <w:lang w:eastAsia="en-GB"/>
              </w:rPr>
              <w:t xml:space="preserve"> and discuss with specialist team when required.</w:t>
            </w:r>
          </w:p>
          <w:p w14:paraId="6FCD9D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methotrexate and discuss urgently with the specialist if the patient develops signs of severe infection, liver or respiratory disease, unexplained bleeding or bruising, becomes pregnant, or if immunosuppressed patients are exposed to chickenpox or shingles. </w:t>
            </w:r>
          </w:p>
          <w:p w14:paraId="3E178EC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Discuss with the specialist if the patient plans to become pregnant.</w:t>
            </w:r>
          </w:p>
          <w:p w14:paraId="6D6C72B1" w14:textId="26ED6605"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treatment as advised by the specialist. </w:t>
            </w:r>
          </w:p>
          <w:p w14:paraId="09D140FC" w14:textId="77777777" w:rsidR="00055685" w:rsidRPr="002D255E" w:rsidRDefault="00055685" w:rsidP="008D5964">
            <w:pPr>
              <w:pStyle w:val="Heading2"/>
              <w:rPr>
                <w:lang w:eastAsia="en-GB"/>
              </w:rPr>
            </w:pPr>
            <w:r w:rsidRPr="002D255E">
              <w:rPr>
                <w:lang w:eastAsia="en-GB"/>
              </w:rPr>
              <w:t>Patient and/or carer responsibilities</w:t>
            </w:r>
          </w:p>
          <w:p w14:paraId="412F22F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Take or administer </w:t>
            </w:r>
            <w:r w:rsidRPr="002D255E">
              <w:rPr>
                <w:color w:val="000000"/>
              </w:rPr>
              <w:t>methotrexate</w:t>
            </w:r>
            <w:r w:rsidRPr="002D255E">
              <w:rPr>
                <w:rFonts w:eastAsia="Times New Roman" w:cstheme="minorHAnsi"/>
                <w:iCs/>
                <w:color w:val="000000"/>
                <w:lang w:eastAsia="en-GB"/>
              </w:rPr>
              <w:t xml:space="preserve"> as prescribed and avoid abrupt withdrawal unless advised by the primary care prescriber or specialist.</w:t>
            </w:r>
          </w:p>
          <w:p w14:paraId="485C354B"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Attend regularly for monitoring and review appointments with primary care and specialist, and keep contact details up to date with both prescribers. If provided, they should bring their monitoring booklet to each appointment. Be aware that medicines may be stopped if they do not attend.</w:t>
            </w:r>
          </w:p>
          <w:p w14:paraId="14754B8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w:t>
            </w:r>
          </w:p>
          <w:p w14:paraId="72DE2B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Report the use of any over the counter (OTC) medications to primary care and specialist and be aware they should discuss the use of methotrexate with their pharmacist before purchasing any OTC medicines.</w:t>
            </w:r>
          </w:p>
          <w:p w14:paraId="5033768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Moderate their alcohol intake to no more than 14 units per week. </w:t>
            </w:r>
          </w:p>
          <w:p w14:paraId="613C6FF8" w14:textId="77777777" w:rsidR="008D5964" w:rsidRPr="002D255E" w:rsidRDefault="008D5964" w:rsidP="008D5964">
            <w:pPr>
              <w:pStyle w:val="ListParagraph"/>
              <w:numPr>
                <w:ilvl w:val="0"/>
                <w:numId w:val="22"/>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iCs/>
                <w:color w:val="000000"/>
                <w:lang w:eastAsia="en-GB"/>
              </w:rPr>
              <w:t>Not to drive or operate heavy machinery if methotrexate affects their ability to do so safely</w:t>
            </w:r>
            <w:r w:rsidRPr="002D255E">
              <w:rPr>
                <w:rStyle w:val="Hyperlink"/>
                <w:color w:val="000000"/>
                <w:u w:val="none"/>
              </w:rPr>
              <w:t xml:space="preserve">. </w:t>
            </w:r>
          </w:p>
          <w:p w14:paraId="61DDC8D4" w14:textId="53B4FC35"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iCs/>
                <w:color w:val="000000"/>
                <w:lang w:eastAsia="en-GB"/>
              </w:rPr>
              <w:t xml:space="preserve">All patients should use appropriate contraception. Those of childbearing potential should take a pregnancy test if they think they could be pregnant, and inform the specialist or GP immediately if they become pregnant or wish to become pregnant. See </w:t>
            </w:r>
            <w:hyperlink w:anchor="Twelve_pregnancy_paternity" w:history="1">
              <w:r w:rsidRPr="002D255E">
                <w:rPr>
                  <w:rStyle w:val="Hyperlink"/>
                  <w:rFonts w:eastAsia="Times New Roman" w:cstheme="minorHAnsi"/>
                  <w:iCs/>
                  <w:lang w:eastAsia="en-GB"/>
                </w:rPr>
                <w:t>section 12</w:t>
              </w:r>
            </w:hyperlink>
            <w:r w:rsidRPr="002D255E">
              <w:rPr>
                <w:rFonts w:eastAsia="Times New Roman" w:cstheme="minorHAnsi"/>
                <w:iCs/>
                <w:color w:val="000000"/>
                <w:lang w:eastAsia="en-GB"/>
              </w:rPr>
              <w:t>.</w:t>
            </w:r>
          </w:p>
        </w:tc>
      </w:tr>
      <w:tr w:rsidR="00055685" w:rsidRPr="002D255E" w14:paraId="2BBEC1D0" w14:textId="77777777" w:rsidTr="7234176C">
        <w:trPr>
          <w:jc w:val="center"/>
        </w:trPr>
        <w:tc>
          <w:tcPr>
            <w:tcW w:w="10455" w:type="dxa"/>
            <w:gridSpan w:val="3"/>
            <w:tcBorders>
              <w:bottom w:val="nil"/>
            </w:tcBorders>
            <w:shd w:val="clear" w:color="auto" w:fill="F2F2F2" w:themeFill="background1" w:themeFillShade="F2"/>
          </w:tcPr>
          <w:p w14:paraId="14521365" w14:textId="6DDD4E82" w:rsidR="00055685" w:rsidRPr="002D255E" w:rsidRDefault="00055685" w:rsidP="00FA713C">
            <w:pPr>
              <w:pStyle w:val="Heading1"/>
              <w:tabs>
                <w:tab w:val="right" w:pos="10238"/>
              </w:tabs>
              <w:rPr>
                <w:rFonts w:cs="Arial"/>
              </w:rPr>
            </w:pPr>
            <w:bookmarkStart w:id="2" w:name="One_background"/>
            <w:r w:rsidRPr="002D255E">
              <w:rPr>
                <w:lang w:eastAsia="en-GB"/>
              </w:rPr>
              <w:lastRenderedPageBreak/>
              <w:t>Background</w:t>
            </w:r>
            <w:bookmarkEnd w:id="2"/>
            <w:r w:rsidRPr="002D255E">
              <w:rPr>
                <w:lang w:eastAsia="en-GB"/>
              </w:rPr>
              <w:t xml:space="preserve"> </w:t>
            </w:r>
            <w:r w:rsidRPr="002D255E">
              <w:rPr>
                <w:lang w:eastAsia="en-GB"/>
              </w:rPr>
              <w:tab/>
            </w:r>
            <w:hyperlink w:anchor="Responsibilities" w:history="1">
              <w:r w:rsidR="00FA713C" w:rsidRPr="002D255E">
                <w:rPr>
                  <w:rStyle w:val="Hyperlink"/>
                  <w:rFonts w:eastAsia="Times New Roman" w:cs="Arial"/>
                  <w:b w:val="0"/>
                  <w:bCs w:val="0"/>
                  <w:sz w:val="24"/>
                  <w:szCs w:val="24"/>
                  <w:lang w:eastAsia="en-GB"/>
                </w:rPr>
                <w:t>Back to top</w:t>
              </w:r>
            </w:hyperlink>
          </w:p>
        </w:tc>
      </w:tr>
      <w:tr w:rsidR="008D5964" w:rsidRPr="002D255E" w14:paraId="295ECE79" w14:textId="77777777" w:rsidTr="7234176C">
        <w:trPr>
          <w:jc w:val="center"/>
        </w:trPr>
        <w:tc>
          <w:tcPr>
            <w:tcW w:w="10455" w:type="dxa"/>
            <w:gridSpan w:val="3"/>
            <w:tcBorders>
              <w:top w:val="nil"/>
              <w:bottom w:val="single" w:sz="4" w:space="0" w:color="auto"/>
            </w:tcBorders>
            <w:shd w:val="clear" w:color="auto" w:fill="auto"/>
          </w:tcPr>
          <w:p w14:paraId="4BB1502E" w14:textId="77777777" w:rsidR="008D5964" w:rsidRPr="002D255E" w:rsidRDefault="008D5964" w:rsidP="008D5964">
            <w:pPr>
              <w:spacing w:before="60" w:after="60" w:line="240" w:lineRule="auto"/>
            </w:pPr>
            <w:r w:rsidRPr="002D255E">
              <w:t xml:space="preserve">Methotrexate is a cytotoxic folic acid antagonist used to treat chronic inflammatory conditions and certain cancers. It inhibits the enzyme dihydrofolate reductase and inhibits synthesis of DNA, RNA and proteins. </w:t>
            </w:r>
          </w:p>
          <w:p w14:paraId="6C5DC46F" w14:textId="77777777" w:rsidR="008D5964" w:rsidRPr="002D255E" w:rsidRDefault="008D5964" w:rsidP="008D5964">
            <w:pPr>
              <w:spacing w:before="60" w:after="60" w:line="240" w:lineRule="auto"/>
            </w:pPr>
            <w:r w:rsidRPr="002D255E">
              <w:t>Methotrexate is licensed for the treatment of certain cancers, as well as some chronic inflammatory disorders. It is not licensed for all the conditions it is used to treat. However, its use for the indications below are well established and supported by clinical specialists.</w:t>
            </w:r>
          </w:p>
          <w:p w14:paraId="548264B8" w14:textId="6445BA5A" w:rsidR="008D5964" w:rsidRPr="002D255E" w:rsidRDefault="008D5964" w:rsidP="008D5964">
            <w:pPr>
              <w:spacing w:after="120"/>
            </w:pPr>
            <w:r w:rsidRPr="002D255E">
              <w:t xml:space="preserve">This shared care protocol does not cover treatment of cancer, or treatment of people less than 18 years old. </w:t>
            </w:r>
          </w:p>
        </w:tc>
      </w:tr>
      <w:tr w:rsidR="008D5964" w:rsidRPr="002D255E" w14:paraId="061A519D" w14:textId="77777777" w:rsidTr="7234176C">
        <w:trPr>
          <w:jc w:val="center"/>
        </w:trPr>
        <w:tc>
          <w:tcPr>
            <w:tcW w:w="10455" w:type="dxa"/>
            <w:gridSpan w:val="3"/>
            <w:tcBorders>
              <w:bottom w:val="nil"/>
            </w:tcBorders>
            <w:shd w:val="clear" w:color="auto" w:fill="F2F2F2" w:themeFill="background1" w:themeFillShade="F2"/>
          </w:tcPr>
          <w:p w14:paraId="31A445E6" w14:textId="7822028A" w:rsidR="008D5964" w:rsidRPr="002D255E" w:rsidRDefault="008D5964" w:rsidP="008D5964">
            <w:pPr>
              <w:pStyle w:val="Heading1"/>
              <w:tabs>
                <w:tab w:val="right" w:pos="10240"/>
              </w:tabs>
              <w:rPr>
                <w:lang w:eastAsia="en-GB"/>
              </w:rPr>
            </w:pPr>
            <w:bookmarkStart w:id="3" w:name="Two_indications"/>
            <w:r w:rsidRPr="002D255E">
              <w:rPr>
                <w:lang w:eastAsia="en-GB"/>
              </w:rPr>
              <w:t>Indications</w:t>
            </w:r>
            <w:bookmarkEnd w:id="3"/>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9A3FC11" w14:textId="77777777" w:rsidTr="7234176C">
        <w:trPr>
          <w:jc w:val="center"/>
        </w:trPr>
        <w:tc>
          <w:tcPr>
            <w:tcW w:w="10455" w:type="dxa"/>
            <w:gridSpan w:val="3"/>
            <w:tcBorders>
              <w:top w:val="nil"/>
              <w:bottom w:val="single" w:sz="4" w:space="0" w:color="auto"/>
            </w:tcBorders>
            <w:shd w:val="clear" w:color="auto" w:fill="auto"/>
          </w:tcPr>
          <w:p w14:paraId="51CEBF36" w14:textId="77777777" w:rsidR="008D5964" w:rsidRPr="002D255E" w:rsidRDefault="008D5964" w:rsidP="008D5964">
            <w:pPr>
              <w:spacing w:before="60" w:after="60" w:line="240" w:lineRule="auto"/>
              <w:rPr>
                <w:rFonts w:eastAsia="Times New Roman" w:cs="Arial"/>
                <w:color w:val="000000"/>
                <w:lang w:eastAsia="en-GB"/>
              </w:rPr>
            </w:pPr>
            <w:r w:rsidRPr="002D255E">
              <w:rPr>
                <w:rFonts w:eastAsia="Times New Roman" w:cs="Arial"/>
                <w:color w:val="000000"/>
                <w:lang w:eastAsia="en-GB"/>
              </w:rPr>
              <w:t>The licensed indications for methotrexate include:</w:t>
            </w:r>
          </w:p>
          <w:p w14:paraId="038A54C3"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Active rheumatoid arthritis</w:t>
            </w:r>
          </w:p>
          <w:p w14:paraId="6CE25DA8"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Mild to moderate Crohn’s disease in patients refractory or intolerant to thiopurines (licensed indication of subcutaneous preparations)</w:t>
            </w:r>
          </w:p>
          <w:p w14:paraId="432FE54D"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Severe psoriasis</w:t>
            </w:r>
          </w:p>
          <w:p w14:paraId="1F7C8AC6"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lastRenderedPageBreak/>
              <w:t xml:space="preserve">Severe psoriatic arthritis </w:t>
            </w:r>
          </w:p>
          <w:p w14:paraId="07E49291" w14:textId="77777777" w:rsidR="008D5964" w:rsidRPr="002D255E" w:rsidRDefault="008D5964" w:rsidP="008D5964">
            <w:pPr>
              <w:spacing w:after="0" w:line="240" w:lineRule="auto"/>
              <w:rPr>
                <w:rFonts w:eastAsia="Times New Roman" w:cs="Arial"/>
                <w:color w:val="000000"/>
                <w:lang w:eastAsia="en-GB"/>
              </w:rPr>
            </w:pPr>
            <w:r w:rsidRPr="002D255E">
              <w:rPr>
                <w:rFonts w:eastAsia="Times New Roman" w:cs="Arial"/>
                <w:color w:val="000000"/>
                <w:lang w:eastAsia="en-GB"/>
              </w:rPr>
              <w:t xml:space="preserve">Licensed indications vary with brand. See relevant </w:t>
            </w:r>
            <w:hyperlink r:id="rId24" w:history="1">
              <w:r w:rsidRPr="002D255E">
                <w:rPr>
                  <w:rStyle w:val="Hyperlink"/>
                  <w:rFonts w:eastAsia="Times New Roman" w:cs="Arial"/>
                  <w:lang w:eastAsia="en-GB"/>
                </w:rPr>
                <w:t>summary of product characteristics</w:t>
              </w:r>
            </w:hyperlink>
            <w:r w:rsidRPr="002D255E">
              <w:rPr>
                <w:rFonts w:eastAsia="Times New Roman" w:cs="Arial"/>
                <w:color w:val="000000"/>
                <w:lang w:eastAsia="en-GB"/>
              </w:rPr>
              <w:t xml:space="preserve"> for full details. </w:t>
            </w:r>
          </w:p>
          <w:p w14:paraId="66D786D6" w14:textId="77777777" w:rsidR="008D5964" w:rsidRPr="002D255E" w:rsidRDefault="008D5964" w:rsidP="008D5964">
            <w:pPr>
              <w:spacing w:after="0" w:line="240" w:lineRule="auto"/>
              <w:rPr>
                <w:rFonts w:eastAsia="Times New Roman" w:cs="Calibri"/>
                <w:color w:val="000000"/>
                <w:lang w:eastAsia="en-GB"/>
              </w:rPr>
            </w:pPr>
          </w:p>
          <w:p w14:paraId="755CA87D" w14:textId="77777777" w:rsidR="008D5964" w:rsidRPr="002D255E" w:rsidRDefault="008D5964" w:rsidP="008D5964">
            <w:pPr>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This shared care protocol also includes treatment of chronic inflammatory conditions where off-label use of methotrexate is appropriate, including, </w:t>
            </w:r>
            <w:r w:rsidRPr="002D255E">
              <w:rPr>
                <w:rFonts w:cstheme="minorHAnsi"/>
                <w:color w:val="000000"/>
              </w:rPr>
              <w:t>but not limited to, the following specialities and conditions</w:t>
            </w:r>
            <w:r w:rsidRPr="002D255E">
              <w:rPr>
                <w:rFonts w:eastAsia="Times New Roman" w:cstheme="minorHAnsi"/>
                <w:color w:val="000000"/>
                <w:lang w:eastAsia="en-GB"/>
              </w:rPr>
              <w:t>:</w:t>
            </w:r>
          </w:p>
          <w:p w14:paraId="7EB8C110"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Rheumatology (e.g. inflammatory arthritis, connective tissue disease,</w:t>
            </w:r>
            <w:r w:rsidRPr="002D255E">
              <w:rPr>
                <w:rFonts w:eastAsia="Times New Roman" w:cstheme="minorHAnsi"/>
                <w:color w:val="000000"/>
                <w:lang w:eastAsia="en-GB"/>
              </w:rPr>
              <w:t xml:space="preserve"> vasculitis</w:t>
            </w:r>
            <w:r w:rsidRPr="002D255E">
              <w:rPr>
                <w:rFonts w:cs="Arial"/>
                <w:color w:val="000000"/>
              </w:rPr>
              <w:t>)</w:t>
            </w:r>
          </w:p>
          <w:p w14:paraId="10D3742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Dermatology (e.g., severe eczema, bullous conditions)</w:t>
            </w:r>
          </w:p>
          <w:p w14:paraId="1B1CDBC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Gastroenterology (e.g. severe Crohn’s disease or other inflammatory bowel disease)</w:t>
            </w:r>
          </w:p>
          <w:p w14:paraId="3D295889"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Neurology (e.g. myasthenia gravis, inflammatory neuropathies)</w:t>
            </w:r>
          </w:p>
          <w:p w14:paraId="76364C6B" w14:textId="77777777" w:rsidR="008D5964" w:rsidRPr="002D255E" w:rsidRDefault="008D5964" w:rsidP="008D5964">
            <w:pPr>
              <w:numPr>
                <w:ilvl w:val="0"/>
                <w:numId w:val="12"/>
              </w:numPr>
              <w:spacing w:before="60" w:after="60" w:line="240" w:lineRule="auto"/>
              <w:contextualSpacing/>
              <w:rPr>
                <w:rFonts w:cstheme="minorHAnsi"/>
                <w:color w:val="000000"/>
              </w:rPr>
            </w:pPr>
            <w:r w:rsidRPr="002D255E">
              <w:rPr>
                <w:rFonts w:cstheme="minorHAnsi"/>
                <w:color w:val="000000"/>
              </w:rPr>
              <w:t>Ophthalmology (e.g. uveitis, scleritis)</w:t>
            </w:r>
          </w:p>
          <w:p w14:paraId="1C1E9E1C"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Respiratory disease (e.g. sarcoidosis, interstitial lung disease)</w:t>
            </w:r>
          </w:p>
          <w:p w14:paraId="5DA447C0" w14:textId="77777777" w:rsidR="008D5964" w:rsidRPr="002D255E" w:rsidRDefault="008D5964" w:rsidP="008D5964">
            <w:pPr>
              <w:spacing w:before="60" w:after="60" w:line="240" w:lineRule="auto"/>
              <w:contextualSpacing/>
              <w:rPr>
                <w:rFonts w:cs="Arial"/>
                <w:color w:val="000000"/>
              </w:rPr>
            </w:pPr>
          </w:p>
          <w:p w14:paraId="026177B5" w14:textId="77777777" w:rsidR="008D5964" w:rsidRPr="002D255E" w:rsidRDefault="008D5964" w:rsidP="008D5964">
            <w:pPr>
              <w:spacing w:before="60" w:after="60" w:line="240" w:lineRule="auto"/>
              <w:rPr>
                <w:rFonts w:cs="Arial"/>
                <w:color w:val="000000"/>
              </w:rPr>
            </w:pPr>
            <w:r w:rsidRPr="002D255E">
              <w:rPr>
                <w:rFonts w:cs="Arial"/>
                <w:color w:val="000000"/>
              </w:rPr>
              <w:t xml:space="preserve">These indications are off-label. The specialist </w:t>
            </w:r>
            <w:r w:rsidRPr="002D255E">
              <w:rPr>
                <w:rFonts w:cs="Arial"/>
                <w:color w:val="000000"/>
                <w:u w:val="single"/>
              </w:rPr>
              <w:t>must specify the indication for each patient</w:t>
            </w:r>
            <w:r w:rsidRPr="002D255E">
              <w:rPr>
                <w:rFonts w:cs="Arial"/>
                <w:color w:val="000000"/>
              </w:rPr>
              <w:t xml:space="preserve"> when initiating shared care and clearly state when use is off-label.</w:t>
            </w:r>
          </w:p>
          <w:p w14:paraId="7039FDE5" w14:textId="77777777" w:rsidR="008D5964" w:rsidRPr="002D255E" w:rsidRDefault="008D5964" w:rsidP="008D5964">
            <w:pPr>
              <w:spacing w:before="60" w:after="60" w:line="240" w:lineRule="auto"/>
              <w:rPr>
                <w:rFonts w:cs="Arial"/>
                <w:color w:val="000000"/>
              </w:rPr>
            </w:pPr>
          </w:p>
          <w:p w14:paraId="45C820ED" w14:textId="7BCE1B4C" w:rsidR="008D5964" w:rsidRPr="002D255E" w:rsidRDefault="008D5964" w:rsidP="008D5964">
            <w:pPr>
              <w:rPr>
                <w:rFonts w:eastAsia="Times New Roman"/>
                <w:lang w:eastAsia="en-GB"/>
              </w:rPr>
            </w:pPr>
            <w:r w:rsidRPr="002D255E">
              <w:rPr>
                <w:color w:val="000000"/>
              </w:rPr>
              <w:t>This shared care protocol applies to adults aged 18 and over. It does not include use of methotrexate for cancer indications.</w:t>
            </w:r>
          </w:p>
        </w:tc>
      </w:tr>
      <w:tr w:rsidR="008D5964" w:rsidRPr="002D255E" w14:paraId="0408E228" w14:textId="77777777" w:rsidTr="7234176C">
        <w:trPr>
          <w:jc w:val="center"/>
        </w:trPr>
        <w:tc>
          <w:tcPr>
            <w:tcW w:w="10455" w:type="dxa"/>
            <w:gridSpan w:val="3"/>
            <w:tcBorders>
              <w:bottom w:val="nil"/>
            </w:tcBorders>
            <w:shd w:val="clear" w:color="auto" w:fill="F2F2F2" w:themeFill="background1" w:themeFillShade="F2"/>
          </w:tcPr>
          <w:p w14:paraId="7FEEB7AA" w14:textId="32C13977" w:rsidR="008D5964" w:rsidRPr="002D255E" w:rsidRDefault="008D5964" w:rsidP="008D5964">
            <w:pPr>
              <w:pStyle w:val="Heading1"/>
              <w:rPr>
                <w:color w:val="000000"/>
                <w:sz w:val="16"/>
                <w:szCs w:val="16"/>
                <w:lang w:val="en" w:eastAsia="en-GB"/>
              </w:rPr>
            </w:pPr>
            <w:bookmarkStart w:id="4" w:name="_Locally_agreed_off-label"/>
            <w:bookmarkStart w:id="5" w:name="Three_local_indications"/>
            <w:bookmarkEnd w:id="4"/>
            <w:r w:rsidRPr="002D255E">
              <w:rPr>
                <w:lang w:eastAsia="en-GB"/>
              </w:rPr>
              <w:lastRenderedPageBreak/>
              <w:t>Locally agreed off-label use</w:t>
            </w:r>
            <w:bookmarkEnd w:id="5"/>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E0175B" w:rsidRPr="002D255E" w14:paraId="6AD485E9" w14:textId="77777777" w:rsidTr="7234176C">
        <w:trPr>
          <w:jc w:val="center"/>
        </w:trPr>
        <w:tc>
          <w:tcPr>
            <w:tcW w:w="10455" w:type="dxa"/>
            <w:gridSpan w:val="3"/>
            <w:tcBorders>
              <w:top w:val="nil"/>
              <w:bottom w:val="single" w:sz="4" w:space="0" w:color="auto"/>
            </w:tcBorders>
            <w:shd w:val="clear" w:color="auto" w:fill="auto"/>
          </w:tcPr>
          <w:p w14:paraId="2EE9EEA1" w14:textId="5E3BD599" w:rsidR="00E0175B" w:rsidRPr="00373E49" w:rsidRDefault="00E0175B" w:rsidP="00E0175B">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F745BF2" w14:textId="77777777" w:rsidR="00E0175B" w:rsidRPr="00373E49" w:rsidRDefault="00E0175B" w:rsidP="00E0175B">
            <w:pPr>
              <w:rPr>
                <w:rFonts w:eastAsia="Arial" w:cs="Arial"/>
                <w:szCs w:val="24"/>
              </w:rPr>
            </w:pPr>
            <w:r w:rsidRPr="00373E49">
              <w:rPr>
                <w:rFonts w:eastAsia="Arial" w:cs="Arial"/>
                <w:szCs w:val="24"/>
              </w:rPr>
              <w:t>The following information should be provided in correspondence to support prescribing in line with this shared care.</w:t>
            </w:r>
          </w:p>
          <w:p w14:paraId="0DF83B5E" w14:textId="77777777" w:rsidR="00E0175B" w:rsidRPr="00373E49" w:rsidRDefault="00E0175B" w:rsidP="00E0175B">
            <w:pPr>
              <w:numPr>
                <w:ilvl w:val="0"/>
                <w:numId w:val="36"/>
              </w:numPr>
              <w:spacing w:after="50"/>
              <w:rPr>
                <w:rFonts w:eastAsia="Arial" w:cs="Arial"/>
                <w:szCs w:val="24"/>
              </w:rPr>
            </w:pPr>
            <w:r w:rsidRPr="00373E49">
              <w:rPr>
                <w:rFonts w:eastAsia="Arial" w:cs="Arial"/>
                <w:szCs w:val="24"/>
              </w:rPr>
              <w:t xml:space="preserve">Dosing specific to the indication </w:t>
            </w:r>
          </w:p>
          <w:p w14:paraId="070A4092" w14:textId="77777777" w:rsidR="00E0175B" w:rsidRPr="00373E49" w:rsidRDefault="00E0175B" w:rsidP="00E0175B">
            <w:pPr>
              <w:numPr>
                <w:ilvl w:val="0"/>
                <w:numId w:val="36"/>
              </w:numPr>
              <w:spacing w:after="50"/>
              <w:rPr>
                <w:rFonts w:eastAsia="Arial" w:cs="Arial"/>
                <w:szCs w:val="24"/>
              </w:rPr>
            </w:pPr>
            <w:r w:rsidRPr="00373E49">
              <w:rPr>
                <w:rFonts w:eastAsia="Arial" w:cs="Arial"/>
                <w:szCs w:val="24"/>
              </w:rPr>
              <w:t>Relevant interaction information</w:t>
            </w:r>
          </w:p>
          <w:p w14:paraId="2F5BD617" w14:textId="77777777" w:rsidR="00E0175B" w:rsidRPr="000C542C" w:rsidRDefault="00E0175B" w:rsidP="00E0175B">
            <w:pPr>
              <w:numPr>
                <w:ilvl w:val="0"/>
                <w:numId w:val="36"/>
              </w:numPr>
              <w:spacing w:after="50"/>
              <w:rPr>
                <w:rFonts w:eastAsia="Arial" w:cs="Arial"/>
                <w:szCs w:val="24"/>
              </w:rPr>
            </w:pPr>
            <w:r w:rsidRPr="000C542C">
              <w:rPr>
                <w:rFonts w:eastAsia="Arial" w:cs="Arial"/>
                <w:szCs w:val="24"/>
              </w:rPr>
              <w:t>Any additional monitoring requirements over and above the shared care.</w:t>
            </w:r>
          </w:p>
          <w:p w14:paraId="7130FAE8" w14:textId="77777777" w:rsidR="00E0175B" w:rsidRPr="00373E49" w:rsidRDefault="00E0175B" w:rsidP="00E0175B">
            <w:pPr>
              <w:numPr>
                <w:ilvl w:val="0"/>
                <w:numId w:val="36"/>
              </w:numPr>
              <w:spacing w:after="50"/>
              <w:rPr>
                <w:rFonts w:eastAsia="Arial" w:cs="Arial"/>
                <w:szCs w:val="24"/>
              </w:rPr>
            </w:pPr>
            <w:r w:rsidRPr="00373E49">
              <w:rPr>
                <w:rFonts w:eastAsia="Arial" w:cs="Arial"/>
                <w:szCs w:val="24"/>
              </w:rPr>
              <w:t>Duration of treatment</w:t>
            </w:r>
          </w:p>
          <w:p w14:paraId="5D069E8D" w14:textId="77777777" w:rsidR="00E0175B" w:rsidRDefault="00E0175B" w:rsidP="00E0175B">
            <w:pPr>
              <w:numPr>
                <w:ilvl w:val="0"/>
                <w:numId w:val="36"/>
              </w:numPr>
              <w:spacing w:after="50"/>
              <w:rPr>
                <w:rFonts w:eastAsia="Arial" w:cs="Arial"/>
                <w:szCs w:val="24"/>
              </w:rPr>
            </w:pPr>
            <w:r w:rsidRPr="00373E49">
              <w:rPr>
                <w:rFonts w:eastAsia="Arial" w:cs="Arial"/>
                <w:szCs w:val="24"/>
              </w:rPr>
              <w:t>Frequency of review.</w:t>
            </w:r>
          </w:p>
          <w:p w14:paraId="2990EE7D" w14:textId="3F3B3254" w:rsidR="00E0175B" w:rsidRPr="00E0175B" w:rsidRDefault="00E0175B" w:rsidP="00E0175B">
            <w:pPr>
              <w:numPr>
                <w:ilvl w:val="0"/>
                <w:numId w:val="36"/>
              </w:numPr>
              <w:spacing w:after="50"/>
              <w:rPr>
                <w:rFonts w:eastAsia="Arial" w:cs="Arial"/>
                <w:szCs w:val="24"/>
              </w:rPr>
            </w:pPr>
            <w:r w:rsidRPr="00E0175B">
              <w:rPr>
                <w:rFonts w:eastAsia="Times New Roman"/>
              </w:rPr>
              <w:t>Specific features of adverse effects or deterioration pertinent to the specific indication for which it is used</w:t>
            </w:r>
          </w:p>
        </w:tc>
      </w:tr>
      <w:tr w:rsidR="00E0175B" w:rsidRPr="002D255E" w14:paraId="6AC5F0BC" w14:textId="77777777" w:rsidTr="7234176C">
        <w:trPr>
          <w:jc w:val="center"/>
        </w:trPr>
        <w:tc>
          <w:tcPr>
            <w:tcW w:w="10455" w:type="dxa"/>
            <w:gridSpan w:val="3"/>
            <w:tcBorders>
              <w:bottom w:val="nil"/>
            </w:tcBorders>
            <w:shd w:val="clear" w:color="auto" w:fill="F2F2F2" w:themeFill="background1" w:themeFillShade="F2"/>
          </w:tcPr>
          <w:p w14:paraId="6F226D77" w14:textId="705423E2" w:rsidR="00E0175B" w:rsidRPr="002D255E" w:rsidRDefault="00E0175B" w:rsidP="00E0175B">
            <w:pPr>
              <w:pStyle w:val="Heading1"/>
              <w:tabs>
                <w:tab w:val="right" w:pos="10240"/>
              </w:tabs>
              <w:spacing w:after="0"/>
              <w:rPr>
                <w:lang w:eastAsia="en-GB"/>
              </w:rPr>
            </w:pPr>
            <w:bookmarkStart w:id="6" w:name="Four_cx_and_cautions"/>
            <w:r w:rsidRPr="002D255E">
              <w:rPr>
                <w:lang w:eastAsia="en-GB"/>
              </w:rPr>
              <w:t>Contraindications and cautions</w:t>
            </w:r>
            <w:r w:rsidRPr="002D255E">
              <w:tab/>
            </w:r>
            <w:hyperlink w:anchor="Responsibilities">
              <w:r w:rsidRPr="002D255E">
                <w:rPr>
                  <w:rStyle w:val="Hyperlink"/>
                  <w:rFonts w:eastAsia="Times New Roman" w:cs="Arial"/>
                  <w:b w:val="0"/>
                  <w:bCs w:val="0"/>
                  <w:sz w:val="24"/>
                  <w:szCs w:val="24"/>
                  <w:lang w:eastAsia="en-GB"/>
                </w:rPr>
                <w:t>Back to top</w:t>
              </w:r>
            </w:hyperlink>
            <w:bookmarkEnd w:id="6"/>
          </w:p>
          <w:p w14:paraId="7CBFF278" w14:textId="38BC5FBC" w:rsidR="00E0175B" w:rsidRPr="002D255E" w:rsidRDefault="00E0175B" w:rsidP="00E0175B">
            <w:pPr>
              <w:spacing w:after="0" w:line="257" w:lineRule="auto"/>
              <w:rPr>
                <w:rFonts w:eastAsia="Arial" w:cs="Arial"/>
                <w:color w:val="000000" w:themeColor="text1"/>
                <w:sz w:val="22"/>
              </w:rPr>
            </w:pPr>
            <w:r w:rsidRPr="002D255E">
              <w:rPr>
                <w:rFonts w:eastAsia="Arial" w:cs="Arial"/>
                <w:color w:val="000000" w:themeColor="text1"/>
                <w:sz w:val="22"/>
              </w:rPr>
              <w:t>This information does not replace the Summary of Product Characteristics (</w:t>
            </w:r>
            <w:r w:rsidRPr="002D255E">
              <w:rPr>
                <w:rFonts w:eastAsia="Arial" w:cs="Arial"/>
                <w:sz w:val="22"/>
              </w:rPr>
              <w:t xml:space="preserve">SPC), and should be read in conjunction with it. Please see </w:t>
            </w:r>
            <w:hyperlink r:id="rId25">
              <w:r w:rsidRPr="002D255E">
                <w:rPr>
                  <w:rStyle w:val="Hyperlink"/>
                  <w:rFonts w:eastAsia="Arial" w:cs="Arial"/>
                  <w:sz w:val="22"/>
                </w:rPr>
                <w:t>BNF</w:t>
              </w:r>
            </w:hyperlink>
            <w:r w:rsidRPr="002D255E">
              <w:rPr>
                <w:rFonts w:eastAsia="Arial" w:cs="Arial"/>
                <w:color w:val="000000" w:themeColor="text1"/>
                <w:sz w:val="22"/>
              </w:rPr>
              <w:t xml:space="preserve"> &amp; </w:t>
            </w:r>
            <w:hyperlink r:id="rId26">
              <w:r w:rsidRPr="002D255E">
                <w:rPr>
                  <w:rStyle w:val="Hyperlink"/>
                  <w:rFonts w:eastAsia="Arial" w:cs="Arial"/>
                  <w:sz w:val="22"/>
                </w:rPr>
                <w:t>SPC</w:t>
              </w:r>
            </w:hyperlink>
            <w:r w:rsidRPr="002D255E">
              <w:rPr>
                <w:rFonts w:eastAsia="Arial" w:cs="Arial"/>
                <w:color w:val="000000" w:themeColor="text1"/>
                <w:sz w:val="22"/>
              </w:rPr>
              <w:t xml:space="preserve">  f</w:t>
            </w:r>
            <w:r w:rsidRPr="002D255E">
              <w:rPr>
                <w:rFonts w:eastAsia="Arial" w:cs="Arial"/>
                <w:sz w:val="22"/>
              </w:rPr>
              <w:t>or comprehensive information.</w:t>
            </w:r>
          </w:p>
        </w:tc>
      </w:tr>
      <w:tr w:rsidR="00E0175B" w:rsidRPr="002D255E" w14:paraId="15455F3C" w14:textId="77777777" w:rsidTr="7234176C">
        <w:trPr>
          <w:jc w:val="center"/>
        </w:trPr>
        <w:tc>
          <w:tcPr>
            <w:tcW w:w="10455" w:type="dxa"/>
            <w:gridSpan w:val="3"/>
            <w:tcBorders>
              <w:top w:val="nil"/>
              <w:bottom w:val="single" w:sz="4" w:space="0" w:color="auto"/>
            </w:tcBorders>
            <w:shd w:val="clear" w:color="auto" w:fill="auto"/>
          </w:tcPr>
          <w:p w14:paraId="5E9F1519" w14:textId="1227AC2C" w:rsidR="00E0175B" w:rsidRPr="002D255E" w:rsidRDefault="00E0175B" w:rsidP="00E0175B">
            <w:pPr>
              <w:autoSpaceDE w:val="0"/>
              <w:autoSpaceDN w:val="0"/>
              <w:adjustRightInd w:val="0"/>
              <w:spacing w:before="60" w:after="60"/>
              <w:rPr>
                <w:rFonts w:eastAsia="Times New Roman" w:cs="Arial"/>
                <w:b/>
                <w:color w:val="000000"/>
                <w:szCs w:val="24"/>
                <w:lang w:eastAsia="en-GB"/>
              </w:rPr>
            </w:pPr>
            <w:r w:rsidRPr="002D255E">
              <w:rPr>
                <w:rFonts w:eastAsia="Times New Roman" w:cs="Arial"/>
                <w:b/>
                <w:color w:val="000000"/>
                <w:szCs w:val="24"/>
                <w:lang w:eastAsia="en-GB"/>
              </w:rPr>
              <w:t>Contraindications:</w:t>
            </w:r>
          </w:p>
          <w:p w14:paraId="0B822DCB"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Hypersensitivity to methotrexate or any excipients.</w:t>
            </w:r>
          </w:p>
          <w:p w14:paraId="1C2379B9"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Significant hepatic impairment.</w:t>
            </w:r>
          </w:p>
          <w:p w14:paraId="180171CC"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lastRenderedPageBreak/>
              <w:t xml:space="preserve">Ascites or pleural effusion: </w:t>
            </w:r>
            <w:r w:rsidRPr="002D255E">
              <w:rPr>
                <w:rFonts w:eastAsia="Times New Roman" w:cstheme="minorHAnsi"/>
                <w:color w:val="000000"/>
                <w:lang w:eastAsia="en-GB"/>
              </w:rPr>
              <w:t>drain prior to treatment to reduce the risk of methotrexate accumulation.</w:t>
            </w:r>
          </w:p>
          <w:p w14:paraId="0A774C72"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Significant renal impairment – creatinine clearance (CrCl) less than 30 mL/min. </w:t>
            </w:r>
          </w:p>
          <w:p w14:paraId="1DBC60C5"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Severe infections (acute or chronic) or immunodeficiency syndromes.</w:t>
            </w:r>
          </w:p>
          <w:p w14:paraId="5ED9379D"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Known active peptic ulceration.</w:t>
            </w:r>
          </w:p>
          <w:p w14:paraId="4E3757E7"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Pregnancy and breast-feeding.</w:t>
            </w:r>
          </w:p>
          <w:p w14:paraId="3C3418E7"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Vaccination with live vaccines during treatment with methotrexate at immunosuppressive doses.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 xml:space="preserve"> for further detail.</w:t>
            </w:r>
          </w:p>
          <w:p w14:paraId="1704C97C" w14:textId="220C6ABD"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Concomitant use of medicines with anti-folate properties, e.g. trimethoprim, co-trimoxazole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w:t>
            </w:r>
          </w:p>
          <w:p w14:paraId="72AD7C4A" w14:textId="2F691173" w:rsidR="00E0175B" w:rsidRPr="002D255E" w:rsidRDefault="00E0175B" w:rsidP="00E0175B">
            <w:pPr>
              <w:autoSpaceDE w:val="0"/>
              <w:autoSpaceDN w:val="0"/>
              <w:adjustRightInd w:val="0"/>
              <w:spacing w:before="60" w:after="60"/>
              <w:rPr>
                <w:rFonts w:eastAsia="Times New Roman" w:cs="Arial"/>
                <w:b/>
                <w:color w:val="000000"/>
                <w:szCs w:val="24"/>
                <w:lang w:eastAsia="en-GB"/>
              </w:rPr>
            </w:pPr>
            <w:r w:rsidRPr="002D255E">
              <w:rPr>
                <w:rFonts w:eastAsia="Times New Roman" w:cs="Arial"/>
                <w:b/>
                <w:bCs/>
                <w:iCs/>
                <w:color w:val="000000"/>
                <w:szCs w:val="24"/>
                <w:lang w:eastAsia="en-GB"/>
              </w:rPr>
              <w:t>Cautions</w:t>
            </w:r>
            <w:r w:rsidRPr="002D255E">
              <w:rPr>
                <w:rFonts w:eastAsia="Times New Roman" w:cs="Arial"/>
                <w:b/>
                <w:color w:val="000000"/>
                <w:szCs w:val="24"/>
                <w:lang w:eastAsia="en-GB"/>
              </w:rPr>
              <w:t>:</w:t>
            </w:r>
          </w:p>
          <w:p w14:paraId="6C06E697"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Renal impairment: dose reduction required (</w:t>
            </w:r>
            <w:hyperlink w:anchor="Five_dosing" w:history="1">
              <w:r w:rsidRPr="002D255E">
                <w:rPr>
                  <w:rStyle w:val="Hyperlink"/>
                  <w:rFonts w:eastAsia="Times New Roman" w:cstheme="minorHAnsi"/>
                  <w:lang w:eastAsia="en-GB"/>
                </w:rPr>
                <w:t>section 5</w:t>
              </w:r>
            </w:hyperlink>
            <w:r w:rsidRPr="002D255E">
              <w:rPr>
                <w:rFonts w:eastAsia="Times New Roman" w:cstheme="minorHAnsi"/>
                <w:color w:val="000000"/>
                <w:lang w:eastAsia="en-GB"/>
              </w:rPr>
              <w:t>).</w:t>
            </w:r>
          </w:p>
          <w:p w14:paraId="5FC92816"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Alcohol dependence.</w:t>
            </w:r>
          </w:p>
          <w:p w14:paraId="4313D04C"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Hepatic impairment, particularly if due to alcohol use. </w:t>
            </w:r>
          </w:p>
          <w:p w14:paraId="6A2ADA8F"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Pre-existing blood dyscrasias or disorders, including bone marrow hypoplasia, leucopenia, thrombocytopenia, or significant anaemia. Confirm to primary care that any underlying dyscrasias have been considered, and whether any change to standard monitoring in </w:t>
            </w:r>
            <w:hyperlink w:anchor="Nine_primary_care_monitoring" w:history="1">
              <w:r w:rsidRPr="002D255E">
                <w:rPr>
                  <w:rStyle w:val="Hyperlink"/>
                  <w:rFonts w:eastAsia="Times New Roman" w:cstheme="minorHAnsi"/>
                  <w:bCs/>
                  <w:iCs/>
                  <w:lang w:eastAsia="en-GB"/>
                </w:rPr>
                <w:t>section 9</w:t>
              </w:r>
            </w:hyperlink>
            <w:r w:rsidRPr="002D255E">
              <w:rPr>
                <w:rFonts w:eastAsia="Times New Roman" w:cstheme="minorHAnsi"/>
                <w:bCs/>
                <w:iCs/>
                <w:color w:val="000000"/>
                <w:lang w:eastAsia="en-GB"/>
              </w:rPr>
              <w:t xml:space="preserve"> is required. </w:t>
            </w:r>
          </w:p>
          <w:p w14:paraId="090F8FD2"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Respiratory disease.</w:t>
            </w:r>
          </w:p>
          <w:p w14:paraId="350D2609"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Concomitant use with hepatotoxic or haematotoxic medicines (see </w:t>
            </w:r>
            <w:hyperlink w:anchor="Seven_interactions" w:history="1">
              <w:r w:rsidRPr="002D255E">
                <w:rPr>
                  <w:rStyle w:val="Hyperlink"/>
                  <w:rFonts w:eastAsia="Times New Roman" w:cstheme="minorHAnsi"/>
                  <w:lang w:eastAsia="en-GB"/>
                </w:rPr>
                <w:t>section 7</w:t>
              </w:r>
            </w:hyperlink>
            <w:r w:rsidRPr="002D255E">
              <w:rPr>
                <w:rFonts w:eastAsia="Times New Roman" w:cstheme="minorHAnsi"/>
                <w:color w:val="000000"/>
                <w:lang w:eastAsia="en-GB"/>
              </w:rPr>
              <w:t>).</w:t>
            </w:r>
          </w:p>
          <w:p w14:paraId="5478EA54"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History of ulcers of the oral cavity, ulcerative stomatitis, gastrointestinal ulcers or ulcerative colitis. </w:t>
            </w:r>
          </w:p>
          <w:p w14:paraId="3DC28829"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History of chronic or recurrent infection (e.g. frequent infective COPD exacerbations, or recurrent urinary tract infection).</w:t>
            </w:r>
          </w:p>
          <w:p w14:paraId="30FED0E0"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Frail or elderly – consider reduced dose.</w:t>
            </w:r>
          </w:p>
          <w:p w14:paraId="42E98FFB" w14:textId="362623B0"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Conditions which increase the risk of dehydration (e.g. vomiting) may increase the risk of toxicity. Consider interrupting treatment until symptoms cease.</w:t>
            </w:r>
          </w:p>
        </w:tc>
      </w:tr>
      <w:tr w:rsidR="00E0175B" w:rsidRPr="002D255E" w14:paraId="36F2D6DF" w14:textId="77777777" w:rsidTr="7234176C">
        <w:trPr>
          <w:jc w:val="center"/>
        </w:trPr>
        <w:tc>
          <w:tcPr>
            <w:tcW w:w="10455" w:type="dxa"/>
            <w:gridSpan w:val="3"/>
            <w:tcBorders>
              <w:bottom w:val="nil"/>
            </w:tcBorders>
            <w:shd w:val="clear" w:color="auto" w:fill="F2F2F2" w:themeFill="background1" w:themeFillShade="F2"/>
          </w:tcPr>
          <w:p w14:paraId="3A956B78" w14:textId="2E5A4A81" w:rsidR="00E0175B" w:rsidRPr="002D255E" w:rsidRDefault="00E0175B" w:rsidP="00E0175B">
            <w:pPr>
              <w:pStyle w:val="Heading1"/>
              <w:tabs>
                <w:tab w:val="right" w:pos="10240"/>
              </w:tabs>
              <w:rPr>
                <w:lang w:eastAsia="en-GB"/>
              </w:rPr>
            </w:pPr>
            <w:bookmarkStart w:id="7" w:name="_Initiation_and_ongoing"/>
            <w:bookmarkStart w:id="8" w:name="Five_dosing"/>
            <w:bookmarkEnd w:id="7"/>
            <w:r w:rsidRPr="002D255E">
              <w:rPr>
                <w:lang w:eastAsia="en-GB"/>
              </w:rPr>
              <w:lastRenderedPageBreak/>
              <w:t>Initiation and ongoing dose regimen</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8"/>
          <w:p w14:paraId="378951C1" w14:textId="387E2593" w:rsidR="00E0175B" w:rsidRPr="002D255E" w:rsidRDefault="00E0175B" w:rsidP="00E0175B">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Transfer of monitoring and prescribing to primary care is after the patient has been treated for 3 months, the dose has been optimised, and with satisfactory investigation results for at least 4 weeks</w:t>
            </w:r>
          </w:p>
          <w:p w14:paraId="2A123C52" w14:textId="77777777" w:rsidR="00E0175B" w:rsidRPr="002D255E" w:rsidRDefault="00E0175B" w:rsidP="00E0175B">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The duration of treatment &amp; frequency of review will be determined by the specialist, based on clinical response and tolerability.</w:t>
            </w:r>
          </w:p>
          <w:p w14:paraId="18A0DC26" w14:textId="77777777" w:rsidR="00E0175B" w:rsidRPr="002D255E" w:rsidRDefault="00E0175B" w:rsidP="00E0175B">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E2A66C8" w:rsidR="00E0175B" w:rsidRPr="002D255E" w:rsidRDefault="00E0175B" w:rsidP="00E0175B">
            <w:pPr>
              <w:pStyle w:val="ListParagraph"/>
              <w:numPr>
                <w:ilvl w:val="0"/>
                <w:numId w:val="4"/>
              </w:numPr>
              <w:spacing w:after="120"/>
              <w:rPr>
                <w:rFonts w:eastAsia="Times New Roman" w:cs="Arial"/>
                <w:iCs/>
                <w:color w:val="000000"/>
              </w:rPr>
            </w:pPr>
            <w:r w:rsidRPr="002D255E">
              <w:rPr>
                <w:rFonts w:eastAsia="Times New Roman" w:cstheme="minorHAnsi"/>
                <w:szCs w:val="24"/>
                <w:lang w:eastAsia="en-GB"/>
              </w:rPr>
              <w:t>Termination of treatment will be</w:t>
            </w:r>
            <w:r w:rsidRPr="002D255E">
              <w:rPr>
                <w:rFonts w:eastAsia="Times New Roman" w:cstheme="minorHAnsi"/>
                <w:b/>
                <w:szCs w:val="24"/>
                <w:lang w:eastAsia="en-GB"/>
              </w:rPr>
              <w:t xml:space="preserve"> </w:t>
            </w:r>
            <w:r w:rsidRPr="002D255E">
              <w:rPr>
                <w:rFonts w:eastAsia="Times New Roman" w:cstheme="minorHAnsi"/>
                <w:szCs w:val="24"/>
                <w:lang w:eastAsia="en-GB"/>
              </w:rPr>
              <w:t>the responsibility of the specialist.</w:t>
            </w:r>
          </w:p>
        </w:tc>
      </w:tr>
      <w:tr w:rsidR="00E0175B" w:rsidRPr="002D255E" w14:paraId="05FF7F42" w14:textId="77777777" w:rsidTr="7234176C">
        <w:trPr>
          <w:jc w:val="center"/>
        </w:trPr>
        <w:tc>
          <w:tcPr>
            <w:tcW w:w="10455" w:type="dxa"/>
            <w:gridSpan w:val="3"/>
            <w:tcBorders>
              <w:top w:val="nil"/>
            </w:tcBorders>
            <w:shd w:val="clear" w:color="auto" w:fill="auto"/>
          </w:tcPr>
          <w:p w14:paraId="7B5E2CCE" w14:textId="77777777" w:rsidR="00E0175B" w:rsidRPr="002D255E" w:rsidRDefault="00E0175B" w:rsidP="00E0175B">
            <w:pPr>
              <w:spacing w:before="60" w:after="60"/>
              <w:rPr>
                <w:rFonts w:eastAsia="Times New Roman" w:cs="Arial"/>
                <w:b/>
                <w:iCs/>
                <w:color w:val="000000"/>
                <w:szCs w:val="24"/>
                <w:u w:val="single"/>
              </w:rPr>
            </w:pPr>
            <w:r w:rsidRPr="002D255E">
              <w:rPr>
                <w:rFonts w:eastAsia="Times New Roman" w:cs="Arial"/>
                <w:b/>
                <w:iCs/>
                <w:color w:val="000000"/>
                <w:szCs w:val="24"/>
                <w:u w:val="single"/>
              </w:rPr>
              <w:t>Initial stabilisation:</w:t>
            </w:r>
          </w:p>
          <w:p w14:paraId="77E01FC0" w14:textId="77777777" w:rsidR="00E0175B" w:rsidRPr="002D255E" w:rsidRDefault="00E0175B" w:rsidP="00E0175B">
            <w:pPr>
              <w:spacing w:before="60" w:after="60" w:line="240" w:lineRule="auto"/>
              <w:rPr>
                <w:rFonts w:eastAsia="Times New Roman" w:cs="Arial"/>
                <w:iCs/>
                <w:color w:val="000000"/>
              </w:rPr>
            </w:pPr>
            <w:r w:rsidRPr="002D255E">
              <w:rPr>
                <w:rFonts w:eastAsia="Times New Roman" w:cs="Arial"/>
                <w:iCs/>
                <w:color w:val="000000"/>
              </w:rPr>
              <w:t xml:space="preserve">There is a wide dose range depending on the indication. The selected dose of methotrexate, and the folic acid regimen, will be tailored to the individual patient and decided by the specialist. </w:t>
            </w:r>
          </w:p>
          <w:p w14:paraId="7C9E9B16" w14:textId="6DC4487F" w:rsidR="00E0175B" w:rsidRPr="002D255E" w:rsidRDefault="00E0175B" w:rsidP="00E0175B">
            <w:pPr>
              <w:spacing w:before="60" w:after="60" w:line="240" w:lineRule="auto"/>
              <w:rPr>
                <w:rFonts w:eastAsia="Times New Roman" w:cs="Arial"/>
                <w:iCs/>
                <w:color w:val="000000"/>
              </w:rPr>
            </w:pPr>
            <w:r w:rsidRPr="002D255E">
              <w:rPr>
                <w:rFonts w:eastAsia="Times New Roman" w:cs="Arial"/>
                <w:b/>
                <w:iCs/>
                <w:color w:val="000000"/>
              </w:rPr>
              <w:t>The dose titration period</w:t>
            </w:r>
            <w:r w:rsidRPr="002D255E">
              <w:rPr>
                <w:rFonts w:eastAsia="Times New Roman" w:cs="Arial"/>
                <w:iCs/>
                <w:color w:val="000000"/>
              </w:rPr>
              <w:t xml:space="preserve"> </w:t>
            </w:r>
            <w:r w:rsidRPr="002D255E">
              <w:rPr>
                <w:rFonts w:eastAsia="Times New Roman" w:cs="Arial"/>
                <w:b/>
                <w:iCs/>
              </w:rPr>
              <w:t>must be prescribed by the initiating specialist.</w:t>
            </w:r>
          </w:p>
          <w:p w14:paraId="1E1E2ED8" w14:textId="77777777" w:rsidR="00E0175B" w:rsidRPr="002D255E" w:rsidRDefault="00E0175B" w:rsidP="00E0175B">
            <w:pPr>
              <w:spacing w:before="60" w:after="60" w:line="240" w:lineRule="auto"/>
              <w:rPr>
                <w:rFonts w:eastAsia="Times New Roman" w:cs="Arial"/>
                <w:iCs/>
                <w:color w:val="000000"/>
              </w:rPr>
            </w:pPr>
          </w:p>
          <w:p w14:paraId="6BB09C3E" w14:textId="77777777" w:rsidR="00E0175B" w:rsidRPr="002D255E" w:rsidRDefault="00E0175B" w:rsidP="00E0175B">
            <w:pPr>
              <w:spacing w:before="60" w:after="60"/>
              <w:rPr>
                <w:rFonts w:eastAsia="Times New Roman" w:cs="Arial"/>
                <w:iCs/>
                <w:color w:val="000000"/>
                <w:szCs w:val="24"/>
              </w:rPr>
            </w:pPr>
            <w:r w:rsidRPr="002D255E">
              <w:rPr>
                <w:rFonts w:eastAsia="Times New Roman" w:cs="Arial"/>
                <w:b/>
                <w:iCs/>
                <w:color w:val="000000"/>
                <w:szCs w:val="24"/>
                <w:u w:val="single"/>
              </w:rPr>
              <w:t>Maintenance dose (following initial stabilisation):</w:t>
            </w:r>
          </w:p>
          <w:p w14:paraId="180937CD"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ascii="Calibri" w:hAnsi="Calibri" w:cs="Calibri"/>
              </w:rPr>
              <w:t>Usual dose range</w:t>
            </w:r>
            <w:r w:rsidRPr="002D255E">
              <w:rPr>
                <w:rFonts w:ascii="Calibri" w:hAnsi="Calibri" w:cs="Calibri"/>
                <w:b/>
              </w:rPr>
              <w:t>: 7.5 mg – 25 mg weekly</w:t>
            </w:r>
            <w:r w:rsidRPr="002D255E">
              <w:rPr>
                <w:rFonts w:ascii="Calibri" w:hAnsi="Calibri" w:cs="Calibri"/>
              </w:rPr>
              <w:t>, adjusted according to response. Please note for rheumatology conditions a patient may be initiated on more than one DMARD. T</w:t>
            </w:r>
            <w:r w:rsidRPr="002D255E">
              <w:rPr>
                <w:rFonts w:eastAsia="Times New Roman" w:cstheme="minorHAnsi"/>
                <w:bCs/>
                <w:iCs/>
                <w:color w:val="000000"/>
                <w:lang w:eastAsia="en-GB"/>
              </w:rPr>
              <w:t xml:space="preserve">o reduce dosing </w:t>
            </w:r>
            <w:r w:rsidRPr="002D255E">
              <w:rPr>
                <w:rFonts w:eastAsia="Times New Roman" w:cstheme="minorHAnsi"/>
                <w:bCs/>
                <w:iCs/>
                <w:color w:val="000000"/>
                <w:lang w:eastAsia="en-GB"/>
              </w:rPr>
              <w:lastRenderedPageBreak/>
              <w:t xml:space="preserve">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34AE6227" w14:textId="77777777" w:rsidR="00E0175B" w:rsidRPr="002D255E" w:rsidRDefault="00E0175B" w:rsidP="00E0175B">
            <w:pPr>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All patients should be prescribed folic acid at a dose of 5 mg at least once weekly, to be taken on a different day than their methotrexate dose. The specialist should include clear details of the folic acid regimen in their communication with the patient and primary care.</w:t>
            </w:r>
          </w:p>
          <w:p w14:paraId="20F8523A" w14:textId="77777777" w:rsidR="00E0175B" w:rsidRPr="002D255E" w:rsidRDefault="00E0175B" w:rsidP="00E0175B">
            <w:pPr>
              <w:spacing w:before="60" w:after="60" w:line="240" w:lineRule="auto"/>
              <w:rPr>
                <w:rFonts w:ascii="Calibri" w:hAnsi="Calibri" w:cs="Calibri"/>
              </w:rPr>
            </w:pPr>
          </w:p>
          <w:p w14:paraId="71774FA9" w14:textId="77777777" w:rsidR="00E0175B" w:rsidRPr="002D255E" w:rsidRDefault="00E0175B" w:rsidP="00E0175B">
            <w:pPr>
              <w:spacing w:before="60" w:after="60" w:line="240" w:lineRule="auto"/>
              <w:rPr>
                <w:rFonts w:eastAsia="Times New Roman" w:cstheme="minorHAnsi"/>
                <w:b/>
                <w:iCs/>
                <w:color w:val="000000"/>
              </w:rPr>
            </w:pPr>
            <w:r w:rsidRPr="002D255E">
              <w:rPr>
                <w:rFonts w:eastAsia="Times New Roman" w:cstheme="minorHAnsi"/>
                <w:b/>
                <w:iCs/>
                <w:color w:val="000000"/>
              </w:rPr>
              <w:t>The initial maintenance dose must be prescribed by the initiating specialist.</w:t>
            </w:r>
          </w:p>
          <w:p w14:paraId="488B0040" w14:textId="75A2AB01" w:rsidR="00E0175B" w:rsidRPr="002D255E" w:rsidRDefault="00E0175B" w:rsidP="00E0175B">
            <w:pPr>
              <w:spacing w:before="60" w:after="60" w:line="240" w:lineRule="auto"/>
              <w:rPr>
                <w:rFonts w:eastAsia="Times New Roman" w:cstheme="minorHAnsi"/>
                <w:b/>
                <w:iCs/>
                <w:color w:val="000000"/>
              </w:rPr>
            </w:pPr>
            <w:r w:rsidRPr="002D255E">
              <w:rPr>
                <w:rFonts w:ascii="Calibri" w:hAnsi="Calibri" w:cs="Calibri"/>
              </w:rPr>
              <w:t>Transfer of monitoring and prescribing to primary care is usually after 3 months. The duration of treatment will be determined by the specialist based on clinical response and tolerability.</w:t>
            </w:r>
          </w:p>
          <w:p w14:paraId="7C873228" w14:textId="77777777" w:rsidR="00E0175B" w:rsidRPr="002D255E" w:rsidRDefault="00E0175B" w:rsidP="00E0175B">
            <w:pPr>
              <w:spacing w:before="60" w:after="60" w:line="240" w:lineRule="auto"/>
              <w:rPr>
                <w:rFonts w:eastAsia="Times New Roman" w:cstheme="minorHAnsi"/>
                <w:b/>
                <w:iCs/>
                <w:color w:val="000000"/>
              </w:rPr>
            </w:pPr>
          </w:p>
          <w:p w14:paraId="179581A7" w14:textId="77777777" w:rsidR="00E0175B" w:rsidRPr="002D255E" w:rsidRDefault="00E0175B" w:rsidP="00E0175B">
            <w:pPr>
              <w:spacing w:before="60" w:after="60"/>
              <w:rPr>
                <w:rFonts w:eastAsia="Times New Roman" w:cs="Arial"/>
                <w:b/>
                <w:iCs/>
                <w:color w:val="000000"/>
                <w:szCs w:val="24"/>
                <w:u w:val="single"/>
              </w:rPr>
            </w:pPr>
            <w:r w:rsidRPr="002D255E">
              <w:rPr>
                <w:rFonts w:eastAsia="Times New Roman" w:cs="Arial"/>
                <w:b/>
                <w:iCs/>
                <w:color w:val="000000"/>
                <w:szCs w:val="24"/>
                <w:u w:val="single"/>
              </w:rPr>
              <w:t>Conditions requiring dose adjustment:</w:t>
            </w:r>
          </w:p>
          <w:p w14:paraId="0103B33B" w14:textId="621B53BA" w:rsidR="00E0175B" w:rsidRPr="002D255E" w:rsidRDefault="00E0175B" w:rsidP="00E0175B">
            <w:pPr>
              <w:pStyle w:val="ListParagraph"/>
              <w:numPr>
                <w:ilvl w:val="0"/>
                <w:numId w:val="24"/>
              </w:numPr>
              <w:rPr>
                <w:b/>
                <w:u w:val="single"/>
              </w:rPr>
            </w:pPr>
            <w:r w:rsidRPr="002D255E">
              <w:rPr>
                <w:rFonts w:eastAsia="Times New Roman" w:cstheme="minorHAnsi"/>
                <w:iCs/>
                <w:color w:val="000000"/>
              </w:rPr>
              <w:t xml:space="preserve">Renal impairment: in patients with CrCl less than 60 mL/min the dose should be reduced by 50%. If CrCl is less than 30mL/min discontinuation may be indicated. See </w:t>
            </w:r>
            <w:hyperlink w:anchor="Ten_ADRs_and_Management" w:history="1">
              <w:r w:rsidRPr="002D255E">
                <w:rPr>
                  <w:rStyle w:val="Hyperlink"/>
                  <w:rFonts w:eastAsia="Times New Roman" w:cstheme="minorHAnsi"/>
                  <w:iCs/>
                </w:rPr>
                <w:t>section 10</w:t>
              </w:r>
            </w:hyperlink>
            <w:r w:rsidRPr="002D255E">
              <w:rPr>
                <w:rFonts w:eastAsia="Times New Roman" w:cstheme="minorHAnsi"/>
                <w:iCs/>
                <w:color w:val="000000"/>
              </w:rPr>
              <w:t xml:space="preserve">. </w:t>
            </w:r>
            <w:r w:rsidRPr="002D255E">
              <w:t xml:space="preserve"> </w:t>
            </w:r>
          </w:p>
        </w:tc>
      </w:tr>
      <w:tr w:rsidR="00E0175B" w:rsidRPr="002D255E" w14:paraId="4CDE4318" w14:textId="77777777" w:rsidTr="7234176C">
        <w:trPr>
          <w:jc w:val="center"/>
        </w:trPr>
        <w:tc>
          <w:tcPr>
            <w:tcW w:w="10455" w:type="dxa"/>
            <w:gridSpan w:val="3"/>
            <w:shd w:val="clear" w:color="auto" w:fill="F2F2F2" w:themeFill="background1" w:themeFillShade="F2"/>
          </w:tcPr>
          <w:p w14:paraId="4C936032" w14:textId="4743B980" w:rsidR="00E0175B" w:rsidRPr="002D255E" w:rsidRDefault="00E0175B" w:rsidP="00E0175B">
            <w:pPr>
              <w:pStyle w:val="Heading1"/>
              <w:tabs>
                <w:tab w:val="right" w:pos="10240"/>
              </w:tabs>
              <w:rPr>
                <w:lang w:eastAsia="en-GB"/>
              </w:rPr>
            </w:pPr>
            <w:bookmarkStart w:id="9" w:name="Six_pharmaceutical"/>
            <w:r w:rsidRPr="002D255E">
              <w:rPr>
                <w:lang w:eastAsia="en-GB"/>
              </w:rPr>
              <w:lastRenderedPageBreak/>
              <w:t xml:space="preserve">Pharmaceutical aspects </w:t>
            </w:r>
            <w:bookmarkEnd w:id="9"/>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E0175B" w:rsidRPr="002D255E" w14:paraId="24522E4E" w14:textId="77777777" w:rsidTr="7234176C">
        <w:trPr>
          <w:trHeight w:val="99"/>
          <w:jc w:val="center"/>
        </w:trPr>
        <w:tc>
          <w:tcPr>
            <w:tcW w:w="1838" w:type="dxa"/>
            <w:shd w:val="clear" w:color="auto" w:fill="auto"/>
            <w:vAlign w:val="center"/>
          </w:tcPr>
          <w:p w14:paraId="5EA76DFC" w14:textId="2E798548" w:rsidR="00E0175B" w:rsidRPr="002D255E" w:rsidRDefault="00E0175B" w:rsidP="00E0175B">
            <w:pPr>
              <w:rPr>
                <w:b/>
                <w:bCs/>
                <w:iCs/>
                <w:color w:val="000000"/>
                <w:lang w:eastAsia="en-GB"/>
              </w:rPr>
            </w:pPr>
            <w:r w:rsidRPr="002D255E">
              <w:rPr>
                <w:rFonts w:eastAsia="Times New Roman" w:cstheme="minorHAnsi"/>
                <w:szCs w:val="24"/>
                <w:lang w:eastAsia="en-GB"/>
              </w:rPr>
              <w:t>Route of administration:</w:t>
            </w:r>
          </w:p>
        </w:tc>
        <w:tc>
          <w:tcPr>
            <w:tcW w:w="8617" w:type="dxa"/>
            <w:gridSpan w:val="2"/>
            <w:shd w:val="clear" w:color="auto" w:fill="auto"/>
          </w:tcPr>
          <w:p w14:paraId="48C763F3" w14:textId="39295BAD" w:rsidR="00E0175B" w:rsidRPr="002D255E" w:rsidRDefault="00E0175B" w:rsidP="00E0175B">
            <w:pPr>
              <w:autoSpaceDE w:val="0"/>
              <w:autoSpaceDN w:val="0"/>
              <w:adjustRightInd w:val="0"/>
              <w:spacing w:before="60" w:after="60" w:line="240" w:lineRule="auto"/>
              <w:rPr>
                <w:rFonts w:eastAsia="Times New Roman" w:cs="Arial"/>
                <w:b/>
                <w:bCs/>
                <w:iCs/>
                <w:color w:val="000000"/>
                <w:lang w:eastAsia="en-GB"/>
              </w:rPr>
            </w:pPr>
            <w:r w:rsidRPr="002D255E">
              <w:rPr>
                <w:rFonts w:eastAsia="Times New Roman" w:cstheme="minorHAnsi"/>
                <w:bCs/>
                <w:iCs/>
                <w:color w:val="000000"/>
                <w:lang w:eastAsia="en-GB"/>
              </w:rPr>
              <w:t>Oral tablets, or subcutaneous injections</w:t>
            </w:r>
          </w:p>
        </w:tc>
      </w:tr>
      <w:tr w:rsidR="00E0175B" w:rsidRPr="002D255E" w14:paraId="4CD28C8C" w14:textId="77777777" w:rsidTr="7234176C">
        <w:trPr>
          <w:trHeight w:val="97"/>
          <w:jc w:val="center"/>
        </w:trPr>
        <w:tc>
          <w:tcPr>
            <w:tcW w:w="1838" w:type="dxa"/>
            <w:shd w:val="clear" w:color="auto" w:fill="auto"/>
            <w:vAlign w:val="center"/>
          </w:tcPr>
          <w:p w14:paraId="18421745" w14:textId="3D1C11A6" w:rsidR="00E0175B" w:rsidRPr="002D255E" w:rsidRDefault="00E0175B" w:rsidP="00E0175B">
            <w:pPr>
              <w:rPr>
                <w:b/>
                <w:bCs/>
                <w:iCs/>
                <w:color w:val="000000"/>
                <w:lang w:eastAsia="en-GB"/>
              </w:rPr>
            </w:pPr>
            <w:r w:rsidRPr="002D255E">
              <w:rPr>
                <w:rFonts w:eastAsia="Times New Roman" w:cstheme="minorHAnsi"/>
                <w:szCs w:val="24"/>
                <w:lang w:eastAsia="en-GB"/>
              </w:rPr>
              <w:t>Formulation:</w:t>
            </w:r>
          </w:p>
        </w:tc>
        <w:tc>
          <w:tcPr>
            <w:tcW w:w="8617" w:type="dxa"/>
            <w:gridSpan w:val="2"/>
            <w:shd w:val="clear" w:color="auto" w:fill="auto"/>
          </w:tcPr>
          <w:p w14:paraId="54A2F0ED" w14:textId="77777777" w:rsidR="00E0175B" w:rsidRPr="002D255E" w:rsidRDefault="00E0175B" w:rsidP="00E0175B">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tablets</w:t>
            </w:r>
          </w:p>
          <w:p w14:paraId="0A019416"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Other strengths are available but, to reduce dosing 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799AB740"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2.5 mg tablets </w:t>
            </w:r>
          </w:p>
          <w:p w14:paraId="3F751959"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p>
          <w:p w14:paraId="0A5A31FE" w14:textId="77777777" w:rsidR="00E0175B" w:rsidRPr="002D255E" w:rsidRDefault="00E0175B" w:rsidP="00E0175B">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subcutaneous injection</w:t>
            </w:r>
          </w:p>
          <w:p w14:paraId="413C9BC4"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Solution for injection available in 2.5 mg increments ranging from 7.5 mg – 30 mg and varying with brand: </w:t>
            </w:r>
          </w:p>
          <w:p w14:paraId="4D307469"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50 mg/mL in pre-filled injector or syringe (Methofill®): 7.5 mg to 30 mg</w:t>
            </w:r>
          </w:p>
          <w:p w14:paraId="56EEC18D"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50 mg/mL in pre-filled pen (Metoject®): 7.5 mg to 30 mg </w:t>
            </w:r>
          </w:p>
          <w:p w14:paraId="20841D29"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25 mg/mL in pre-filled pen (Nordimet®): 7.5 mg to 25 mg </w:t>
            </w:r>
          </w:p>
          <w:p w14:paraId="075F66B2"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25 mg/mL in pre-filled syringe (Zlatal®): 7.5 mg to 25 mg </w:t>
            </w:r>
          </w:p>
          <w:p w14:paraId="71F36200"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szCs w:val="24"/>
                <w:lang w:eastAsia="en-GB"/>
              </w:rPr>
              <w:t xml:space="preserve">If subcutaneous methotrexate is prescribed, secondary care must specify the brand and the patient should be maintained on that brand due to device familiarity. Brand should be specified on clinical systems. </w:t>
            </w:r>
          </w:p>
          <w:p w14:paraId="210381B4" w14:textId="77777777" w:rsidR="00E0175B" w:rsidRPr="002D255E" w:rsidRDefault="00E0175B" w:rsidP="00E0175B">
            <w:pPr>
              <w:autoSpaceDE w:val="0"/>
              <w:autoSpaceDN w:val="0"/>
              <w:adjustRightInd w:val="0"/>
              <w:spacing w:before="60" w:after="60" w:line="240" w:lineRule="auto"/>
              <w:rPr>
                <w:rFonts w:eastAsia="Times New Roman" w:cstheme="minorHAnsi"/>
                <w:szCs w:val="24"/>
                <w:lang w:eastAsia="en-GB"/>
              </w:rPr>
            </w:pPr>
            <w:r w:rsidRPr="002D255E">
              <w:rPr>
                <w:rFonts w:eastAsia="Times New Roman" w:cstheme="minorHAnsi"/>
                <w:bCs/>
                <w:iCs/>
                <w:color w:val="000000"/>
                <w:lang w:eastAsia="en-GB"/>
              </w:rPr>
              <w:t xml:space="preserve">See </w:t>
            </w:r>
            <w:hyperlink r:id="rId27" w:history="1">
              <w:r w:rsidRPr="002D255E">
                <w:rPr>
                  <w:rStyle w:val="Hyperlink"/>
                  <w:rFonts w:eastAsia="Times New Roman" w:cstheme="minorHAnsi"/>
                  <w:bCs/>
                  <w:iCs/>
                  <w:lang w:eastAsia="en-GB"/>
                </w:rPr>
                <w:t>SPCs</w:t>
              </w:r>
            </w:hyperlink>
            <w:r w:rsidRPr="002D255E">
              <w:rPr>
                <w:rFonts w:eastAsia="Times New Roman" w:cstheme="minorHAnsi"/>
                <w:bCs/>
                <w:iCs/>
                <w:color w:val="000000"/>
                <w:lang w:eastAsia="en-GB"/>
              </w:rPr>
              <w:t xml:space="preserve"> for full details of available products. Local, pre-existing arrangements for the </w:t>
            </w:r>
            <w:r w:rsidRPr="002D255E">
              <w:rPr>
                <w:rFonts w:eastAsia="Times New Roman" w:cstheme="minorHAnsi"/>
                <w:szCs w:val="24"/>
                <w:lang w:eastAsia="en-GB"/>
              </w:rPr>
              <w:t xml:space="preserve">supply of methotrexate injection and ancillary products, and for the disposal of cytotoxic waste, should be observed. </w:t>
            </w:r>
          </w:p>
          <w:p w14:paraId="1E9398DB"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When deciding which formulation to prescribe, the specialist should consider the patient’s circumstances and overall polypharmacy burden, especially for patients with a high pill burden. See </w:t>
            </w:r>
            <w:hyperlink r:id="rId28" w:history="1">
              <w:r w:rsidRPr="002D255E">
                <w:rPr>
                  <w:rStyle w:val="Hyperlink"/>
                  <w:rFonts w:eastAsia="Times New Roman" w:cstheme="minorHAnsi"/>
                  <w:bCs/>
                  <w:iCs/>
                  <w:lang w:eastAsia="en-GB"/>
                </w:rPr>
                <w:t>MHRA advice on preventing inadvertent daily dosing</w:t>
              </w:r>
            </w:hyperlink>
            <w:r w:rsidRPr="002D255E">
              <w:rPr>
                <w:rFonts w:eastAsia="Times New Roman" w:cstheme="minorHAnsi"/>
                <w:bCs/>
                <w:iCs/>
                <w:color w:val="000000"/>
                <w:lang w:eastAsia="en-GB"/>
              </w:rPr>
              <w:t>.</w:t>
            </w:r>
          </w:p>
          <w:p w14:paraId="1312A1B6" w14:textId="1F5BC175" w:rsidR="00E0175B" w:rsidRPr="002D255E" w:rsidRDefault="00E0175B" w:rsidP="00E0175B">
            <w:pPr>
              <w:shd w:val="clear" w:color="auto" w:fill="FFFFFF"/>
              <w:spacing w:after="120"/>
              <w:rPr>
                <w:rFonts w:eastAsia="Times New Roman" w:cs="Arial"/>
                <w:iCs/>
                <w:noProof/>
                <w:color w:val="000000"/>
                <w:lang w:val="en-US" w:eastAsia="en-GB"/>
              </w:rPr>
            </w:pPr>
            <w:r w:rsidRPr="002D255E">
              <w:rPr>
                <w:rFonts w:eastAsia="Times New Roman" w:cstheme="minorHAnsi"/>
                <w:bCs/>
                <w:iCs/>
                <w:color w:val="000000"/>
                <w:lang w:eastAsia="en-GB"/>
              </w:rPr>
              <w:lastRenderedPageBreak/>
              <w:t xml:space="preserve">Converting from an oral to a subcutaneous dosage form may be appropriate where patients experience intolerable gastrointestinal adverse effects and should only be undertaken by a specialist.  </w:t>
            </w:r>
          </w:p>
        </w:tc>
      </w:tr>
      <w:tr w:rsidR="00E0175B" w:rsidRPr="002D255E" w14:paraId="32A1142F" w14:textId="77777777" w:rsidTr="7234176C">
        <w:trPr>
          <w:trHeight w:val="97"/>
          <w:jc w:val="center"/>
        </w:trPr>
        <w:tc>
          <w:tcPr>
            <w:tcW w:w="1838" w:type="dxa"/>
            <w:shd w:val="clear" w:color="auto" w:fill="auto"/>
            <w:vAlign w:val="center"/>
          </w:tcPr>
          <w:p w14:paraId="33657BA5" w14:textId="6D98BB80" w:rsidR="00E0175B" w:rsidRPr="002D255E" w:rsidRDefault="00E0175B" w:rsidP="00E0175B">
            <w:pPr>
              <w:rPr>
                <w:b/>
                <w:bCs/>
                <w:iCs/>
                <w:color w:val="000000"/>
                <w:lang w:eastAsia="en-GB"/>
              </w:rPr>
            </w:pPr>
            <w:r w:rsidRPr="002D255E">
              <w:rPr>
                <w:rFonts w:eastAsia="Times New Roman" w:cstheme="minorHAnsi"/>
                <w:szCs w:val="24"/>
                <w:lang w:eastAsia="en-GB"/>
              </w:rPr>
              <w:lastRenderedPageBreak/>
              <w:t>Administration details:</w:t>
            </w:r>
          </w:p>
        </w:tc>
        <w:tc>
          <w:tcPr>
            <w:tcW w:w="8617" w:type="dxa"/>
            <w:gridSpan w:val="2"/>
            <w:shd w:val="clear" w:color="auto" w:fill="auto"/>
          </w:tcPr>
          <w:p w14:paraId="5314D8AE"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Tablets should not be split or crushed for administration. Review formulation if patient is unable to swallow tablets. Carers should wear single-use gloves to handle methotrexate tablets. Anyone handling the tablets should wash their hands immediately afterwards.</w:t>
            </w:r>
          </w:p>
          <w:p w14:paraId="61C95AAC"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Pregnant people, including patients and carers, should avoid handling methotrexate.</w:t>
            </w:r>
          </w:p>
          <w:p w14:paraId="04A85759" w14:textId="77777777" w:rsidR="00E0175B" w:rsidRPr="002D255E" w:rsidRDefault="00E0175B" w:rsidP="00E0175B">
            <w:pPr>
              <w:autoSpaceDE w:val="0"/>
              <w:autoSpaceDN w:val="0"/>
              <w:adjustRightInd w:val="0"/>
              <w:spacing w:before="60" w:after="60" w:line="240" w:lineRule="auto"/>
              <w:rPr>
                <w:rFonts w:eastAsia="Times New Roman" w:cs="Arial"/>
                <w:bCs/>
                <w:iCs/>
                <w:color w:val="000000"/>
                <w:lang w:eastAsia="en-GB"/>
              </w:rPr>
            </w:pPr>
            <w:r w:rsidRPr="002D255E">
              <w:rPr>
                <w:rFonts w:eastAsia="Times New Roman" w:cs="Arial"/>
                <w:bCs/>
                <w:iCs/>
                <w:color w:val="000000"/>
                <w:lang w:eastAsia="en-GB"/>
              </w:rPr>
              <w:t xml:space="preserve">Avoid skin or mucosa contact with methotrexate solution for injection. Spillage kits should be available for patients on subcutaneous methotrexate. </w:t>
            </w:r>
          </w:p>
          <w:p w14:paraId="4466B100" w14:textId="492BA329" w:rsidR="00E0175B" w:rsidRPr="002D255E" w:rsidRDefault="00E0175B" w:rsidP="00E0175B">
            <w:pPr>
              <w:rPr>
                <w:b/>
                <w:bCs/>
                <w:iCs/>
                <w:color w:val="000000"/>
                <w:lang w:eastAsia="en-GB"/>
              </w:rPr>
            </w:pPr>
            <w:r w:rsidRPr="002D255E">
              <w:rPr>
                <w:rFonts w:eastAsia="Times New Roman" w:cs="Arial"/>
                <w:bCs/>
                <w:iCs/>
                <w:color w:val="000000"/>
                <w:lang w:eastAsia="en-GB"/>
              </w:rPr>
              <w:t xml:space="preserve">If a dose of methotrexate is missed it should be taken as soon as remembered, within one or two days. Doses which are three or more days late should be skipped entirely. </w:t>
            </w:r>
            <w:r w:rsidRPr="002D255E">
              <w:rPr>
                <w:rFonts w:eastAsia="Times New Roman" w:cs="Arial"/>
                <w:lang w:eastAsia="en-GB"/>
              </w:rPr>
              <w:t xml:space="preserve">Take the next dose as scheduled, on the usual day. </w:t>
            </w:r>
            <w:r w:rsidRPr="002D255E">
              <w:rPr>
                <w:rFonts w:eastAsia="Times New Roman" w:cs="Arial"/>
                <w:u w:val="single"/>
                <w:lang w:eastAsia="en-GB"/>
              </w:rPr>
              <w:t>A double dose should not be taken to make up for a missed dose</w:t>
            </w:r>
            <w:r w:rsidRPr="002D255E">
              <w:rPr>
                <w:rFonts w:eastAsia="Times New Roman" w:cs="Arial"/>
                <w:lang w:eastAsia="en-GB"/>
              </w:rPr>
              <w:t>.</w:t>
            </w:r>
          </w:p>
        </w:tc>
      </w:tr>
      <w:tr w:rsidR="00E0175B" w:rsidRPr="002D255E" w14:paraId="7AF4C7E7" w14:textId="77777777" w:rsidTr="7234176C">
        <w:trPr>
          <w:trHeight w:val="97"/>
          <w:jc w:val="center"/>
        </w:trPr>
        <w:tc>
          <w:tcPr>
            <w:tcW w:w="1838" w:type="dxa"/>
            <w:tcBorders>
              <w:bottom w:val="single" w:sz="4" w:space="0" w:color="auto"/>
            </w:tcBorders>
            <w:shd w:val="clear" w:color="auto" w:fill="auto"/>
            <w:vAlign w:val="center"/>
          </w:tcPr>
          <w:p w14:paraId="1C2DED5A" w14:textId="00071546" w:rsidR="00E0175B" w:rsidRPr="002D255E" w:rsidRDefault="00E0175B" w:rsidP="00E0175B">
            <w:pPr>
              <w:rPr>
                <w:b/>
                <w:bCs/>
                <w:iCs/>
                <w:color w:val="000000"/>
                <w:lang w:eastAsia="en-GB"/>
              </w:rPr>
            </w:pPr>
            <w:r w:rsidRPr="002D255E">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4F21E203"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is taken </w:t>
            </w:r>
            <w:r w:rsidRPr="002D255E">
              <w:rPr>
                <w:rFonts w:eastAsia="Times New Roman" w:cstheme="minorHAnsi"/>
                <w:bCs/>
                <w:iCs/>
                <w:color w:val="000000"/>
                <w:u w:val="single"/>
                <w:lang w:eastAsia="en-GB"/>
              </w:rPr>
              <w:t>once weekly</w:t>
            </w:r>
            <w:r w:rsidRPr="002D255E">
              <w:rPr>
                <w:rFonts w:eastAsia="Times New Roman" w:cstheme="minorHAnsi"/>
                <w:bCs/>
                <w:iCs/>
                <w:color w:val="000000"/>
                <w:lang w:eastAsia="en-GB"/>
              </w:rPr>
              <w:t xml:space="preserve">, and there is a significant risk of toxicity if it is taken more frequently. Prescribers should follow the </w:t>
            </w:r>
            <w:hyperlink r:id="rId29" w:history="1">
              <w:r w:rsidRPr="002D255E">
                <w:rPr>
                  <w:rStyle w:val="Hyperlink"/>
                  <w:rFonts w:eastAsia="Times New Roman" w:cstheme="minorHAnsi"/>
                  <w:bCs/>
                  <w:iCs/>
                  <w:lang w:eastAsia="en-GB"/>
                </w:rPr>
                <w:t>MHRA advice on preventing inadvertent daily dosing</w:t>
              </w:r>
            </w:hyperlink>
            <w:r w:rsidRPr="002D255E">
              <w:rPr>
                <w:rStyle w:val="Hyperlink"/>
                <w:rFonts w:eastAsia="Times New Roman" w:cstheme="minorHAnsi"/>
                <w:bCs/>
                <w:iCs/>
                <w:color w:val="000000"/>
                <w:u w:val="none"/>
                <w:lang w:eastAsia="en-GB"/>
              </w:rPr>
              <w:t xml:space="preserve">, including </w:t>
            </w:r>
            <w:r w:rsidRPr="002D255E">
              <w:rPr>
                <w:rFonts w:eastAsia="Times New Roman" w:cstheme="minorHAnsi"/>
                <w:bCs/>
                <w:iCs/>
                <w:color w:val="000000"/>
                <w:lang w:eastAsia="en-GB"/>
              </w:rPr>
              <w:t>ensuring that the patient and/or carer understands the dosing schedule and is able to follow it.</w:t>
            </w:r>
          </w:p>
          <w:p w14:paraId="61E8674D"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All patients should be prescribed folic acid at a dose of at least 5 mg once weekly, to be taken on a different day than their methotrexate dose. The specialist should include clear details of the folic acid regimen in their initial communication with primary care. </w:t>
            </w:r>
          </w:p>
          <w:p w14:paraId="689017FA" w14:textId="2BCFE97D" w:rsidR="00E0175B" w:rsidRPr="002D255E" w:rsidRDefault="00E0175B" w:rsidP="00E0175B">
            <w:pPr>
              <w:rPr>
                <w:b/>
                <w:bCs/>
                <w:iCs/>
                <w:color w:val="000000"/>
                <w:lang w:eastAsia="en-GB"/>
              </w:rPr>
            </w:pPr>
            <w:r w:rsidRPr="002D255E">
              <w:rPr>
                <w:rFonts w:eastAsia="Times New Roman" w:cstheme="minorHAnsi"/>
                <w:bCs/>
                <w:iCs/>
                <w:color w:val="000000"/>
                <w:lang w:eastAsia="en-GB"/>
              </w:rPr>
              <w:t>In areas where methotrexate monitoring booklets are in use, the patient should receive a monitoring booklet from the specialist upon initiation of treatment. They should bring this booklet to all specialist and GP appointments where it will be updated by the health professional conducting the appointment. The patient should also produce the booklet to any health professional involved in other aspects of their care e.g. pharmacists and dentists.</w:t>
            </w:r>
          </w:p>
        </w:tc>
      </w:tr>
      <w:tr w:rsidR="00E0175B" w:rsidRPr="002D255E" w14:paraId="43330AD8" w14:textId="77777777" w:rsidTr="7234176C">
        <w:trPr>
          <w:jc w:val="center"/>
        </w:trPr>
        <w:tc>
          <w:tcPr>
            <w:tcW w:w="10455" w:type="dxa"/>
            <w:gridSpan w:val="3"/>
            <w:tcBorders>
              <w:bottom w:val="nil"/>
            </w:tcBorders>
            <w:shd w:val="clear" w:color="auto" w:fill="F2F2F2" w:themeFill="background1" w:themeFillShade="F2"/>
          </w:tcPr>
          <w:p w14:paraId="2293CECB" w14:textId="43830C9A" w:rsidR="00E0175B" w:rsidRPr="002D255E" w:rsidRDefault="00E0175B" w:rsidP="00E0175B">
            <w:pPr>
              <w:pStyle w:val="Heading1"/>
              <w:tabs>
                <w:tab w:val="right" w:pos="10240"/>
              </w:tabs>
              <w:rPr>
                <w:lang w:eastAsia="en-GB"/>
              </w:rPr>
            </w:pPr>
            <w:bookmarkStart w:id="10" w:name="Seven_interactions"/>
            <w:r w:rsidRPr="002D255E">
              <w:rPr>
                <w:lang w:eastAsia="en-GB"/>
              </w:rPr>
              <w:t>Significant medicine interactions</w:t>
            </w:r>
            <w:r w:rsidRPr="002D255E">
              <w:tab/>
            </w:r>
            <w:hyperlink w:anchor="Responsibilities">
              <w:r w:rsidRPr="002D255E">
                <w:rPr>
                  <w:rStyle w:val="Hyperlink"/>
                  <w:rFonts w:eastAsia="Times New Roman" w:cs="Arial"/>
                  <w:b w:val="0"/>
                  <w:bCs w:val="0"/>
                  <w:sz w:val="24"/>
                  <w:szCs w:val="24"/>
                  <w:lang w:eastAsia="en-GB"/>
                </w:rPr>
                <w:t>Back to top</w:t>
              </w:r>
            </w:hyperlink>
            <w:bookmarkEnd w:id="10"/>
          </w:p>
          <w:p w14:paraId="561D758A" w14:textId="66458350" w:rsidR="00E0175B" w:rsidRPr="002D255E" w:rsidRDefault="00E0175B" w:rsidP="00E0175B">
            <w:pPr>
              <w:spacing w:line="257" w:lineRule="auto"/>
            </w:pPr>
            <w:r w:rsidRPr="002D255E">
              <w:rPr>
                <w:rFonts w:eastAsia="Arial" w:cs="Arial"/>
                <w:color w:val="000000" w:themeColor="text1"/>
                <w:szCs w:val="24"/>
                <w:lang w:val="en-US"/>
              </w:rPr>
              <w:t xml:space="preserve">The following list is not exhaustive. Please see </w:t>
            </w:r>
            <w:hyperlink r:id="rId30">
              <w:r w:rsidRPr="002D255E">
                <w:rPr>
                  <w:rStyle w:val="Hyperlink"/>
                  <w:rFonts w:eastAsia="Arial" w:cs="Arial"/>
                  <w:szCs w:val="24"/>
                  <w:lang w:val="en-US"/>
                </w:rPr>
                <w:t>BNF</w:t>
              </w:r>
            </w:hyperlink>
            <w:r w:rsidRPr="002D255E">
              <w:rPr>
                <w:rFonts w:eastAsia="Arial" w:cs="Arial"/>
                <w:color w:val="000000" w:themeColor="text1"/>
                <w:szCs w:val="24"/>
                <w:lang w:val="en-US"/>
              </w:rPr>
              <w:t xml:space="preserve"> or </w:t>
            </w:r>
            <w:hyperlink r:id="rId31">
              <w:r w:rsidRPr="002D255E">
                <w:rPr>
                  <w:rStyle w:val="Hyperlink"/>
                  <w:rFonts w:eastAsia="Arial" w:cs="Arial"/>
                  <w:szCs w:val="24"/>
                  <w:lang w:val="en-US"/>
                </w:rPr>
                <w:t>SPC</w:t>
              </w:r>
            </w:hyperlink>
            <w:r w:rsidRPr="002D255E">
              <w:rPr>
                <w:rFonts w:eastAsia="Arial" w:cs="Arial"/>
                <w:color w:val="000000" w:themeColor="text1"/>
                <w:szCs w:val="24"/>
                <w:lang w:val="en-US"/>
              </w:rPr>
              <w:t xml:space="preserve"> for comprehensive information and recommended management.</w:t>
            </w:r>
          </w:p>
        </w:tc>
      </w:tr>
      <w:tr w:rsidR="00E0175B" w:rsidRPr="002D255E" w14:paraId="44BD7062" w14:textId="77777777" w:rsidTr="7234176C">
        <w:trPr>
          <w:jc w:val="center"/>
        </w:trPr>
        <w:tc>
          <w:tcPr>
            <w:tcW w:w="10455" w:type="dxa"/>
            <w:gridSpan w:val="3"/>
            <w:tcBorders>
              <w:top w:val="nil"/>
              <w:bottom w:val="single" w:sz="4" w:space="0" w:color="auto"/>
            </w:tcBorders>
            <w:shd w:val="clear" w:color="auto" w:fill="auto"/>
          </w:tcPr>
          <w:p w14:paraId="6C3D41DA"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
                <w:bCs/>
                <w:iCs/>
                <w:color w:val="000000"/>
                <w:lang w:eastAsia="en-GB"/>
              </w:rPr>
              <w:t xml:space="preserve">Methotrexate is associated with a large number of interactions, some of which are significant enough to contraindicate concurrent use, require dose adjustment and/or additional monitoring (see </w:t>
            </w:r>
            <w:hyperlink w:anchor="Four_cx_and_cautions" w:history="1">
              <w:r w:rsidRPr="002D255E">
                <w:rPr>
                  <w:rStyle w:val="Hyperlink"/>
                  <w:rFonts w:eastAsia="Times New Roman" w:cstheme="minorHAnsi"/>
                  <w:b/>
                  <w:bCs/>
                  <w:iCs/>
                  <w:lang w:eastAsia="en-GB"/>
                </w:rPr>
                <w:t>section 4</w:t>
              </w:r>
            </w:hyperlink>
            <w:r w:rsidRPr="002D255E">
              <w:rPr>
                <w:rFonts w:eastAsia="Times New Roman" w:cstheme="minorHAnsi"/>
                <w:b/>
                <w:bCs/>
                <w:iCs/>
                <w:color w:val="000000"/>
                <w:lang w:eastAsia="en-GB"/>
              </w:rPr>
              <w:t xml:space="preserve">). Additional interactions which become relevant at higher doses (e.g. those used in oncology) are not included. </w:t>
            </w:r>
          </w:p>
          <w:p w14:paraId="05143CB6"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lang w:eastAsia="en-GB"/>
              </w:rPr>
              <w:t xml:space="preserve">Co-administration of medicinal products which cause folate deficiency (e.g. </w:t>
            </w:r>
            <w:r w:rsidRPr="002D255E">
              <w:rPr>
                <w:b/>
                <w:lang w:eastAsia="en-GB"/>
              </w:rPr>
              <w:t>trimethoprim</w:t>
            </w:r>
            <w:r w:rsidRPr="002D255E">
              <w:rPr>
                <w:lang w:eastAsia="en-GB"/>
              </w:rPr>
              <w:t xml:space="preserve"> and </w:t>
            </w:r>
            <w:r w:rsidRPr="002D255E">
              <w:rPr>
                <w:b/>
                <w:lang w:eastAsia="en-GB"/>
              </w:rPr>
              <w:t>co-trimoxazole</w:t>
            </w:r>
            <w:r w:rsidRPr="002D255E">
              <w:rPr>
                <w:lang w:eastAsia="en-GB"/>
              </w:rPr>
              <w:t xml:space="preserve">) can lead to increased methotrexate toxicity and is contraindicated (see </w:t>
            </w:r>
            <w:hyperlink w:anchor="Four_cx_and_cautions" w:history="1">
              <w:r w:rsidRPr="002D255E">
                <w:rPr>
                  <w:rStyle w:val="Hyperlink"/>
                  <w:rFonts w:eastAsia="Times New Roman" w:cstheme="minorHAnsi"/>
                  <w:bCs/>
                  <w:iCs/>
                  <w:lang w:eastAsia="en-GB"/>
                </w:rPr>
                <w:t>section 4</w:t>
              </w:r>
            </w:hyperlink>
            <w:r w:rsidRPr="002D255E">
              <w:rPr>
                <w:lang w:eastAsia="en-GB"/>
              </w:rPr>
              <w:t>). Particular caution should therefore also be exercised in the presence of existing folic acid deficiency.</w:t>
            </w:r>
            <w:r w:rsidRPr="002D255E">
              <w:rPr>
                <w:color w:val="FF0000"/>
                <w:lang w:eastAsia="en-GB"/>
              </w:rPr>
              <w:t xml:space="preserve"> </w:t>
            </w:r>
          </w:p>
          <w:p w14:paraId="7469D6F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Leflunomide</w:t>
            </w:r>
            <w:r w:rsidRPr="002D255E">
              <w:t xml:space="preserve">: increased risk of bone marrow and liver toxicity; increased monitoring and vigilance required. </w:t>
            </w:r>
          </w:p>
          <w:p w14:paraId="1B690BE4"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Ciclosporin</w:t>
            </w:r>
            <w:r w:rsidRPr="002D255E">
              <w:rPr>
                <w:lang w:eastAsia="en-GB"/>
              </w:rPr>
              <w:t>: increased risk of nephrotoxicity and methotrexate toxicity.</w:t>
            </w:r>
          </w:p>
          <w:p w14:paraId="27F9E001" w14:textId="77777777" w:rsidR="00E0175B" w:rsidRPr="002D255E" w:rsidRDefault="00E0175B" w:rsidP="00E0175B">
            <w:pPr>
              <w:pStyle w:val="ListParagraph"/>
              <w:numPr>
                <w:ilvl w:val="0"/>
                <w:numId w:val="7"/>
              </w:numPr>
              <w:spacing w:before="60" w:after="60" w:line="240" w:lineRule="auto"/>
              <w:contextualSpacing/>
              <w:rPr>
                <w:b/>
                <w:lang w:eastAsia="en-GB"/>
              </w:rPr>
            </w:pPr>
            <w:r w:rsidRPr="002D255E">
              <w:rPr>
                <w:b/>
                <w:lang w:eastAsia="en-GB"/>
              </w:rPr>
              <w:t>Azathioprine and mercaptopurine:</w:t>
            </w:r>
            <w:r w:rsidRPr="002D255E">
              <w:rPr>
                <w:lang w:eastAsia="en-GB"/>
              </w:rPr>
              <w:t xml:space="preserve"> not advised due to increased risk of toxicity.</w:t>
            </w:r>
          </w:p>
          <w:p w14:paraId="3813465A"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Sulfasalazine</w:t>
            </w:r>
            <w:r w:rsidRPr="002D255E">
              <w:t>:</w:t>
            </w:r>
            <w:r w:rsidRPr="002D255E">
              <w:rPr>
                <w:lang w:eastAsia="en-GB"/>
              </w:rPr>
              <w:t xml:space="preserve"> may increase risk of bone marrow and liver toxicity. However, this combination is used in clinical practice without incident. Be aware of trends in monitoring parameters. </w:t>
            </w:r>
          </w:p>
          <w:p w14:paraId="567EC92E"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 xml:space="preserve">Drugs with hepatotoxic, haematotoxic or nephrotoxic effects: </w:t>
            </w:r>
            <w:r w:rsidRPr="002D255E">
              <w:t xml:space="preserve">Increased frequency of monitoring may be recommended. </w:t>
            </w:r>
          </w:p>
          <w:p w14:paraId="58F8C56C"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Live vaccines</w:t>
            </w:r>
            <w:r w:rsidRPr="002D255E">
              <w:rPr>
                <w:lang w:eastAsia="en-GB"/>
              </w:rPr>
              <w:t xml:space="preserve"> (e.g. oral polio, oral typhoid, MMR, BCG, Zostavax®) are advised in line with the national schedule for all patients, unless the patient is taking a dose of methotrexate or other immunosuppressive drug that exceeds those specified in the </w:t>
            </w:r>
            <w:hyperlink r:id="rId32" w:history="1">
              <w:r w:rsidRPr="002D255E">
                <w:rPr>
                  <w:rStyle w:val="Hyperlink"/>
                  <w:rFonts w:eastAsia="Times New Roman" w:cstheme="minorHAnsi"/>
                  <w:bCs/>
                  <w:iCs/>
                  <w:lang w:eastAsia="en-GB"/>
                </w:rPr>
                <w:t>Green Book</w:t>
              </w:r>
            </w:hyperlink>
            <w:r w:rsidRPr="002D255E">
              <w:rPr>
                <w:lang w:eastAsia="en-GB"/>
              </w:rPr>
              <w:t xml:space="preserve">. Doses below this level are not considered sufficiently immunosuppressive and these patients </w:t>
            </w:r>
            <w:r w:rsidRPr="002D255E">
              <w:rPr>
                <w:u w:val="single"/>
                <w:lang w:eastAsia="en-GB"/>
              </w:rPr>
              <w:t>can</w:t>
            </w:r>
            <w:r w:rsidRPr="002D255E">
              <w:rPr>
                <w:lang w:eastAsia="en-GB"/>
              </w:rPr>
              <w:t xml:space="preserve"> receive live vaccines. Clinician discretion is advised. Please refer to the </w:t>
            </w:r>
            <w:hyperlink r:id="rId33" w:history="1">
              <w:r w:rsidRPr="002D255E">
                <w:rPr>
                  <w:rStyle w:val="Hyperlink"/>
                  <w:rFonts w:eastAsia="Times New Roman" w:cstheme="minorHAnsi"/>
                  <w:bCs/>
                  <w:iCs/>
                  <w:lang w:eastAsia="en-GB"/>
                </w:rPr>
                <w:t>Green Book Chapter 6</w:t>
              </w:r>
            </w:hyperlink>
            <w:r w:rsidRPr="002D255E">
              <w:rPr>
                <w:lang w:eastAsia="en-GB"/>
              </w:rPr>
              <w:t xml:space="preserve"> for current advice.</w:t>
            </w:r>
          </w:p>
          <w:p w14:paraId="5ABAA6A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lang w:eastAsia="en-GB"/>
              </w:rPr>
              <w:t xml:space="preserve">Avoid concomitant use of </w:t>
            </w:r>
            <w:r w:rsidRPr="002D255E">
              <w:rPr>
                <w:b/>
                <w:lang w:eastAsia="en-GB"/>
              </w:rPr>
              <w:t xml:space="preserve">cytotoxics, clozapine, and olanzapine: </w:t>
            </w:r>
            <w:r w:rsidRPr="002D255E">
              <w:rPr>
                <w:lang w:eastAsia="en-GB"/>
              </w:rPr>
              <w:t>increased risk of agranulocytosis.</w:t>
            </w:r>
          </w:p>
          <w:p w14:paraId="459886D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Retinoids</w:t>
            </w:r>
            <w:r w:rsidRPr="002D255E">
              <w:rPr>
                <w:lang w:eastAsia="en-GB"/>
              </w:rPr>
              <w:t>: increased risk of hepatotoxicity, and may increase plasma levels of methotrexate.</w:t>
            </w:r>
          </w:p>
          <w:p w14:paraId="077A0A6D"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Levetiracetam:</w:t>
            </w:r>
            <w:r w:rsidRPr="002D255E">
              <w:rPr>
                <w:lang w:eastAsia="en-GB"/>
              </w:rPr>
              <w:t xml:space="preserve"> may increase plasma levels of methotrexate.</w:t>
            </w:r>
          </w:p>
          <w:p w14:paraId="6FEEB80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Nitrous oxide and pyrimethamine</w:t>
            </w:r>
            <w:r w:rsidRPr="002D255E">
              <w:rPr>
                <w:lang w:eastAsia="en-GB"/>
              </w:rPr>
              <w:t xml:space="preserve">: increased antifolate effect of methotrexate. </w:t>
            </w:r>
          </w:p>
          <w:p w14:paraId="34171334"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 xml:space="preserve">Lomitapide: </w:t>
            </w:r>
            <w:r w:rsidRPr="002D255E">
              <w:rPr>
                <w:lang w:eastAsia="en-GB"/>
              </w:rPr>
              <w:t>increased risk of hepatotoxicity.</w:t>
            </w:r>
          </w:p>
          <w:p w14:paraId="744874F3"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 xml:space="preserve">Probenecid: </w:t>
            </w:r>
            <w:r w:rsidRPr="002D255E">
              <w:rPr>
                <w:lang w:eastAsia="en-GB"/>
              </w:rPr>
              <w:t>excretion of methotrexate reduced.</w:t>
            </w:r>
          </w:p>
          <w:p w14:paraId="1ABB7DEC" w14:textId="77777777" w:rsidR="00E0175B" w:rsidRPr="002D255E" w:rsidRDefault="00E0175B" w:rsidP="00E0175B">
            <w:pPr>
              <w:pStyle w:val="ListParagraph"/>
              <w:numPr>
                <w:ilvl w:val="0"/>
                <w:numId w:val="7"/>
              </w:numPr>
              <w:spacing w:before="60" w:after="60" w:line="240" w:lineRule="auto"/>
              <w:contextualSpacing/>
            </w:pPr>
            <w:r w:rsidRPr="002D255E">
              <w:rPr>
                <w:b/>
              </w:rPr>
              <w:t xml:space="preserve">Phenytoin: </w:t>
            </w:r>
            <w:r w:rsidRPr="002D255E">
              <w:t>possible increased methotrexate toxicity, and decreased phenytoin effect.</w:t>
            </w:r>
          </w:p>
          <w:p w14:paraId="25DA9317" w14:textId="77777777" w:rsidR="00E0175B" w:rsidRPr="002D255E" w:rsidRDefault="00E0175B" w:rsidP="00E0175B">
            <w:pPr>
              <w:pStyle w:val="ListParagraph"/>
              <w:numPr>
                <w:ilvl w:val="0"/>
                <w:numId w:val="7"/>
              </w:numPr>
              <w:spacing w:before="60" w:after="60" w:line="240" w:lineRule="auto"/>
              <w:contextualSpacing/>
            </w:pPr>
            <w:r w:rsidRPr="002D255E">
              <w:rPr>
                <w:b/>
              </w:rPr>
              <w:t>NSAIDs</w:t>
            </w:r>
            <w:r w:rsidRPr="002D255E">
              <w:t xml:space="preserve">, </w:t>
            </w:r>
            <w:r w:rsidRPr="002D255E">
              <w:rPr>
                <w:b/>
              </w:rPr>
              <w:t>COX-2 inhibitors, aspirin:</w:t>
            </w:r>
            <w:r w:rsidRPr="002D255E">
              <w:t xml:space="preserve"> may reduce excretion of methotrexate, increasing risk of toxicity. These drugs are frequently used with methotrexate without incident, and aspirin at antiplatelet doses is unlikely to interact to a significant degree. Be aware of trends in monitoring parameters. </w:t>
            </w:r>
          </w:p>
          <w:p w14:paraId="4D49905A" w14:textId="77777777" w:rsidR="00E0175B" w:rsidRPr="002D255E" w:rsidRDefault="00E0175B" w:rsidP="00E0175B">
            <w:pPr>
              <w:pStyle w:val="ListParagraph"/>
              <w:numPr>
                <w:ilvl w:val="0"/>
                <w:numId w:val="7"/>
              </w:numPr>
              <w:spacing w:before="60" w:after="60" w:line="240" w:lineRule="auto"/>
              <w:contextualSpacing/>
            </w:pPr>
            <w:r w:rsidRPr="002D255E">
              <w:rPr>
                <w:b/>
              </w:rPr>
              <w:t xml:space="preserve">Antibiotics </w:t>
            </w:r>
            <w:r w:rsidRPr="002D255E">
              <w:t xml:space="preserve">may alter methotrexate levels. Methotrexate should be interrupted during periods of acute infection (see </w:t>
            </w:r>
            <w:hyperlink w:anchor="Ten_ADRs_and_Management" w:history="1">
              <w:r w:rsidRPr="002D255E">
                <w:rPr>
                  <w:rStyle w:val="Hyperlink"/>
                  <w:rFonts w:cstheme="minorHAnsi"/>
                </w:rPr>
                <w:t>section 10</w:t>
              </w:r>
            </w:hyperlink>
            <w:r w:rsidRPr="002D255E">
              <w:t>).</w:t>
            </w:r>
          </w:p>
          <w:p w14:paraId="1A33B2FA"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Theophylline and other methylxanthines:</w:t>
            </w:r>
            <w:r w:rsidRPr="002D255E">
              <w:t xml:space="preserve"> may reduce methotrexate efficacy. Methotrexate may reduce theophylline clearance. </w:t>
            </w:r>
          </w:p>
          <w:p w14:paraId="4C65D1F9" w14:textId="77777777" w:rsidR="00E0175B" w:rsidRPr="002D255E" w:rsidRDefault="00E0175B" w:rsidP="00E0175B">
            <w:pPr>
              <w:pStyle w:val="ListParagraph"/>
              <w:numPr>
                <w:ilvl w:val="0"/>
                <w:numId w:val="7"/>
              </w:numPr>
              <w:spacing w:before="60" w:after="60" w:line="240" w:lineRule="auto"/>
              <w:contextualSpacing/>
              <w:rPr>
                <w:b/>
                <w:lang w:eastAsia="en-GB"/>
              </w:rPr>
            </w:pPr>
            <w:r w:rsidRPr="002D255E">
              <w:rPr>
                <w:b/>
                <w:lang w:eastAsia="en-GB"/>
              </w:rPr>
              <w:t xml:space="preserve">Anticonvulsants: </w:t>
            </w:r>
            <w:r w:rsidRPr="002D255E">
              <w:t>may reduce methotrexate levels.</w:t>
            </w:r>
          </w:p>
          <w:p w14:paraId="79351D4A" w14:textId="77777777" w:rsidR="00E0175B" w:rsidRPr="002D255E" w:rsidRDefault="00E0175B" w:rsidP="00E0175B">
            <w:pPr>
              <w:pStyle w:val="ListParagraph"/>
              <w:numPr>
                <w:ilvl w:val="0"/>
                <w:numId w:val="7"/>
              </w:numPr>
              <w:spacing w:before="60" w:after="60" w:line="240" w:lineRule="auto"/>
              <w:contextualSpacing/>
              <w:rPr>
                <w:b/>
                <w:lang w:eastAsia="en-GB"/>
              </w:rPr>
            </w:pPr>
            <w:r w:rsidRPr="002D255E">
              <w:rPr>
                <w:b/>
                <w:lang w:eastAsia="en-GB"/>
              </w:rPr>
              <w:t>Colestyramine</w:t>
            </w:r>
            <w:r w:rsidRPr="002D255E">
              <w:rPr>
                <w:lang w:eastAsia="en-GB"/>
              </w:rPr>
              <w:t xml:space="preserve">: may increase elimination of methotrexate.  </w:t>
            </w:r>
          </w:p>
          <w:p w14:paraId="24289A8A" w14:textId="05B185F0" w:rsidR="00E0175B" w:rsidRPr="002D255E" w:rsidRDefault="00E0175B" w:rsidP="00E0175B">
            <w:pPr>
              <w:pStyle w:val="ListParagraph"/>
              <w:numPr>
                <w:ilvl w:val="0"/>
                <w:numId w:val="7"/>
              </w:numPr>
              <w:autoSpaceDE w:val="0"/>
              <w:autoSpaceDN w:val="0"/>
              <w:adjustRightInd w:val="0"/>
              <w:rPr>
                <w:rFonts w:eastAsia="Times New Roman" w:cs="Arial"/>
                <w:bCs/>
                <w:iCs/>
                <w:color w:val="000000"/>
                <w:szCs w:val="24"/>
                <w:lang w:eastAsia="en-GB"/>
              </w:rPr>
            </w:pPr>
            <w:r w:rsidRPr="002D255E">
              <w:rPr>
                <w:b/>
              </w:rPr>
              <w:t>Alcohol:</w:t>
            </w:r>
            <w:r w:rsidRPr="002D255E">
              <w:t xml:space="preserve"> consumption of alcohol increases the risk of hepatotoxicity. Patients should moderate their alcohol intake to no more than 14 units per week.</w:t>
            </w:r>
          </w:p>
        </w:tc>
      </w:tr>
      <w:tr w:rsidR="00E0175B" w:rsidRPr="002D255E" w14:paraId="24EF260A" w14:textId="77777777" w:rsidTr="7234176C">
        <w:trPr>
          <w:jc w:val="center"/>
        </w:trPr>
        <w:tc>
          <w:tcPr>
            <w:tcW w:w="10455" w:type="dxa"/>
            <w:gridSpan w:val="3"/>
            <w:tcBorders>
              <w:bottom w:val="nil"/>
            </w:tcBorders>
            <w:shd w:val="clear" w:color="auto" w:fill="F2F2F2" w:themeFill="background1" w:themeFillShade="F2"/>
          </w:tcPr>
          <w:p w14:paraId="6FA6EB67" w14:textId="3453B847" w:rsidR="00E0175B" w:rsidRPr="002D255E" w:rsidRDefault="00E0175B" w:rsidP="00E0175B">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2D255E">
              <w:rPr>
                <w:lang w:eastAsia="en-GB"/>
              </w:rPr>
              <w:lastRenderedPageBreak/>
              <w:t>Baseline investigations, initial monitoring and ongoing monitoring to be undertaken by specialist</w:t>
            </w:r>
            <w:bookmarkEnd w:id="1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7CB14F0" w14:textId="1BCC1068" w:rsidR="00E0175B" w:rsidRPr="002D255E" w:rsidRDefault="00E0175B" w:rsidP="00E0175B">
            <w:pPr>
              <w:rPr>
                <w:b/>
                <w:szCs w:val="24"/>
                <w:lang w:eastAsia="en-GB"/>
              </w:rPr>
            </w:pPr>
            <w:r w:rsidRPr="002D255E">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0175B" w:rsidRPr="002D255E" w14:paraId="03C811CF" w14:textId="77777777" w:rsidTr="7234176C">
        <w:trPr>
          <w:jc w:val="center"/>
        </w:trPr>
        <w:tc>
          <w:tcPr>
            <w:tcW w:w="10455" w:type="dxa"/>
            <w:gridSpan w:val="3"/>
            <w:tcBorders>
              <w:top w:val="nil"/>
            </w:tcBorders>
            <w:shd w:val="clear" w:color="auto" w:fill="auto"/>
          </w:tcPr>
          <w:p w14:paraId="6368E9E3" w14:textId="77777777" w:rsidR="00E0175B" w:rsidRPr="002D255E" w:rsidRDefault="00E0175B" w:rsidP="00E0175B">
            <w:pPr>
              <w:autoSpaceDE w:val="0"/>
              <w:autoSpaceDN w:val="0"/>
              <w:adjustRightInd w:val="0"/>
              <w:spacing w:after="0" w:line="240" w:lineRule="auto"/>
              <w:rPr>
                <w:rFonts w:cs="Arial"/>
                <w:b/>
              </w:rPr>
            </w:pPr>
            <w:r w:rsidRPr="002D255E">
              <w:rPr>
                <w:rFonts w:cs="Arial"/>
                <w:b/>
              </w:rPr>
              <w:t xml:space="preserve">Baseline investigations: </w:t>
            </w:r>
          </w:p>
          <w:p w14:paraId="4AE183D4"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 xml:space="preserve">Height and weight </w:t>
            </w:r>
          </w:p>
          <w:p w14:paraId="488B381A"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Blood pressure</w:t>
            </w:r>
          </w:p>
          <w:p w14:paraId="1FF4205A"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lastRenderedPageBreak/>
              <w:t>Full blood count (FBC)</w:t>
            </w:r>
          </w:p>
          <w:p w14:paraId="7389ED8A"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Urea and electrolytes (U&amp;Es) including creatinine and creatinine clearance (CrCl)</w:t>
            </w:r>
          </w:p>
          <w:p w14:paraId="0D6AC6F7"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Alanine aminotransferase (ALT) and/or aspartate aminotransferase (AST), and albumin</w:t>
            </w:r>
          </w:p>
          <w:p w14:paraId="545FA0B6"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Screening for HIV and hepatitis B and C</w:t>
            </w:r>
          </w:p>
          <w:p w14:paraId="73A53BAF" w14:textId="77777777" w:rsidR="00E0175B" w:rsidRPr="002D255E" w:rsidRDefault="00E0175B" w:rsidP="00E0175B">
            <w:pPr>
              <w:numPr>
                <w:ilvl w:val="0"/>
                <w:numId w:val="27"/>
              </w:numPr>
              <w:autoSpaceDE w:val="0"/>
              <w:autoSpaceDN w:val="0"/>
              <w:adjustRightInd w:val="0"/>
              <w:spacing w:after="0" w:line="240" w:lineRule="auto"/>
              <w:contextualSpacing/>
              <w:rPr>
                <w:rFonts w:cs="Arial"/>
                <w:bCs/>
              </w:rPr>
            </w:pPr>
            <w:r w:rsidRPr="002D255E">
              <w:rPr>
                <w:rFonts w:cs="Arial"/>
                <w:bCs/>
              </w:rPr>
              <w:t>Screening for lung disease, including interstitial lung disease and tuberculosis, should be undertaken at clinician discretion on a case by case basis</w:t>
            </w:r>
          </w:p>
          <w:p w14:paraId="24EF930D" w14:textId="77777777" w:rsidR="00E0175B" w:rsidRPr="002D255E" w:rsidRDefault="00E0175B" w:rsidP="00E0175B">
            <w:pPr>
              <w:pStyle w:val="ListParagraph"/>
              <w:numPr>
                <w:ilvl w:val="0"/>
                <w:numId w:val="27"/>
              </w:numPr>
              <w:spacing w:after="0" w:line="240" w:lineRule="auto"/>
              <w:ind w:left="357" w:hanging="357"/>
              <w:contextualSpacing/>
              <w:rPr>
                <w:rFonts w:cs="Arial"/>
                <w:bCs/>
              </w:rPr>
            </w:pPr>
            <w:r w:rsidRPr="002D255E">
              <w:rPr>
                <w:rFonts w:cs="Arial"/>
                <w:bCs/>
              </w:rPr>
              <w:t>Provide or request appropriate vaccination prior to treatment initiation, according to local arrangements (e.g. pneumococcal, shingles, influenza, COVID-19)</w:t>
            </w:r>
          </w:p>
          <w:p w14:paraId="15E9118C" w14:textId="77777777" w:rsidR="00E0175B" w:rsidRPr="002D255E" w:rsidRDefault="00E0175B" w:rsidP="00E0175B">
            <w:pPr>
              <w:pStyle w:val="ListParagraph"/>
              <w:numPr>
                <w:ilvl w:val="0"/>
                <w:numId w:val="27"/>
              </w:numPr>
              <w:spacing w:after="0" w:line="240" w:lineRule="auto"/>
              <w:ind w:left="357" w:hanging="357"/>
              <w:contextualSpacing/>
              <w:rPr>
                <w:rFonts w:cs="Arial"/>
                <w:bCs/>
              </w:rPr>
            </w:pPr>
            <w:r w:rsidRPr="002D255E">
              <w:rPr>
                <w:rFonts w:cs="Arial"/>
                <w:bCs/>
              </w:rPr>
              <w:t>Psoriasis patients: serum procollagen 3 N-terminal peptide (PIIINP)</w:t>
            </w:r>
          </w:p>
          <w:p w14:paraId="2952E7B3" w14:textId="77777777" w:rsidR="00E0175B" w:rsidRPr="002D255E" w:rsidRDefault="00E0175B" w:rsidP="00E0175B">
            <w:pPr>
              <w:framePr w:hSpace="180" w:wrap="around" w:vAnchor="page" w:hAnchor="margin" w:xAlign="center" w:y="1081"/>
              <w:autoSpaceDE w:val="0"/>
              <w:autoSpaceDN w:val="0"/>
              <w:adjustRightInd w:val="0"/>
              <w:spacing w:after="0" w:line="240" w:lineRule="auto"/>
              <w:rPr>
                <w:rFonts w:cs="Arial"/>
                <w:color w:val="000000"/>
              </w:rPr>
            </w:pPr>
          </w:p>
          <w:p w14:paraId="6C8F8E93" w14:textId="77777777" w:rsidR="00E0175B" w:rsidRPr="002D255E" w:rsidRDefault="00E0175B" w:rsidP="00E0175B">
            <w:pPr>
              <w:framePr w:hSpace="180" w:wrap="around" w:vAnchor="page" w:hAnchor="margin" w:xAlign="center" w:y="1081"/>
              <w:autoSpaceDE w:val="0"/>
              <w:autoSpaceDN w:val="0"/>
              <w:adjustRightInd w:val="0"/>
              <w:spacing w:after="0" w:line="240" w:lineRule="auto"/>
              <w:rPr>
                <w:rFonts w:cs="Arial"/>
                <w:b/>
                <w:color w:val="000000"/>
              </w:rPr>
            </w:pPr>
            <w:r w:rsidRPr="002D255E">
              <w:rPr>
                <w:rFonts w:cs="Arial"/>
                <w:b/>
                <w:color w:val="000000"/>
              </w:rPr>
              <w:t xml:space="preserve">Initial monitoring and at dose change: </w:t>
            </w:r>
          </w:p>
          <w:p w14:paraId="5A5D815B"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 xml:space="preserve">To be repeated every 2 weeks until the dose has been stable for 6 weeks, then monthly for 3 months. After which, the transfer of prescribing to primary care should normally only take place when the patient has received a stable dose for at least 4 weeks and their blood and physical tests results have been satisfactory. </w:t>
            </w:r>
          </w:p>
          <w:p w14:paraId="503865E3"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FBC</w:t>
            </w:r>
          </w:p>
          <w:p w14:paraId="1EA98989"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U&amp;Es, including creatinine and CrCl</w:t>
            </w:r>
          </w:p>
          <w:p w14:paraId="690E1EF7"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ALT and/or AST, and albumin</w:t>
            </w:r>
          </w:p>
          <w:p w14:paraId="5DC6CD89"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Rheumatology patients: CRP &amp;/or ESR</w:t>
            </w:r>
          </w:p>
          <w:p w14:paraId="2EC7D883"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Psoriasis patients: serum PIIINP</w:t>
            </w:r>
          </w:p>
          <w:p w14:paraId="43C9E7F7" w14:textId="77777777" w:rsidR="00E0175B" w:rsidRPr="002D255E" w:rsidRDefault="00E0175B" w:rsidP="00E0175B">
            <w:pPr>
              <w:framePr w:hSpace="180" w:wrap="around" w:vAnchor="page" w:hAnchor="margin" w:xAlign="center" w:y="1081"/>
              <w:autoSpaceDE w:val="0"/>
              <w:autoSpaceDN w:val="0"/>
              <w:adjustRightInd w:val="0"/>
              <w:spacing w:after="0" w:line="240" w:lineRule="auto"/>
              <w:rPr>
                <w:rFonts w:cs="Arial"/>
                <w:lang w:eastAsia="en-GB"/>
              </w:rPr>
            </w:pPr>
            <w:r w:rsidRPr="002D255E">
              <w:rPr>
                <w:rFonts w:cs="Arial"/>
                <w:lang w:eastAsia="en-GB"/>
              </w:rPr>
              <w:t>Following a dose change repeat every 2 weeks</w:t>
            </w:r>
            <w:r w:rsidRPr="002D255E">
              <w:rPr>
                <w:rFonts w:cs="Arial"/>
                <w:color w:val="000000"/>
                <w:szCs w:val="24"/>
              </w:rPr>
              <w:t xml:space="preserve"> </w:t>
            </w:r>
            <w:r w:rsidRPr="002D255E">
              <w:rPr>
                <w:rFonts w:cs="Arial"/>
                <w:lang w:eastAsia="en-GB"/>
              </w:rPr>
              <w:t>until the dose has been stable for 6 weeks, then revert to previous schedule.</w:t>
            </w:r>
          </w:p>
          <w:p w14:paraId="33D4C86C" w14:textId="77777777" w:rsidR="00E0175B" w:rsidRPr="002D255E" w:rsidRDefault="00E0175B" w:rsidP="00E0175B">
            <w:pPr>
              <w:autoSpaceDE w:val="0"/>
              <w:autoSpaceDN w:val="0"/>
              <w:adjustRightInd w:val="0"/>
              <w:spacing w:before="60" w:after="60" w:line="240" w:lineRule="auto"/>
              <w:rPr>
                <w:rFonts w:cs="Arial"/>
              </w:rPr>
            </w:pPr>
          </w:p>
          <w:p w14:paraId="05199AF9" w14:textId="77777777" w:rsidR="00E0175B" w:rsidRPr="002D255E" w:rsidRDefault="00E0175B" w:rsidP="00E0175B">
            <w:pPr>
              <w:autoSpaceDE w:val="0"/>
              <w:autoSpaceDN w:val="0"/>
              <w:adjustRightInd w:val="0"/>
              <w:spacing w:before="60" w:after="60" w:line="240" w:lineRule="auto"/>
              <w:rPr>
                <w:rFonts w:cs="Arial"/>
              </w:rPr>
            </w:pPr>
            <w:r w:rsidRPr="002D255E">
              <w:rPr>
                <w:rFonts w:cs="Arial"/>
              </w:rPr>
              <w:t>More frequent monitoring is appropriate in patients at higher risk of toxicity.</w:t>
            </w:r>
          </w:p>
          <w:p w14:paraId="425AFDBA" w14:textId="77777777" w:rsidR="00E0175B" w:rsidRDefault="00E0175B" w:rsidP="00E0175B">
            <w:pPr>
              <w:autoSpaceDE w:val="0"/>
              <w:autoSpaceDN w:val="0"/>
              <w:adjustRightInd w:val="0"/>
              <w:spacing w:before="60" w:after="60" w:line="240" w:lineRule="auto"/>
              <w:rPr>
                <w:rFonts w:cs="Arial"/>
              </w:rPr>
            </w:pPr>
          </w:p>
          <w:p w14:paraId="7894C7F0" w14:textId="77F1417C" w:rsidR="00771869" w:rsidRPr="001A7E0B" w:rsidRDefault="00461A5D" w:rsidP="00E0175B">
            <w:pPr>
              <w:autoSpaceDE w:val="0"/>
              <w:autoSpaceDN w:val="0"/>
              <w:adjustRightInd w:val="0"/>
              <w:spacing w:before="60" w:after="60" w:line="240" w:lineRule="auto"/>
              <w:rPr>
                <w:rFonts w:cs="Arial"/>
                <w:b/>
                <w:bCs/>
              </w:rPr>
            </w:pPr>
            <w:r w:rsidRPr="001A7E0B">
              <w:rPr>
                <w:rFonts w:cs="Arial"/>
                <w:b/>
                <w:bCs/>
              </w:rPr>
              <w:t>On</w:t>
            </w:r>
            <w:r w:rsidR="00771869" w:rsidRPr="001A7E0B">
              <w:rPr>
                <w:rFonts w:cs="Arial"/>
                <w:b/>
                <w:bCs/>
              </w:rPr>
              <w:t>going monitoring:</w:t>
            </w:r>
          </w:p>
          <w:p w14:paraId="3D7BA5CD" w14:textId="0447AA13" w:rsidR="00771869" w:rsidRPr="007E36FE" w:rsidRDefault="00771869" w:rsidP="001A7E0B">
            <w:pPr>
              <w:pStyle w:val="ListParagraph"/>
              <w:numPr>
                <w:ilvl w:val="0"/>
                <w:numId w:val="43"/>
              </w:numPr>
              <w:autoSpaceDE w:val="0"/>
              <w:autoSpaceDN w:val="0"/>
              <w:adjustRightInd w:val="0"/>
              <w:spacing w:before="60" w:after="60" w:line="240" w:lineRule="auto"/>
              <w:rPr>
                <w:rFonts w:cs="Arial"/>
              </w:rPr>
            </w:pPr>
            <w:r w:rsidRPr="001A7E0B">
              <w:rPr>
                <w:rFonts w:eastAsia="Times New Roman" w:cstheme="minorHAnsi"/>
                <w:lang w:eastAsia="en-GB"/>
              </w:rPr>
              <w:t>Psoriasis patients: serum PIIINP</w:t>
            </w:r>
            <w:r w:rsidR="004A6143">
              <w:rPr>
                <w:rFonts w:eastAsia="Times New Roman" w:cstheme="minorHAnsi"/>
                <w:lang w:eastAsia="en-GB"/>
              </w:rPr>
              <w:t xml:space="preserve">: This test is to remain with the specialist. </w:t>
            </w:r>
          </w:p>
          <w:p w14:paraId="216C3A66" w14:textId="77777777" w:rsidR="007E36FE" w:rsidRPr="001A7E0B" w:rsidRDefault="007E36FE" w:rsidP="007E36FE">
            <w:pPr>
              <w:pStyle w:val="ListParagraph"/>
              <w:autoSpaceDE w:val="0"/>
              <w:autoSpaceDN w:val="0"/>
              <w:adjustRightInd w:val="0"/>
              <w:spacing w:before="60" w:after="60" w:line="240" w:lineRule="auto"/>
              <w:ind w:left="360"/>
              <w:rPr>
                <w:rFonts w:cs="Arial"/>
              </w:rPr>
            </w:pPr>
          </w:p>
          <w:p w14:paraId="37C4960C"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At initiation of shared care, communication to primary care should include current and ongoing dose, any relevant test results, and date the next monitoring is required. The specialist will retain the responsibility for monitoring the patient’s ongoing response to treatment, and advise if a dose change or treatment cessation is appropriate. This should usually be undertaken annually.</w:t>
            </w:r>
          </w:p>
          <w:p w14:paraId="01BE7CD8" w14:textId="0BBD1D29" w:rsidR="00E0175B" w:rsidRPr="002D255E" w:rsidRDefault="00E0175B" w:rsidP="00E0175B">
            <w:pPr>
              <w:autoSpaceDE w:val="0"/>
              <w:autoSpaceDN w:val="0"/>
              <w:adjustRightInd w:val="0"/>
              <w:spacing w:before="60" w:after="60" w:line="240" w:lineRule="auto"/>
              <w:contextualSpacing/>
              <w:rPr>
                <w:rFonts w:eastAsia="Times New Roman" w:cs="Arial"/>
                <w:szCs w:val="24"/>
                <w:lang w:eastAsia="en-GB"/>
              </w:rPr>
            </w:pPr>
            <w:r w:rsidRPr="002D255E">
              <w:rPr>
                <w:rFonts w:eastAsia="Times New Roman" w:cs="Arial"/>
                <w:lang w:eastAsia="en-GB"/>
              </w:rPr>
              <w:t xml:space="preserve">When a patient is reviewed, advise primary care whether treatment should be continued, confirm the ongoing dose, and whether the ongoing monitoring outlined in </w:t>
            </w:r>
            <w:hyperlink w:anchor="Nine_primary_care_monitoring" w:history="1">
              <w:r w:rsidRPr="002D255E">
                <w:rPr>
                  <w:rStyle w:val="Hyperlink"/>
                  <w:rFonts w:eastAsia="Times New Roman" w:cs="Arial"/>
                  <w:lang w:eastAsia="en-GB"/>
                </w:rPr>
                <w:t>section 9</w:t>
              </w:r>
            </w:hyperlink>
            <w:r w:rsidRPr="002D255E">
              <w:rPr>
                <w:rFonts w:eastAsia="Times New Roman" w:cs="Arial"/>
                <w:lang w:eastAsia="en-GB"/>
              </w:rPr>
              <w:t xml:space="preserve"> remains appropriate.</w:t>
            </w:r>
          </w:p>
        </w:tc>
      </w:tr>
      <w:tr w:rsidR="00E0175B" w:rsidRPr="002D255E" w14:paraId="6695C431" w14:textId="77777777" w:rsidTr="7234176C">
        <w:trPr>
          <w:jc w:val="center"/>
        </w:trPr>
        <w:tc>
          <w:tcPr>
            <w:tcW w:w="10455" w:type="dxa"/>
            <w:gridSpan w:val="3"/>
            <w:shd w:val="clear" w:color="auto" w:fill="F2F2F2" w:themeFill="background1" w:themeFillShade="F2"/>
          </w:tcPr>
          <w:p w14:paraId="631F17A8" w14:textId="533F0BDD" w:rsidR="00E0175B" w:rsidRPr="002D255E" w:rsidRDefault="00E0175B" w:rsidP="00E0175B">
            <w:pPr>
              <w:pStyle w:val="Heading1"/>
              <w:tabs>
                <w:tab w:val="right" w:pos="10238"/>
              </w:tabs>
              <w:spacing w:after="240"/>
              <w:rPr>
                <w:strike/>
                <w:lang w:eastAsia="en-GB"/>
              </w:rPr>
            </w:pPr>
            <w:bookmarkStart w:id="13" w:name="_Ongoing_monitoring_requirements"/>
            <w:bookmarkStart w:id="14" w:name="Nine_primary_care_monitoring"/>
            <w:bookmarkEnd w:id="13"/>
            <w:r w:rsidRPr="002D255E">
              <w:rPr>
                <w:lang w:eastAsia="en-GB"/>
              </w:rPr>
              <w:lastRenderedPageBreak/>
              <w:t xml:space="preserve">Ongoing monitoring requirements to be undertaken </w:t>
            </w:r>
            <w:r w:rsidRPr="002D255E">
              <w:rPr>
                <w:lang w:eastAsia="en-GB"/>
              </w:rPr>
              <w:br/>
              <w:t>by primary care</w:t>
            </w:r>
            <w:bookmarkEnd w:id="14"/>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25F94340" w14:textId="50E56A73" w:rsidR="00E0175B" w:rsidRPr="002D255E" w:rsidRDefault="00E0175B" w:rsidP="00E0175B">
            <w:pPr>
              <w:spacing w:after="0"/>
              <w:rPr>
                <w:b/>
                <w:szCs w:val="24"/>
                <w:lang w:eastAsia="en-GB"/>
              </w:rPr>
            </w:pPr>
            <w:r w:rsidRPr="002D255E">
              <w:rPr>
                <w:lang w:eastAsia="en-GB"/>
              </w:rPr>
              <w:t xml:space="preserve">See </w:t>
            </w:r>
            <w:hyperlink w:anchor="Ten_ADRs_and_Management" w:history="1">
              <w:r w:rsidRPr="002D255E">
                <w:rPr>
                  <w:rStyle w:val="Hyperlink"/>
                  <w:rFonts w:eastAsia="Times New Roman" w:cs="Arial"/>
                  <w:iCs/>
                  <w:lang w:eastAsia="en-GB"/>
                </w:rPr>
                <w:t>section 10</w:t>
              </w:r>
            </w:hyperlink>
            <w:r w:rsidRPr="002D255E">
              <w:rPr>
                <w:lang w:eastAsia="en-GB"/>
              </w:rPr>
              <w:t xml:space="preserve"> for further guidance on management of adverse effects/responding to monitoring results.</w:t>
            </w:r>
          </w:p>
        </w:tc>
      </w:tr>
      <w:tr w:rsidR="00E0175B" w:rsidRPr="002D255E" w14:paraId="636A3198" w14:textId="77777777" w:rsidTr="7234176C">
        <w:trPr>
          <w:trHeight w:val="140"/>
          <w:jc w:val="center"/>
        </w:trPr>
        <w:tc>
          <w:tcPr>
            <w:tcW w:w="5227" w:type="dxa"/>
            <w:gridSpan w:val="2"/>
            <w:shd w:val="clear" w:color="auto" w:fill="F2F2F2" w:themeFill="background1" w:themeFillShade="F2"/>
          </w:tcPr>
          <w:p w14:paraId="4512E5AE" w14:textId="07A0FCFB" w:rsidR="00E0175B" w:rsidRPr="002D255E" w:rsidRDefault="00E0175B" w:rsidP="00E0175B">
            <w:pPr>
              <w:keepNext/>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E0175B" w:rsidRPr="002D255E" w:rsidRDefault="00E0175B" w:rsidP="00E0175B">
            <w:pPr>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Frequency</w:t>
            </w:r>
          </w:p>
        </w:tc>
      </w:tr>
      <w:tr w:rsidR="00E0175B" w:rsidRPr="002D255E" w14:paraId="6767A09B" w14:textId="77777777" w:rsidTr="7234176C">
        <w:trPr>
          <w:trHeight w:val="140"/>
          <w:jc w:val="center"/>
        </w:trPr>
        <w:tc>
          <w:tcPr>
            <w:tcW w:w="5227" w:type="dxa"/>
            <w:gridSpan w:val="2"/>
            <w:shd w:val="clear" w:color="auto" w:fill="auto"/>
          </w:tcPr>
          <w:p w14:paraId="004FDD22" w14:textId="77777777"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FBC </w:t>
            </w:r>
          </w:p>
          <w:p w14:paraId="12E30CE3" w14:textId="77777777"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U&amp;Es including creatinine and CrCl</w:t>
            </w:r>
          </w:p>
          <w:p w14:paraId="2B722866" w14:textId="77777777"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b/>
                <w:lang w:eastAsia="en-GB"/>
              </w:rPr>
            </w:pPr>
            <w:r w:rsidRPr="002D255E">
              <w:rPr>
                <w:rFonts w:eastAsia="Times New Roman" w:cstheme="minorHAnsi"/>
                <w:color w:val="000000"/>
                <w:lang w:eastAsia="en-GB"/>
              </w:rPr>
              <w:t>ALT and/or AST and albumin</w:t>
            </w:r>
          </w:p>
          <w:p w14:paraId="5584A148" w14:textId="1D533DDA"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lastRenderedPageBreak/>
              <w:t xml:space="preserve">Rheumatology patients: CRP &amp;/or ESR; specialist to confirm </w:t>
            </w:r>
          </w:p>
          <w:p w14:paraId="37E7F176" w14:textId="7371CF04"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t>Psoriasis patients: serum PIIINP</w:t>
            </w:r>
            <w:r w:rsidR="00481CE2">
              <w:rPr>
                <w:rFonts w:eastAsia="Times New Roman" w:cstheme="minorHAnsi"/>
                <w:lang w:eastAsia="en-GB"/>
              </w:rPr>
              <w:t xml:space="preserve"> –</w:t>
            </w:r>
            <w:r w:rsidR="00761CC5" w:rsidRPr="00761CC5">
              <w:rPr>
                <w:rFonts w:eastAsia="Times New Roman" w:cstheme="minorHAnsi"/>
                <w:b/>
                <w:bCs/>
                <w:lang w:eastAsia="en-GB"/>
              </w:rPr>
              <w:t>this test remains with the specialist.</w:t>
            </w:r>
            <w:r w:rsidR="00CC5E40">
              <w:rPr>
                <w:rFonts w:eastAsia="Times New Roman" w:cstheme="minorHAnsi"/>
                <w:b/>
                <w:bCs/>
                <w:lang w:eastAsia="en-GB"/>
              </w:rPr>
              <w:t xml:space="preserve"> See section 8. </w:t>
            </w:r>
            <w:r w:rsidR="00761CC5">
              <w:rPr>
                <w:rFonts w:eastAsia="Times New Roman" w:cstheme="minorHAnsi"/>
                <w:lang w:eastAsia="en-GB"/>
              </w:rPr>
              <w:t xml:space="preserve"> </w:t>
            </w:r>
          </w:p>
        </w:tc>
        <w:tc>
          <w:tcPr>
            <w:tcW w:w="5228" w:type="dxa"/>
            <w:shd w:val="clear" w:color="auto" w:fill="auto"/>
          </w:tcPr>
          <w:p w14:paraId="49C0D784" w14:textId="77777777" w:rsidR="00E0175B" w:rsidRPr="002D255E" w:rsidRDefault="00E0175B" w:rsidP="00E0175B">
            <w:pPr>
              <w:spacing w:before="60" w:after="60" w:line="240" w:lineRule="auto"/>
              <w:rPr>
                <w:rFonts w:eastAsia="Times New Roman" w:cstheme="minorHAnsi"/>
                <w:iCs/>
                <w:color w:val="000000"/>
                <w:lang w:eastAsia="en-GB"/>
              </w:rPr>
            </w:pPr>
            <w:r w:rsidRPr="002D255E">
              <w:rPr>
                <w:rFonts w:eastAsia="Times New Roman" w:cstheme="minorHAnsi"/>
                <w:iCs/>
                <w:color w:val="000000"/>
                <w:lang w:eastAsia="en-GB"/>
              </w:rPr>
              <w:lastRenderedPageBreak/>
              <w:t>At least every 12 weeks, and more frequently in patients at higher risk of toxicity, as advised by the specialist team.</w:t>
            </w:r>
          </w:p>
          <w:p w14:paraId="5CBD5B62" w14:textId="0618C2A4" w:rsidR="00E0175B" w:rsidRPr="002D255E" w:rsidRDefault="00E0175B" w:rsidP="00E0175B">
            <w:pPr>
              <w:spacing w:after="0"/>
              <w:rPr>
                <w:rFonts w:cs="Arial"/>
                <w:b/>
                <w:szCs w:val="24"/>
                <w:lang w:eastAsia="en-GB"/>
              </w:rPr>
            </w:pPr>
            <w:r w:rsidRPr="002D255E">
              <w:rPr>
                <w:rFonts w:eastAsia="Times New Roman" w:cstheme="minorHAnsi"/>
                <w:b/>
                <w:iCs/>
                <w:color w:val="000000"/>
                <w:lang w:eastAsia="en-GB"/>
              </w:rPr>
              <w:lastRenderedPageBreak/>
              <w:t>The exact frequency of monitoring to be communicated by the specialist in all cases</w:t>
            </w:r>
            <w:r w:rsidRPr="002D255E">
              <w:rPr>
                <w:rFonts w:eastAsia="Times New Roman" w:cstheme="minorHAnsi"/>
                <w:iCs/>
                <w:color w:val="000000"/>
                <w:lang w:eastAsia="en-GB"/>
              </w:rPr>
              <w:t>.</w:t>
            </w:r>
          </w:p>
        </w:tc>
      </w:tr>
      <w:tr w:rsidR="00E0175B" w:rsidRPr="002D255E" w14:paraId="0F38AB0A" w14:textId="77777777" w:rsidTr="7234176C">
        <w:trPr>
          <w:trHeight w:val="140"/>
          <w:jc w:val="center"/>
        </w:trPr>
        <w:tc>
          <w:tcPr>
            <w:tcW w:w="5227" w:type="dxa"/>
            <w:gridSpan w:val="2"/>
            <w:shd w:val="clear" w:color="auto" w:fill="auto"/>
          </w:tcPr>
          <w:p w14:paraId="40A35A79" w14:textId="77777777" w:rsidR="00E0175B" w:rsidRPr="002D255E" w:rsidRDefault="00E0175B" w:rsidP="00E0175B">
            <w:pPr>
              <w:pStyle w:val="ListParagraph"/>
              <w:numPr>
                <w:ilvl w:val="0"/>
                <w:numId w:val="19"/>
              </w:numPr>
              <w:spacing w:after="0"/>
              <w:ind w:left="360"/>
              <w:rPr>
                <w:rFonts w:eastAsia="Times New Roman" w:cs="Arial"/>
                <w:bCs/>
                <w:iCs/>
                <w:color w:val="000000"/>
                <w:lang w:eastAsia="en-GB"/>
              </w:rPr>
            </w:pPr>
            <w:r w:rsidRPr="002D255E">
              <w:rPr>
                <w:rFonts w:eastAsia="Times New Roman" w:cs="Arial"/>
                <w:bCs/>
                <w:iCs/>
                <w:color w:val="000000"/>
                <w:lang w:eastAsia="en-GB"/>
              </w:rPr>
              <w:lastRenderedPageBreak/>
              <w:t xml:space="preserve">Patients aged 70-79 years old could be eligible for the shingles vaccine (herpes zoster). For patients on immunosuppressive therapy, a non-live vaccine may be indicated and specialist input may be required.  Refer to </w:t>
            </w:r>
            <w:hyperlink r:id="rId34" w:history="1">
              <w:r w:rsidRPr="002D255E">
                <w:rPr>
                  <w:rStyle w:val="Hyperlink"/>
                  <w:rFonts w:eastAsia="Times New Roman" w:cs="Arial"/>
                  <w:bCs/>
                  <w:iCs/>
                  <w:lang w:eastAsia="en-GB"/>
                </w:rPr>
                <w:t>Green Book Chapter 6 (Contraindications and special considerations)</w:t>
              </w:r>
            </w:hyperlink>
            <w:r w:rsidRPr="002D255E">
              <w:rPr>
                <w:rFonts w:eastAsia="Times New Roman" w:cs="Arial"/>
                <w:bCs/>
                <w:iCs/>
                <w:color w:val="000000"/>
                <w:u w:val="single"/>
                <w:lang w:eastAsia="en-GB"/>
              </w:rPr>
              <w:t xml:space="preserve"> and </w:t>
            </w:r>
            <w:hyperlink r:id="rId35" w:history="1">
              <w:r w:rsidRPr="002D255E">
                <w:rPr>
                  <w:rStyle w:val="Hyperlink"/>
                  <w:rFonts w:eastAsia="Times New Roman" w:cs="Arial"/>
                  <w:bCs/>
                  <w:iCs/>
                  <w:lang w:eastAsia="en-GB"/>
                </w:rPr>
                <w:t>Green Book Chapter 28a (Shingles)</w:t>
              </w:r>
            </w:hyperlink>
            <w:r w:rsidRPr="002D255E">
              <w:rPr>
                <w:rFonts w:eastAsia="Times New Roman" w:cs="Arial"/>
                <w:bCs/>
                <w:iCs/>
                <w:color w:val="000000"/>
                <w:lang w:eastAsia="en-GB"/>
              </w:rPr>
              <w:t xml:space="preserve"> for further details.</w:t>
            </w:r>
          </w:p>
          <w:p w14:paraId="55D2B297" w14:textId="77777777" w:rsidR="00E0175B" w:rsidRPr="002D255E" w:rsidRDefault="00E0175B" w:rsidP="00E0175B">
            <w:pPr>
              <w:pStyle w:val="ListParagraph"/>
              <w:numPr>
                <w:ilvl w:val="0"/>
                <w:numId w:val="19"/>
              </w:numPr>
              <w:spacing w:after="0"/>
              <w:ind w:left="360"/>
              <w:rPr>
                <w:rFonts w:eastAsia="Times New Roman" w:cs="Arial"/>
                <w:bCs/>
                <w:iCs/>
                <w:color w:val="000000"/>
                <w:lang w:eastAsia="en-GB"/>
              </w:rPr>
            </w:pPr>
            <w:r w:rsidRPr="002D255E">
              <w:rPr>
                <w:rFonts w:eastAsia="Times New Roman" w:cs="Arial"/>
                <w:b/>
                <w:bCs/>
                <w:iCs/>
                <w:color w:val="000000"/>
                <w:lang w:eastAsia="en-GB"/>
              </w:rPr>
              <w:t xml:space="preserve">Annual </w:t>
            </w:r>
            <w:r w:rsidRPr="002D255E">
              <w:rPr>
                <w:rFonts w:eastAsia="Times New Roman" w:cs="Arial"/>
                <w:bCs/>
                <w:iCs/>
                <w:color w:val="000000"/>
                <w:lang w:eastAsia="en-GB"/>
              </w:rPr>
              <w:t>influenza (</w:t>
            </w:r>
            <w:hyperlink r:id="rId36" w:history="1">
              <w:r w:rsidRPr="002D255E">
                <w:rPr>
                  <w:rStyle w:val="Hyperlink"/>
                  <w:rFonts w:eastAsia="Times New Roman" w:cs="Arial"/>
                  <w:bCs/>
                  <w:iCs/>
                  <w:lang w:eastAsia="en-GB"/>
                </w:rPr>
                <w:t>The Green Book, Chapter 19</w:t>
              </w:r>
            </w:hyperlink>
            <w:r w:rsidRPr="002D255E">
              <w:rPr>
                <w:rFonts w:eastAsia="Times New Roman" w:cs="Arial"/>
                <w:bCs/>
                <w:iCs/>
                <w:color w:val="000000"/>
                <w:lang w:eastAsia="en-GB"/>
              </w:rPr>
              <w:t>) vaccinations are recommended.</w:t>
            </w:r>
          </w:p>
          <w:p w14:paraId="0F1A3482" w14:textId="77777777" w:rsidR="00E0175B" w:rsidRPr="002D255E" w:rsidRDefault="00E0175B" w:rsidP="00E0175B">
            <w:pPr>
              <w:pStyle w:val="ListParagraph"/>
              <w:numPr>
                <w:ilvl w:val="0"/>
                <w:numId w:val="19"/>
              </w:numPr>
              <w:spacing w:after="0"/>
              <w:ind w:left="360"/>
              <w:rPr>
                <w:rFonts w:eastAsia="Times New Roman" w:cs="Arial"/>
                <w:bCs/>
                <w:iCs/>
                <w:color w:val="000000"/>
                <w:lang w:eastAsia="en-GB"/>
              </w:rPr>
            </w:pPr>
            <w:r w:rsidRPr="002D255E">
              <w:rPr>
                <w:rFonts w:eastAsia="Times New Roman" w:cs="Arial"/>
                <w:bCs/>
                <w:iCs/>
                <w:color w:val="000000"/>
                <w:lang w:eastAsia="en-GB"/>
              </w:rPr>
              <w:t>COVID-19 vaccination (</w:t>
            </w:r>
            <w:hyperlink r:id="rId37" w:history="1">
              <w:r w:rsidRPr="002D255E">
                <w:rPr>
                  <w:rStyle w:val="Hyperlink"/>
                  <w:rFonts w:eastAsia="Times New Roman" w:cs="Arial"/>
                  <w:bCs/>
                  <w:iCs/>
                  <w:lang w:eastAsia="en-GB"/>
                </w:rPr>
                <w:t>The Green Book, Chapter 14a</w:t>
              </w:r>
            </w:hyperlink>
            <w:r w:rsidRPr="002D255E">
              <w:rPr>
                <w:rFonts w:eastAsia="Times New Roman" w:cs="Arial"/>
                <w:bCs/>
                <w:iCs/>
                <w:color w:val="000000"/>
                <w:lang w:eastAsia="en-GB"/>
              </w:rPr>
              <w:t xml:space="preserve">) is safe and recommended. </w:t>
            </w:r>
          </w:p>
          <w:p w14:paraId="072D2682" w14:textId="7B5D170B" w:rsidR="00E0175B" w:rsidRPr="002D255E" w:rsidRDefault="00E0175B" w:rsidP="00E0175B">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2D255E">
              <w:rPr>
                <w:rFonts w:eastAsia="Times New Roman" w:cs="Arial"/>
                <w:bCs/>
                <w:iCs/>
                <w:color w:val="000000"/>
                <w:lang w:eastAsia="en-GB"/>
              </w:rPr>
              <w:t xml:space="preserve">Repeat pneumococcal vaccine may be indicated. See </w:t>
            </w:r>
            <w:hyperlink r:id="rId38" w:history="1">
              <w:r w:rsidRPr="002D255E">
                <w:rPr>
                  <w:rStyle w:val="Hyperlink"/>
                  <w:rFonts w:eastAsia="Times New Roman" w:cs="Arial"/>
                  <w:bCs/>
                  <w:iCs/>
                  <w:lang w:eastAsia="en-GB"/>
                </w:rPr>
                <w:t>Green Book Chapter 25</w:t>
              </w:r>
            </w:hyperlink>
            <w:r w:rsidRPr="002D255E">
              <w:rPr>
                <w:rFonts w:eastAsia="Times New Roman" w:cs="Arial"/>
                <w:bCs/>
                <w:iCs/>
                <w:color w:val="000000"/>
                <w:lang w:eastAsia="en-GB"/>
              </w:rPr>
              <w:t xml:space="preserve"> for advice.</w:t>
            </w:r>
          </w:p>
        </w:tc>
        <w:tc>
          <w:tcPr>
            <w:tcW w:w="5228" w:type="dxa"/>
            <w:shd w:val="clear" w:color="auto" w:fill="auto"/>
          </w:tcPr>
          <w:p w14:paraId="6C5FF1E4" w14:textId="77777777" w:rsidR="00E0175B" w:rsidRPr="002D255E" w:rsidRDefault="00E0175B" w:rsidP="00E0175B">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Shingles vaccination: one-off.</w:t>
            </w:r>
          </w:p>
          <w:p w14:paraId="37CFA2D4" w14:textId="4B70D8C4" w:rsidR="00E0175B" w:rsidRPr="002D255E" w:rsidRDefault="00E0175B" w:rsidP="00E0175B">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Influenza vaccination: annual. It is advisable to add the patient to the influenza vaccine list.</w:t>
            </w:r>
          </w:p>
          <w:p w14:paraId="6A2B03AB" w14:textId="33A6612E" w:rsidR="00E0175B" w:rsidRPr="002D255E" w:rsidRDefault="00E0175B" w:rsidP="00E0175B">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Other vaccinations as per national schedule.</w:t>
            </w:r>
          </w:p>
        </w:tc>
      </w:tr>
      <w:tr w:rsidR="00E0175B" w:rsidRPr="002D255E" w14:paraId="2C0454E3" w14:textId="77777777" w:rsidTr="7234176C">
        <w:trPr>
          <w:trHeight w:val="140"/>
          <w:jc w:val="center"/>
        </w:trPr>
        <w:tc>
          <w:tcPr>
            <w:tcW w:w="10455" w:type="dxa"/>
            <w:gridSpan w:val="3"/>
            <w:shd w:val="clear" w:color="auto" w:fill="auto"/>
          </w:tcPr>
          <w:p w14:paraId="08011160" w14:textId="1CEBF424" w:rsidR="00E0175B" w:rsidRPr="002D255E" w:rsidRDefault="00E0175B" w:rsidP="00E0175B">
            <w:pPr>
              <w:spacing w:after="0"/>
              <w:rPr>
                <w:rFonts w:cs="Arial"/>
                <w:b/>
                <w:bCs/>
                <w:lang w:eastAsia="en-GB"/>
              </w:rPr>
            </w:pPr>
            <w:r w:rsidRPr="002D255E">
              <w:rPr>
                <w:rFonts w:cs="Arial"/>
                <w:b/>
                <w:bCs/>
                <w:lang w:eastAsia="en-GB"/>
              </w:rPr>
              <w:t>(If relevant) If monitoring results are forwarded to the specialist team, please include clear clinical information on the reason for sending, to inform action to be taken by secondary care.</w:t>
            </w:r>
          </w:p>
        </w:tc>
      </w:tr>
      <w:tr w:rsidR="00E0175B" w:rsidRPr="002D255E" w14:paraId="042BD065" w14:textId="77777777" w:rsidTr="7234176C">
        <w:trPr>
          <w:jc w:val="center"/>
        </w:trPr>
        <w:tc>
          <w:tcPr>
            <w:tcW w:w="10455" w:type="dxa"/>
            <w:gridSpan w:val="3"/>
            <w:shd w:val="clear" w:color="auto" w:fill="F2F2F2" w:themeFill="background1" w:themeFillShade="F2"/>
          </w:tcPr>
          <w:p w14:paraId="32599F9D" w14:textId="4BCAEC5E" w:rsidR="00E0175B" w:rsidRPr="002D255E" w:rsidRDefault="00E0175B" w:rsidP="00E0175B">
            <w:pPr>
              <w:pStyle w:val="Heading1"/>
              <w:tabs>
                <w:tab w:val="right" w:pos="10238"/>
              </w:tabs>
              <w:ind w:left="599" w:hanging="599"/>
              <w:rPr>
                <w:lang w:eastAsia="en-GB"/>
              </w:rPr>
            </w:pPr>
            <w:bookmarkStart w:id="15" w:name="Ten_ADRs_and_Management"/>
            <w:r w:rsidRPr="002D255E">
              <w:rPr>
                <w:lang w:eastAsia="en-GB"/>
              </w:rPr>
              <w:t>Adverse effects and other management</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5"/>
          <w:p w14:paraId="334D0561" w14:textId="77777777" w:rsidR="00E0175B" w:rsidRPr="002D255E" w:rsidRDefault="00E0175B" w:rsidP="00E0175B">
            <w:pPr>
              <w:spacing w:after="120"/>
              <w:rPr>
                <w:rStyle w:val="Hyperlink"/>
                <w:rFonts w:eastAsia="Calibri" w:cs="Arial"/>
                <w:noProof/>
                <w:sz w:val="22"/>
                <w:lang w:eastAsia="en-GB"/>
              </w:rPr>
            </w:pPr>
            <w:r w:rsidRPr="002D255E">
              <w:rPr>
                <w:b/>
                <w:bCs/>
              </w:rPr>
              <w:t xml:space="preserve">Any serious adverse reactions should be reported to the MHRA via the Yellow Card scheme. Visit </w:t>
            </w:r>
            <w:hyperlink r:id="rId39" w:tooltip="http://www.mhra.gov.uk/yellowcard" w:history="1">
              <w:r w:rsidRPr="002D255E">
                <w:rPr>
                  <w:rStyle w:val="Hyperlink"/>
                  <w:rFonts w:eastAsia="Calibri" w:cs="Arial"/>
                  <w:noProof/>
                  <w:sz w:val="22"/>
                  <w:lang w:eastAsia="en-GB"/>
                </w:rPr>
                <w:t>www.mhra.gov.uk/yellowcard</w:t>
              </w:r>
            </w:hyperlink>
          </w:p>
          <w:p w14:paraId="6CDD62FF" w14:textId="2CD42EAF" w:rsidR="00E0175B" w:rsidRPr="002D255E" w:rsidRDefault="00E0175B" w:rsidP="00E0175B">
            <w:pPr>
              <w:spacing w:after="120"/>
              <w:rPr>
                <w:noProof/>
                <w:sz w:val="20"/>
                <w:szCs w:val="20"/>
                <w:lang w:eastAsia="en-GB"/>
              </w:rPr>
            </w:pPr>
            <w:r w:rsidRPr="002D255E">
              <w:rPr>
                <w:rStyle w:val="Hyperlink"/>
                <w:rFonts w:eastAsia="Calibri" w:cs="Arial"/>
                <w:noProof/>
                <w:color w:val="000000"/>
                <w:sz w:val="22"/>
                <w:u w:val="none"/>
                <w:lang w:eastAsia="en-GB"/>
              </w:rPr>
              <w:t>For information on incidence of ADRs see relevant summaries of product characteristics</w:t>
            </w:r>
          </w:p>
        </w:tc>
      </w:tr>
      <w:tr w:rsidR="00E0175B" w:rsidRPr="002D255E" w14:paraId="3C261EF2" w14:textId="77777777" w:rsidTr="7234176C">
        <w:trPr>
          <w:jc w:val="center"/>
        </w:trPr>
        <w:tc>
          <w:tcPr>
            <w:tcW w:w="5227" w:type="dxa"/>
            <w:gridSpan w:val="2"/>
            <w:shd w:val="clear" w:color="auto" w:fill="F2F2F2" w:themeFill="background1" w:themeFillShade="F2"/>
          </w:tcPr>
          <w:p w14:paraId="516C3772" w14:textId="24C8DC24" w:rsidR="00E0175B" w:rsidRPr="002D255E" w:rsidRDefault="00E0175B" w:rsidP="00E0175B">
            <w:pPr>
              <w:spacing w:after="0"/>
              <w:jc w:val="center"/>
              <w:rPr>
                <w:rFonts w:eastAsia="Times New Roman" w:cs="Arial"/>
                <w:b/>
                <w:lang w:eastAsia="en-GB"/>
              </w:rPr>
            </w:pPr>
            <w:r w:rsidRPr="002D255E">
              <w:rPr>
                <w:rFonts w:eastAsia="Times New Roman" w:cs="Arial"/>
                <w:b/>
                <w:lang w:eastAsia="en-GB"/>
              </w:rPr>
              <w:t>Result</w:t>
            </w:r>
          </w:p>
        </w:tc>
        <w:tc>
          <w:tcPr>
            <w:tcW w:w="5228" w:type="dxa"/>
            <w:shd w:val="clear" w:color="auto" w:fill="F2F2F2" w:themeFill="background1" w:themeFillShade="F2"/>
          </w:tcPr>
          <w:p w14:paraId="0CA8A09B" w14:textId="4301643C" w:rsidR="00E0175B" w:rsidRPr="002D255E" w:rsidRDefault="00E0175B" w:rsidP="00E0175B">
            <w:pPr>
              <w:spacing w:after="0"/>
              <w:jc w:val="center"/>
              <w:rPr>
                <w:rFonts w:eastAsia="Times New Roman" w:cs="Arial"/>
                <w:b/>
                <w:lang w:eastAsia="en-GB"/>
              </w:rPr>
            </w:pPr>
            <w:r w:rsidRPr="002D255E">
              <w:rPr>
                <w:rFonts w:eastAsia="Times New Roman" w:cs="Arial"/>
                <w:b/>
                <w:lang w:eastAsia="en-GB"/>
              </w:rPr>
              <w:t>Action for primary care</w:t>
            </w:r>
          </w:p>
        </w:tc>
      </w:tr>
      <w:tr w:rsidR="00E0175B" w:rsidRPr="002D255E" w14:paraId="6C44DC1D" w14:textId="77777777" w:rsidTr="7234176C">
        <w:trPr>
          <w:jc w:val="center"/>
        </w:trPr>
        <w:tc>
          <w:tcPr>
            <w:tcW w:w="10455" w:type="dxa"/>
            <w:gridSpan w:val="3"/>
            <w:shd w:val="clear" w:color="auto" w:fill="auto"/>
          </w:tcPr>
          <w:p w14:paraId="00D7A796" w14:textId="77777777" w:rsidR="00E0175B" w:rsidRPr="002D255E" w:rsidRDefault="00E0175B" w:rsidP="00E0175B">
            <w:pPr>
              <w:spacing w:after="0"/>
              <w:jc w:val="center"/>
              <w:rPr>
                <w:rFonts w:cs="Arial"/>
                <w:b/>
                <w:bCs/>
                <w:lang w:eastAsia="en-GB"/>
              </w:rPr>
            </w:pPr>
            <w:r w:rsidRPr="002D255E">
              <w:rPr>
                <w:rFonts w:cs="Arial"/>
                <w:b/>
                <w:bCs/>
                <w:lang w:eastAsia="en-GB"/>
              </w:rPr>
              <w:t>As well as responding to absolute values in laboratory tests, a rapid change or a consistent trend in any value should prompt caution and extra vigilance</w:t>
            </w:r>
          </w:p>
        </w:tc>
      </w:tr>
      <w:tr w:rsidR="00E0175B" w:rsidRPr="002D255E" w14:paraId="1FA82767" w14:textId="77777777" w:rsidTr="7234176C">
        <w:trPr>
          <w:trHeight w:val="78"/>
          <w:jc w:val="center"/>
        </w:trPr>
        <w:tc>
          <w:tcPr>
            <w:tcW w:w="5227" w:type="dxa"/>
            <w:gridSpan w:val="2"/>
            <w:shd w:val="clear" w:color="auto" w:fill="auto"/>
          </w:tcPr>
          <w:p w14:paraId="6DB655B7" w14:textId="77777777" w:rsidR="00E0175B" w:rsidRPr="002D255E" w:rsidRDefault="00E0175B" w:rsidP="00E0175B">
            <w:pPr>
              <w:numPr>
                <w:ilvl w:val="0"/>
                <w:numId w:val="12"/>
              </w:numPr>
              <w:spacing w:after="0"/>
              <w:rPr>
                <w:rFonts w:cs="Arial"/>
                <w:lang w:eastAsia="en-GB"/>
              </w:rPr>
            </w:pPr>
            <w:r w:rsidRPr="002D255E">
              <w:rPr>
                <w:rFonts w:cs="Arial"/>
                <w:lang w:eastAsia="en-GB"/>
              </w:rPr>
              <w:t xml:space="preserve">Full blood count: </w:t>
            </w:r>
          </w:p>
          <w:p w14:paraId="070338DB" w14:textId="77777777" w:rsidR="00E0175B" w:rsidRPr="002D255E" w:rsidRDefault="00E0175B" w:rsidP="00E0175B">
            <w:pPr>
              <w:numPr>
                <w:ilvl w:val="0"/>
                <w:numId w:val="32"/>
              </w:numPr>
              <w:spacing w:after="0"/>
              <w:rPr>
                <w:rFonts w:cs="Arial"/>
                <w:lang w:eastAsia="en-GB"/>
              </w:rPr>
            </w:pPr>
            <w:r w:rsidRPr="002D255E">
              <w:rPr>
                <w:rFonts w:cs="Arial"/>
                <w:lang w:eastAsia="en-GB"/>
              </w:rPr>
              <w:t>White blood cells less than 3.5x10</w:t>
            </w:r>
            <w:r w:rsidRPr="002D255E">
              <w:rPr>
                <w:rFonts w:cs="Arial"/>
                <w:vertAlign w:val="superscript"/>
                <w:lang w:eastAsia="en-GB"/>
              </w:rPr>
              <w:t>9</w:t>
            </w:r>
            <w:r w:rsidRPr="002D255E">
              <w:rPr>
                <w:rFonts w:cs="Arial"/>
                <w:lang w:eastAsia="en-GB"/>
              </w:rPr>
              <w:t>/L</w:t>
            </w:r>
          </w:p>
          <w:p w14:paraId="21A8E847" w14:textId="77777777" w:rsidR="00E0175B" w:rsidRPr="002D255E" w:rsidRDefault="00E0175B" w:rsidP="00E0175B">
            <w:pPr>
              <w:numPr>
                <w:ilvl w:val="0"/>
                <w:numId w:val="31"/>
              </w:numPr>
              <w:spacing w:after="0"/>
              <w:rPr>
                <w:rFonts w:cs="Arial"/>
                <w:lang w:eastAsia="en-GB"/>
              </w:rPr>
            </w:pPr>
            <w:r w:rsidRPr="002D255E">
              <w:rPr>
                <w:rFonts w:cs="Arial"/>
                <w:lang w:eastAsia="en-GB"/>
              </w:rPr>
              <w:t>Lymphocytes less than 0.5x10</w:t>
            </w:r>
            <w:r w:rsidRPr="002D255E">
              <w:rPr>
                <w:rFonts w:cs="Arial"/>
                <w:vertAlign w:val="superscript"/>
                <w:lang w:eastAsia="en-GB"/>
              </w:rPr>
              <w:t>9</w:t>
            </w:r>
            <w:r w:rsidRPr="002D255E">
              <w:rPr>
                <w:rFonts w:cs="Arial"/>
                <w:lang w:eastAsia="en-GB"/>
              </w:rPr>
              <w:t>/L</w:t>
            </w:r>
          </w:p>
          <w:p w14:paraId="67E3A08A" w14:textId="77777777" w:rsidR="00E0175B" w:rsidRPr="002D255E" w:rsidRDefault="00E0175B" w:rsidP="00E0175B">
            <w:pPr>
              <w:numPr>
                <w:ilvl w:val="0"/>
                <w:numId w:val="31"/>
              </w:numPr>
              <w:spacing w:after="0"/>
              <w:rPr>
                <w:rFonts w:cs="Arial"/>
                <w:lang w:eastAsia="en-GB"/>
              </w:rPr>
            </w:pPr>
            <w:r w:rsidRPr="002D255E">
              <w:rPr>
                <w:rFonts w:cs="Arial"/>
                <w:lang w:eastAsia="en-GB"/>
              </w:rPr>
              <w:lastRenderedPageBreak/>
              <w:t>Neutrophils less than 1.6x10</w:t>
            </w:r>
            <w:r w:rsidRPr="002D255E">
              <w:rPr>
                <w:rFonts w:cs="Arial"/>
                <w:vertAlign w:val="superscript"/>
                <w:lang w:eastAsia="en-GB"/>
              </w:rPr>
              <w:t>9</w:t>
            </w:r>
            <w:r w:rsidRPr="002D255E">
              <w:rPr>
                <w:rFonts w:cs="Arial"/>
                <w:lang w:eastAsia="en-GB"/>
              </w:rPr>
              <w:t>/L</w:t>
            </w:r>
          </w:p>
          <w:p w14:paraId="44B612DB" w14:textId="77777777" w:rsidR="00E0175B" w:rsidRPr="002D255E" w:rsidRDefault="00E0175B" w:rsidP="00E0175B">
            <w:pPr>
              <w:numPr>
                <w:ilvl w:val="0"/>
                <w:numId w:val="31"/>
              </w:numPr>
              <w:spacing w:after="0"/>
              <w:rPr>
                <w:rFonts w:cs="Arial"/>
                <w:lang w:eastAsia="en-GB"/>
              </w:rPr>
            </w:pPr>
            <w:r w:rsidRPr="002D255E">
              <w:rPr>
                <w:rFonts w:cs="Arial"/>
                <w:lang w:eastAsia="en-GB"/>
              </w:rPr>
              <w:t>Platelets less than 140x10</w:t>
            </w:r>
            <w:r w:rsidRPr="002D255E">
              <w:rPr>
                <w:rFonts w:cs="Arial"/>
                <w:vertAlign w:val="superscript"/>
                <w:lang w:eastAsia="en-GB"/>
              </w:rPr>
              <w:t>9</w:t>
            </w:r>
            <w:r w:rsidRPr="002D255E">
              <w:rPr>
                <w:rFonts w:cs="Arial"/>
                <w:lang w:eastAsia="en-GB"/>
              </w:rPr>
              <w:t>/L</w:t>
            </w:r>
          </w:p>
          <w:p w14:paraId="02EB5D0E" w14:textId="3BB25D67" w:rsidR="00E0175B" w:rsidRPr="002D255E" w:rsidRDefault="00E0175B" w:rsidP="00E0175B">
            <w:pPr>
              <w:numPr>
                <w:ilvl w:val="0"/>
                <w:numId w:val="31"/>
              </w:numPr>
              <w:spacing w:after="0"/>
              <w:rPr>
                <w:rFonts w:cs="Arial"/>
                <w:lang w:eastAsia="en-GB"/>
              </w:rPr>
            </w:pPr>
            <w:r w:rsidRPr="002D255E">
              <w:rPr>
                <w:rFonts w:cs="Arial"/>
                <w:lang w:eastAsia="en-GB"/>
              </w:rPr>
              <w:t>Eosinophilia greater than 0.5x10</w:t>
            </w:r>
            <w:r w:rsidRPr="002D255E">
              <w:rPr>
                <w:rFonts w:cs="Arial"/>
                <w:vertAlign w:val="superscript"/>
                <w:lang w:eastAsia="en-GB"/>
              </w:rPr>
              <w:t>9</w:t>
            </w:r>
            <w:r w:rsidRPr="002D255E">
              <w:rPr>
                <w:rFonts w:cs="Arial"/>
                <w:lang w:eastAsia="en-GB"/>
              </w:rPr>
              <w:t>/L</w:t>
            </w:r>
          </w:p>
        </w:tc>
        <w:tc>
          <w:tcPr>
            <w:tcW w:w="5228" w:type="dxa"/>
            <w:shd w:val="clear" w:color="auto" w:fill="auto"/>
          </w:tcPr>
          <w:p w14:paraId="17B09903" w14:textId="77777777" w:rsidR="00E0175B" w:rsidRPr="002D255E" w:rsidRDefault="00E0175B" w:rsidP="00E0175B">
            <w:pPr>
              <w:spacing w:after="0"/>
              <w:rPr>
                <w:rFonts w:eastAsia="Times New Roman" w:cs="Arial"/>
                <w:lang w:eastAsia="en-GB"/>
              </w:rPr>
            </w:pPr>
            <w:r w:rsidRPr="002D255E">
              <w:rPr>
                <w:rFonts w:eastAsia="Times New Roman" w:cs="Arial"/>
                <w:lang w:eastAsia="en-GB"/>
              </w:rPr>
              <w:lastRenderedPageBreak/>
              <w:t>Withhold and discuss with specialist team.</w:t>
            </w:r>
          </w:p>
          <w:p w14:paraId="6897B92F" w14:textId="7920D310" w:rsidR="00E0175B" w:rsidRPr="002D255E" w:rsidRDefault="00E0175B" w:rsidP="00E0175B">
            <w:pPr>
              <w:spacing w:after="0"/>
              <w:rPr>
                <w:rFonts w:eastAsia="Times New Roman" w:cs="Arial"/>
                <w:bCs/>
                <w:lang w:eastAsia="en-GB"/>
              </w:rPr>
            </w:pPr>
          </w:p>
        </w:tc>
      </w:tr>
      <w:tr w:rsidR="00E0175B" w:rsidRPr="002D255E" w14:paraId="66089C4A" w14:textId="77777777" w:rsidTr="7234176C">
        <w:trPr>
          <w:trHeight w:val="78"/>
          <w:jc w:val="center"/>
        </w:trPr>
        <w:tc>
          <w:tcPr>
            <w:tcW w:w="5227" w:type="dxa"/>
            <w:gridSpan w:val="2"/>
            <w:shd w:val="clear" w:color="auto" w:fill="auto"/>
          </w:tcPr>
          <w:p w14:paraId="786F5C7A" w14:textId="195D512F" w:rsidR="00E0175B" w:rsidRPr="002D255E" w:rsidRDefault="00E0175B" w:rsidP="00E0175B">
            <w:pPr>
              <w:spacing w:after="0"/>
              <w:rPr>
                <w:rFonts w:eastAsia="Times New Roman" w:cs="Arial"/>
                <w:b/>
                <w:lang w:eastAsia="en-GB"/>
              </w:rPr>
            </w:pPr>
            <w:r w:rsidRPr="002D255E">
              <w:rPr>
                <w:rFonts w:cstheme="minorHAnsi"/>
                <w:color w:val="000000"/>
              </w:rPr>
              <w:t>Mean cell volume  &gt;105 fL</w:t>
            </w:r>
          </w:p>
        </w:tc>
        <w:tc>
          <w:tcPr>
            <w:tcW w:w="5228" w:type="dxa"/>
            <w:shd w:val="clear" w:color="auto" w:fill="auto"/>
          </w:tcPr>
          <w:p w14:paraId="359BEDDB"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 xml:space="preserve">Consider interruption in treatment. </w:t>
            </w:r>
          </w:p>
          <w:p w14:paraId="469F3D89" w14:textId="3A00C333" w:rsidR="00E0175B" w:rsidRPr="002D255E" w:rsidRDefault="00E0175B" w:rsidP="00E0175B">
            <w:pPr>
              <w:spacing w:after="0"/>
              <w:rPr>
                <w:rFonts w:eastAsia="Times New Roman" w:cs="Arial"/>
                <w:b/>
                <w:lang w:eastAsia="en-GB"/>
              </w:rPr>
            </w:pPr>
            <w:r w:rsidRPr="002D255E">
              <w:rPr>
                <w:rFonts w:eastAsia="Times New Roman" w:cs="Arial"/>
                <w:bCs/>
                <w:lang w:eastAsia="en-GB"/>
              </w:rPr>
              <w:t>Check serum folate, B12, alcohol history and TSH and treat any underlying abnormality. If results of these additional investigations are normal discuss with specialist team urgently.</w:t>
            </w:r>
          </w:p>
        </w:tc>
      </w:tr>
      <w:tr w:rsidR="00E0175B" w:rsidRPr="002D255E" w14:paraId="602C2B8E" w14:textId="77777777" w:rsidTr="7234176C">
        <w:trPr>
          <w:trHeight w:val="78"/>
          <w:jc w:val="center"/>
        </w:trPr>
        <w:tc>
          <w:tcPr>
            <w:tcW w:w="5227" w:type="dxa"/>
            <w:gridSpan w:val="2"/>
            <w:shd w:val="clear" w:color="auto" w:fill="auto"/>
          </w:tcPr>
          <w:p w14:paraId="760699F1" w14:textId="0DD39FB4" w:rsidR="00E0175B" w:rsidRPr="002D255E" w:rsidRDefault="00E0175B" w:rsidP="00E0175B">
            <w:pPr>
              <w:spacing w:after="0"/>
              <w:rPr>
                <w:rFonts w:eastAsia="Times New Roman" w:cs="Arial"/>
                <w:bCs/>
                <w:lang w:eastAsia="en-GB"/>
              </w:rPr>
            </w:pPr>
            <w:r w:rsidRPr="002D255E">
              <w:rPr>
                <w:rFonts w:eastAsia="Times New Roman" w:cs="Arial"/>
                <w:bCs/>
                <w:lang w:eastAsia="en-GB"/>
              </w:rPr>
              <w:t>Signs or symptoms of bone marrow suppression, e.g. unexplained bleeding or bruising with or without sore throat, purpura, mouth ulcers.</w:t>
            </w:r>
          </w:p>
        </w:tc>
        <w:tc>
          <w:tcPr>
            <w:tcW w:w="5228" w:type="dxa"/>
            <w:shd w:val="clear" w:color="auto" w:fill="auto"/>
          </w:tcPr>
          <w:p w14:paraId="7360B5D2" w14:textId="5987EE6D" w:rsidR="00E0175B" w:rsidRPr="002D255E" w:rsidRDefault="00E0175B" w:rsidP="00E0175B">
            <w:pPr>
              <w:spacing w:after="0"/>
              <w:rPr>
                <w:rFonts w:eastAsia="Times New Roman" w:cs="Arial"/>
                <w:lang w:eastAsia="en-GB"/>
              </w:rPr>
            </w:pPr>
            <w:r w:rsidRPr="002D255E">
              <w:rPr>
                <w:rFonts w:eastAsia="Times New Roman" w:cs="Arial"/>
                <w:lang w:eastAsia="en-GB"/>
              </w:rPr>
              <w:t>Check FBC immediately, withhold treatment while awaiting results, and discuss with the specialist team. See haematological monitoring above.</w:t>
            </w:r>
          </w:p>
        </w:tc>
      </w:tr>
      <w:tr w:rsidR="00E0175B" w:rsidRPr="002D255E" w14:paraId="3ADBA703" w14:textId="77777777" w:rsidTr="7234176C">
        <w:trPr>
          <w:trHeight w:val="78"/>
          <w:jc w:val="center"/>
        </w:trPr>
        <w:tc>
          <w:tcPr>
            <w:tcW w:w="5227" w:type="dxa"/>
            <w:gridSpan w:val="2"/>
            <w:shd w:val="clear" w:color="auto" w:fill="auto"/>
          </w:tcPr>
          <w:p w14:paraId="7348BD5C" w14:textId="77777777" w:rsidR="00E0175B" w:rsidRPr="002D255E" w:rsidRDefault="00E0175B" w:rsidP="00E0175B">
            <w:pPr>
              <w:spacing w:after="0"/>
              <w:rPr>
                <w:rFonts w:eastAsia="Times New Roman" w:cs="Arial"/>
                <w:b/>
                <w:bCs/>
                <w:lang w:eastAsia="en-GB"/>
              </w:rPr>
            </w:pPr>
            <w:r w:rsidRPr="002D255E">
              <w:rPr>
                <w:rFonts w:eastAsia="Times New Roman" w:cs="Arial"/>
                <w:b/>
                <w:bCs/>
                <w:lang w:eastAsia="en-GB"/>
              </w:rPr>
              <w:t xml:space="preserve">Infections: </w:t>
            </w:r>
          </w:p>
          <w:p w14:paraId="54080CBD" w14:textId="4895765F" w:rsidR="00E0175B" w:rsidRPr="002D255E" w:rsidRDefault="00E0175B" w:rsidP="00E0175B">
            <w:pPr>
              <w:spacing w:after="0"/>
              <w:rPr>
                <w:rFonts w:eastAsia="Times New Roman" w:cs="Arial"/>
                <w:lang w:eastAsia="en-GB"/>
              </w:rPr>
            </w:pPr>
            <w:r w:rsidRPr="002D255E">
              <w:rPr>
                <w:rFonts w:eastAsia="Times New Roman" w:cs="Arial"/>
                <w:lang w:eastAsia="en-GB"/>
              </w:rPr>
              <w:t>Infection requiring antibiotics</w:t>
            </w:r>
          </w:p>
        </w:tc>
        <w:tc>
          <w:tcPr>
            <w:tcW w:w="5228" w:type="dxa"/>
            <w:shd w:val="clear" w:color="auto" w:fill="auto"/>
          </w:tcPr>
          <w:p w14:paraId="198FC094" w14:textId="0251C043" w:rsidR="00E0175B" w:rsidRPr="002D255E" w:rsidRDefault="00E0175B" w:rsidP="00E0175B">
            <w:pPr>
              <w:spacing w:after="0"/>
              <w:rPr>
                <w:rFonts w:eastAsia="Times New Roman" w:cs="Arial"/>
                <w:lang w:eastAsia="en-GB"/>
              </w:rPr>
            </w:pPr>
            <w:r w:rsidRPr="002D255E">
              <w:rPr>
                <w:rFonts w:eastAsia="Times New Roman" w:cs="Arial"/>
                <w:lang w:eastAsia="en-GB"/>
              </w:rPr>
              <w:t>Temporarily withhold methotrexate until the patient has recovered. Consider additional investigations (e.g. FBC), if clinically appropriate.</w:t>
            </w:r>
          </w:p>
        </w:tc>
      </w:tr>
      <w:tr w:rsidR="00E0175B" w:rsidRPr="002D255E" w14:paraId="60C0C622" w14:textId="77777777" w:rsidTr="7234176C">
        <w:trPr>
          <w:trHeight w:val="78"/>
          <w:jc w:val="center"/>
        </w:trPr>
        <w:tc>
          <w:tcPr>
            <w:tcW w:w="5227" w:type="dxa"/>
            <w:gridSpan w:val="2"/>
            <w:shd w:val="clear" w:color="auto" w:fill="auto"/>
          </w:tcPr>
          <w:p w14:paraId="3886BF9C" w14:textId="77777777" w:rsidR="00E0175B" w:rsidRPr="002D255E" w:rsidRDefault="00E0175B" w:rsidP="00E0175B">
            <w:pPr>
              <w:spacing w:after="0"/>
              <w:rPr>
                <w:rFonts w:eastAsia="Times New Roman" w:cs="Arial"/>
                <w:b/>
                <w:lang w:eastAsia="en-GB"/>
              </w:rPr>
            </w:pPr>
            <w:r w:rsidRPr="002D255E">
              <w:rPr>
                <w:rFonts w:eastAsia="Times New Roman" w:cs="Arial"/>
                <w:b/>
                <w:lang w:eastAsia="en-GB"/>
              </w:rPr>
              <w:t>Liver function tests:</w:t>
            </w:r>
          </w:p>
          <w:p w14:paraId="24718C48"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 xml:space="preserve">ALT or AST &gt;100 units/L, or any sudden increases (e.g. double of baseline), OR </w:t>
            </w:r>
          </w:p>
          <w:p w14:paraId="331F5A02"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Unexplained fall in serum albumin &lt;30g/L</w:t>
            </w:r>
          </w:p>
          <w:p w14:paraId="26B69ADA" w14:textId="54CCCCE0" w:rsidR="00E0175B" w:rsidRPr="002D255E" w:rsidRDefault="00E0175B" w:rsidP="00E0175B">
            <w:pPr>
              <w:spacing w:after="0"/>
              <w:rPr>
                <w:rFonts w:eastAsia="Times New Roman" w:cs="Arial"/>
                <w:b/>
                <w:lang w:eastAsia="en-GB"/>
              </w:rPr>
            </w:pPr>
            <w:r w:rsidRPr="002D255E">
              <w:rPr>
                <w:rFonts w:eastAsia="Times New Roman" w:cs="Arial"/>
                <w:bCs/>
                <w:lang w:eastAsia="en-GB"/>
              </w:rPr>
              <w:t>Jaundice</w:t>
            </w:r>
          </w:p>
        </w:tc>
        <w:tc>
          <w:tcPr>
            <w:tcW w:w="5228" w:type="dxa"/>
            <w:shd w:val="clear" w:color="auto" w:fill="auto"/>
          </w:tcPr>
          <w:p w14:paraId="3607E009"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Withhold and discuss with specialist team.</w:t>
            </w:r>
          </w:p>
          <w:p w14:paraId="17A2EF3D" w14:textId="672A8A0A" w:rsidR="00E0175B" w:rsidRPr="002D255E" w:rsidRDefault="00E0175B" w:rsidP="00E0175B">
            <w:pPr>
              <w:spacing w:after="0"/>
              <w:rPr>
                <w:rFonts w:eastAsia="Times New Roman" w:cs="Arial"/>
                <w:b/>
                <w:lang w:eastAsia="en-GB"/>
              </w:rPr>
            </w:pPr>
            <w:r w:rsidRPr="002D255E">
              <w:rPr>
                <w:rFonts w:eastAsia="Times New Roman" w:cs="Arial"/>
                <w:bCs/>
                <w:lang w:eastAsia="en-GB"/>
              </w:rPr>
              <w:t>Assess for other causes of hepatic dysfunction such as alcohol history and drug interactions, including OTC or complementary medication.</w:t>
            </w:r>
          </w:p>
        </w:tc>
      </w:tr>
      <w:tr w:rsidR="00E0175B" w:rsidRPr="002D255E" w14:paraId="121D5EF6" w14:textId="77777777" w:rsidTr="7234176C">
        <w:trPr>
          <w:trHeight w:val="78"/>
          <w:jc w:val="center"/>
        </w:trPr>
        <w:tc>
          <w:tcPr>
            <w:tcW w:w="5227" w:type="dxa"/>
            <w:gridSpan w:val="2"/>
            <w:shd w:val="clear" w:color="auto" w:fill="auto"/>
          </w:tcPr>
          <w:p w14:paraId="1BA32248" w14:textId="77777777" w:rsidR="00E0175B" w:rsidRPr="002D255E" w:rsidRDefault="00E0175B" w:rsidP="00E0175B">
            <w:pPr>
              <w:spacing w:after="0"/>
              <w:rPr>
                <w:rFonts w:cs="Arial"/>
                <w:b/>
                <w:lang w:eastAsia="en-GB"/>
              </w:rPr>
            </w:pPr>
            <w:r w:rsidRPr="002D255E">
              <w:rPr>
                <w:rFonts w:cs="Arial"/>
                <w:b/>
                <w:lang w:eastAsia="en-GB"/>
              </w:rPr>
              <w:t xml:space="preserve">PIIINP </w:t>
            </w:r>
            <w:r w:rsidRPr="002D255E">
              <w:rPr>
                <w:rFonts w:cs="Arial"/>
                <w:bCs/>
                <w:lang w:eastAsia="en-GB"/>
              </w:rPr>
              <w:t>(psoriasis only)</w:t>
            </w:r>
          </w:p>
          <w:p w14:paraId="5C66EA23" w14:textId="77777777" w:rsidR="00E0175B" w:rsidRPr="002D255E" w:rsidRDefault="00E0175B" w:rsidP="00E0175B">
            <w:pPr>
              <w:spacing w:after="0"/>
              <w:rPr>
                <w:rFonts w:cs="Arial"/>
                <w:bCs/>
                <w:lang w:eastAsia="en-GB"/>
              </w:rPr>
            </w:pPr>
            <w:r w:rsidRPr="002D255E">
              <w:rPr>
                <w:rFonts w:cs="Arial"/>
                <w:bCs/>
                <w:lang w:eastAsia="en-GB"/>
              </w:rPr>
              <w:t>Levels greater than:</w:t>
            </w:r>
          </w:p>
          <w:p w14:paraId="73313394" w14:textId="77777777" w:rsidR="00E0175B" w:rsidRPr="002D255E" w:rsidRDefault="00E0175B" w:rsidP="00E0175B">
            <w:pPr>
              <w:numPr>
                <w:ilvl w:val="0"/>
                <w:numId w:val="33"/>
              </w:numPr>
              <w:spacing w:after="0"/>
              <w:rPr>
                <w:rFonts w:cs="Arial"/>
                <w:bCs/>
                <w:lang w:eastAsia="en-GB"/>
              </w:rPr>
            </w:pPr>
            <w:r w:rsidRPr="002D255E">
              <w:rPr>
                <w:rFonts w:cs="Arial"/>
                <w:bCs/>
                <w:lang w:eastAsia="en-GB"/>
              </w:rPr>
              <w:t>10 mg/L on one occasion</w:t>
            </w:r>
          </w:p>
          <w:p w14:paraId="1D7035F5" w14:textId="77777777" w:rsidR="00E0175B" w:rsidRPr="002D255E" w:rsidRDefault="00E0175B" w:rsidP="00E0175B">
            <w:pPr>
              <w:numPr>
                <w:ilvl w:val="0"/>
                <w:numId w:val="33"/>
              </w:numPr>
              <w:spacing w:after="0"/>
              <w:rPr>
                <w:rFonts w:cs="Arial"/>
                <w:bCs/>
                <w:lang w:eastAsia="en-GB"/>
              </w:rPr>
            </w:pPr>
            <w:r w:rsidRPr="002D255E">
              <w:rPr>
                <w:rFonts w:cs="Arial"/>
                <w:bCs/>
                <w:lang w:eastAsia="en-GB"/>
              </w:rPr>
              <w:t>8.0 mg/L on two occasions</w:t>
            </w:r>
          </w:p>
          <w:p w14:paraId="44FF10ED" w14:textId="2110D2B5" w:rsidR="00E0175B" w:rsidRPr="002D255E" w:rsidRDefault="00E0175B" w:rsidP="00E0175B">
            <w:pPr>
              <w:numPr>
                <w:ilvl w:val="0"/>
                <w:numId w:val="33"/>
              </w:numPr>
              <w:spacing w:after="0"/>
              <w:rPr>
                <w:rFonts w:cs="Arial"/>
                <w:bCs/>
                <w:lang w:eastAsia="en-GB"/>
              </w:rPr>
            </w:pPr>
            <w:r w:rsidRPr="002D255E">
              <w:rPr>
                <w:rFonts w:cs="Arial"/>
                <w:bCs/>
                <w:lang w:eastAsia="en-GB"/>
              </w:rPr>
              <w:t>4.2 mg/L on three occasions in a 12 month period</w:t>
            </w:r>
          </w:p>
        </w:tc>
        <w:tc>
          <w:tcPr>
            <w:tcW w:w="5228" w:type="dxa"/>
            <w:shd w:val="clear" w:color="auto" w:fill="auto"/>
          </w:tcPr>
          <w:p w14:paraId="08391D15" w14:textId="5F7D1D95" w:rsidR="00E0175B" w:rsidRPr="002D255E" w:rsidRDefault="00E0175B" w:rsidP="00E0175B">
            <w:pPr>
              <w:spacing w:after="0"/>
              <w:rPr>
                <w:rFonts w:cs="Arial"/>
                <w:lang w:eastAsia="en-GB"/>
              </w:rPr>
            </w:pPr>
            <w:r w:rsidRPr="002D255E">
              <w:rPr>
                <w:rFonts w:cs="Arial"/>
                <w:lang w:eastAsia="en-GB"/>
              </w:rPr>
              <w:t>Discuss with specialist team, with urgency dictated by clinical condition and liver function test results.</w:t>
            </w:r>
          </w:p>
        </w:tc>
      </w:tr>
      <w:tr w:rsidR="00E0175B" w:rsidRPr="002D255E" w14:paraId="17877724" w14:textId="77777777" w:rsidTr="7234176C">
        <w:trPr>
          <w:trHeight w:val="78"/>
          <w:jc w:val="center"/>
        </w:trPr>
        <w:tc>
          <w:tcPr>
            <w:tcW w:w="5227" w:type="dxa"/>
            <w:gridSpan w:val="2"/>
            <w:tcBorders>
              <w:bottom w:val="single" w:sz="4" w:space="0" w:color="auto"/>
            </w:tcBorders>
            <w:shd w:val="clear" w:color="auto" w:fill="auto"/>
          </w:tcPr>
          <w:p w14:paraId="7DCD8487" w14:textId="77777777" w:rsidR="00E0175B" w:rsidRPr="002D255E" w:rsidRDefault="00E0175B" w:rsidP="00E0175B">
            <w:pPr>
              <w:spacing w:after="0"/>
              <w:rPr>
                <w:rFonts w:eastAsia="Times New Roman" w:cs="Arial"/>
                <w:lang w:eastAsia="en-GB"/>
              </w:rPr>
            </w:pPr>
            <w:r w:rsidRPr="002D255E">
              <w:rPr>
                <w:rFonts w:eastAsia="Times New Roman" w:cs="Arial"/>
                <w:b/>
                <w:lang w:eastAsia="en-GB"/>
              </w:rPr>
              <w:t>Renal function</w:t>
            </w:r>
            <w:r w:rsidRPr="002D255E">
              <w:rPr>
                <w:rFonts w:eastAsia="Times New Roman" w:cs="Arial"/>
                <w:lang w:eastAsia="en-GB"/>
              </w:rPr>
              <w:t xml:space="preserve">: </w:t>
            </w:r>
          </w:p>
          <w:p w14:paraId="0EC60364" w14:textId="50622BDF" w:rsidR="00E0175B" w:rsidRPr="002D255E" w:rsidRDefault="00E0175B" w:rsidP="00E0175B">
            <w:pPr>
              <w:spacing w:after="0"/>
              <w:rPr>
                <w:rFonts w:eastAsia="Times New Roman" w:cs="Arial"/>
                <w:lang w:eastAsia="en-GB"/>
              </w:rPr>
            </w:pPr>
            <w:r w:rsidRPr="002D255E">
              <w:rPr>
                <w:rFonts w:eastAsia="Times New Roman" w:cs="Arial"/>
                <w:lang w:eastAsia="en-GB"/>
              </w:rPr>
              <w:t>Creatinine increase of greater than 30% from baseline in the last 12 months, or CrCl reduces to &lt;60ml/min</w:t>
            </w:r>
          </w:p>
        </w:tc>
        <w:tc>
          <w:tcPr>
            <w:tcW w:w="5228" w:type="dxa"/>
            <w:tcBorders>
              <w:bottom w:val="single" w:sz="4" w:space="0" w:color="auto"/>
            </w:tcBorders>
            <w:shd w:val="clear" w:color="auto" w:fill="auto"/>
          </w:tcPr>
          <w:p w14:paraId="5D7CCB13" w14:textId="4D510ACE" w:rsidR="00E0175B" w:rsidRPr="002D255E" w:rsidRDefault="00E0175B" w:rsidP="00E0175B">
            <w:pPr>
              <w:spacing w:after="0"/>
              <w:rPr>
                <w:rFonts w:eastAsia="Times New Roman" w:cs="Arial"/>
                <w:lang w:eastAsia="en-GB"/>
              </w:rPr>
            </w:pPr>
            <w:r w:rsidRPr="002D255E">
              <w:rPr>
                <w:rFonts w:eastAsia="Times New Roman" w:cs="Arial"/>
                <w:lang w:eastAsia="en-GB"/>
              </w:rPr>
              <w:t>Withhold and discuss with specialist team.</w:t>
            </w:r>
          </w:p>
        </w:tc>
      </w:tr>
      <w:tr w:rsidR="00E0175B" w:rsidRPr="002D255E" w14:paraId="12B2F548" w14:textId="77777777" w:rsidTr="7234176C">
        <w:trPr>
          <w:trHeight w:val="78"/>
          <w:jc w:val="center"/>
        </w:trPr>
        <w:tc>
          <w:tcPr>
            <w:tcW w:w="5227" w:type="dxa"/>
            <w:gridSpan w:val="2"/>
            <w:tcBorders>
              <w:bottom w:val="single" w:sz="4" w:space="0" w:color="auto"/>
            </w:tcBorders>
            <w:shd w:val="clear" w:color="auto" w:fill="auto"/>
          </w:tcPr>
          <w:p w14:paraId="7FBF29D3" w14:textId="77777777" w:rsidR="00E0175B" w:rsidRPr="002D255E" w:rsidRDefault="00E0175B" w:rsidP="00E0175B">
            <w:pPr>
              <w:spacing w:after="0"/>
              <w:rPr>
                <w:rFonts w:eastAsia="Times New Roman" w:cs="Arial"/>
                <w:b/>
                <w:lang w:eastAsia="en-GB"/>
              </w:rPr>
            </w:pPr>
            <w:r w:rsidRPr="002D255E">
              <w:rPr>
                <w:rFonts w:eastAsia="Times New Roman" w:cs="Arial"/>
                <w:b/>
                <w:lang w:eastAsia="en-GB"/>
              </w:rPr>
              <w:t>Gastrointestinal disorders:</w:t>
            </w:r>
          </w:p>
          <w:p w14:paraId="63B47D09"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 xml:space="preserve">Nausea </w:t>
            </w:r>
          </w:p>
          <w:p w14:paraId="7B28C277" w14:textId="77777777" w:rsidR="00E0175B" w:rsidRPr="002D255E" w:rsidRDefault="00E0175B" w:rsidP="00E0175B">
            <w:pPr>
              <w:spacing w:after="0"/>
              <w:rPr>
                <w:rFonts w:eastAsia="Times New Roman" w:cs="Arial"/>
                <w:b/>
                <w:lang w:eastAsia="en-GB"/>
              </w:rPr>
            </w:pPr>
          </w:p>
        </w:tc>
        <w:tc>
          <w:tcPr>
            <w:tcW w:w="5228" w:type="dxa"/>
            <w:tcBorders>
              <w:bottom w:val="single" w:sz="4" w:space="0" w:color="auto"/>
            </w:tcBorders>
            <w:shd w:val="clear" w:color="auto" w:fill="auto"/>
          </w:tcPr>
          <w:p w14:paraId="65B959B2" w14:textId="35EEFB0F" w:rsidR="00E0175B" w:rsidRPr="002D255E" w:rsidRDefault="00E0175B" w:rsidP="00E0175B">
            <w:pPr>
              <w:tabs>
                <w:tab w:val="left" w:pos="1089"/>
              </w:tabs>
              <w:spacing w:after="0"/>
              <w:rPr>
                <w:rFonts w:eastAsia="Times New Roman" w:cs="Arial"/>
                <w:lang w:eastAsia="en-GB"/>
              </w:rPr>
            </w:pPr>
            <w:r w:rsidRPr="002D255E">
              <w:rPr>
                <w:rFonts w:eastAsia="Times New Roman" w:cstheme="minorHAnsi"/>
                <w:lang w:eastAsia="en-GB"/>
              </w:rPr>
              <w:t xml:space="preserve">Review for reversible causes and treat as appropriate. Enquire which day of the week the patient takes their methotrexate, and which day(s) they take folic acid and confirm against </w:t>
            </w:r>
            <w:r w:rsidRPr="002D255E">
              <w:rPr>
                <w:rFonts w:eastAsia="Times New Roman" w:cstheme="minorHAnsi"/>
                <w:lang w:eastAsia="en-GB"/>
              </w:rPr>
              <w:lastRenderedPageBreak/>
              <w:t>the patient’s records. Discuss with specialist team if persistent or severe. Switch to subcutaneous therapy may be indicated, under specialist advice.</w:t>
            </w:r>
          </w:p>
        </w:tc>
      </w:tr>
      <w:tr w:rsidR="00E0175B" w:rsidRPr="002D255E" w14:paraId="4BA0B447" w14:textId="77777777" w:rsidTr="7234176C">
        <w:trPr>
          <w:trHeight w:val="78"/>
          <w:jc w:val="center"/>
        </w:trPr>
        <w:tc>
          <w:tcPr>
            <w:tcW w:w="5227" w:type="dxa"/>
            <w:gridSpan w:val="2"/>
            <w:tcBorders>
              <w:bottom w:val="single" w:sz="4" w:space="0" w:color="auto"/>
            </w:tcBorders>
            <w:shd w:val="clear" w:color="auto" w:fill="auto"/>
          </w:tcPr>
          <w:p w14:paraId="5AB96B85" w14:textId="7C50F093" w:rsidR="00E0175B" w:rsidRPr="002D255E" w:rsidRDefault="00E0175B" w:rsidP="00E0175B">
            <w:pPr>
              <w:spacing w:after="0"/>
              <w:rPr>
                <w:rFonts w:eastAsia="Times New Roman" w:cs="Arial"/>
                <w:bCs/>
                <w:lang w:eastAsia="en-GB"/>
              </w:rPr>
            </w:pPr>
            <w:r w:rsidRPr="002D255E">
              <w:rPr>
                <w:rFonts w:eastAsia="Times New Roman" w:cs="Arial"/>
                <w:bCs/>
                <w:lang w:eastAsia="en-GB"/>
              </w:rPr>
              <w:lastRenderedPageBreak/>
              <w:t>Diarrhoea, ulcerative stomatitis, haematemesis, black or bloody stools, or suspected pancreatitis</w:t>
            </w:r>
          </w:p>
        </w:tc>
        <w:tc>
          <w:tcPr>
            <w:tcW w:w="5228" w:type="dxa"/>
            <w:tcBorders>
              <w:bottom w:val="single" w:sz="4" w:space="0" w:color="auto"/>
            </w:tcBorders>
            <w:shd w:val="clear" w:color="auto" w:fill="auto"/>
          </w:tcPr>
          <w:p w14:paraId="165EBDB6" w14:textId="62CCC177" w:rsidR="00E0175B" w:rsidRPr="002D255E" w:rsidRDefault="00E0175B" w:rsidP="00E0175B">
            <w:pPr>
              <w:tabs>
                <w:tab w:val="left" w:pos="1089"/>
              </w:tabs>
              <w:spacing w:after="0"/>
              <w:rPr>
                <w:rFonts w:eastAsia="Times New Roman" w:cstheme="minorHAnsi"/>
                <w:lang w:eastAsia="en-GB"/>
              </w:rPr>
            </w:pPr>
            <w:r w:rsidRPr="002D255E">
              <w:rPr>
                <w:rFonts w:eastAsia="Times New Roman" w:cstheme="minorHAnsi"/>
                <w:lang w:eastAsia="en-GB"/>
              </w:rPr>
              <w:t>Withhold and discuss with specialist team.</w:t>
            </w:r>
          </w:p>
        </w:tc>
      </w:tr>
      <w:tr w:rsidR="00E0175B" w:rsidRPr="002D255E" w14:paraId="6FCCE817" w14:textId="77777777" w:rsidTr="7234176C">
        <w:trPr>
          <w:trHeight w:val="78"/>
          <w:jc w:val="center"/>
        </w:trPr>
        <w:tc>
          <w:tcPr>
            <w:tcW w:w="5227" w:type="dxa"/>
            <w:gridSpan w:val="2"/>
            <w:tcBorders>
              <w:bottom w:val="single" w:sz="4" w:space="0" w:color="auto"/>
            </w:tcBorders>
            <w:shd w:val="clear" w:color="auto" w:fill="auto"/>
          </w:tcPr>
          <w:p w14:paraId="068F63E1" w14:textId="77777777" w:rsidR="00E0175B" w:rsidRPr="002D255E" w:rsidRDefault="00E0175B" w:rsidP="00E0175B">
            <w:pPr>
              <w:spacing w:after="0"/>
              <w:rPr>
                <w:rFonts w:eastAsia="Times New Roman" w:cs="Arial"/>
                <w:b/>
                <w:bCs/>
                <w:lang w:eastAsia="en-GB"/>
              </w:rPr>
            </w:pPr>
            <w:r w:rsidRPr="002D255E">
              <w:rPr>
                <w:rFonts w:eastAsia="Times New Roman" w:cs="Arial"/>
                <w:b/>
                <w:bCs/>
                <w:lang w:eastAsia="en-GB"/>
              </w:rPr>
              <w:t xml:space="preserve">Symptoms of interstitial lung disease </w:t>
            </w:r>
          </w:p>
          <w:p w14:paraId="320DD698" w14:textId="45F761B1" w:rsidR="00E0175B" w:rsidRPr="002D255E" w:rsidRDefault="00E0175B" w:rsidP="00E0175B">
            <w:pPr>
              <w:spacing w:after="0"/>
              <w:rPr>
                <w:rFonts w:eastAsia="Times New Roman" w:cs="Arial"/>
                <w:bCs/>
                <w:lang w:eastAsia="en-GB"/>
              </w:rPr>
            </w:pPr>
            <w:r w:rsidRPr="002D255E">
              <w:rPr>
                <w:rFonts w:eastAsia="Times New Roman" w:cs="Arial"/>
                <w:bCs/>
                <w:lang w:eastAsia="en-GB"/>
              </w:rPr>
              <w:t>e.g. persistent cough, dyspnoea, fever</w:t>
            </w:r>
          </w:p>
        </w:tc>
        <w:tc>
          <w:tcPr>
            <w:tcW w:w="5228" w:type="dxa"/>
            <w:tcBorders>
              <w:bottom w:val="single" w:sz="4" w:space="0" w:color="auto"/>
            </w:tcBorders>
            <w:shd w:val="clear" w:color="auto" w:fill="auto"/>
          </w:tcPr>
          <w:p w14:paraId="57EE6606" w14:textId="43BA30F7" w:rsidR="00E0175B" w:rsidRPr="002D255E" w:rsidRDefault="00E0175B" w:rsidP="00E0175B">
            <w:pPr>
              <w:tabs>
                <w:tab w:val="left" w:pos="1089"/>
              </w:tabs>
              <w:spacing w:after="0"/>
              <w:rPr>
                <w:rFonts w:eastAsia="Times New Roman" w:cstheme="minorHAnsi"/>
                <w:lang w:eastAsia="en-GB"/>
              </w:rPr>
            </w:pPr>
            <w:r w:rsidRPr="002D255E">
              <w:rPr>
                <w:rFonts w:eastAsia="Times New Roman" w:cstheme="minorHAnsi"/>
                <w:lang w:eastAsia="en-GB"/>
              </w:rPr>
              <w:t>If methotrexate-induced lung disease is suspected, discuss with specialist team urgently and withhold treatment. Treat with corticosteroids as directed by a specialist and do not restart methotrexate.</w:t>
            </w:r>
          </w:p>
        </w:tc>
      </w:tr>
      <w:tr w:rsidR="00E0175B" w:rsidRPr="002D255E" w14:paraId="782396B4" w14:textId="77777777" w:rsidTr="7234176C">
        <w:trPr>
          <w:trHeight w:val="78"/>
          <w:jc w:val="center"/>
        </w:trPr>
        <w:tc>
          <w:tcPr>
            <w:tcW w:w="5227" w:type="dxa"/>
            <w:gridSpan w:val="2"/>
            <w:tcBorders>
              <w:bottom w:val="single" w:sz="4" w:space="0" w:color="auto"/>
            </w:tcBorders>
            <w:shd w:val="clear" w:color="auto" w:fill="auto"/>
          </w:tcPr>
          <w:p w14:paraId="2BC768C6" w14:textId="3549CE78" w:rsidR="00E0175B" w:rsidRPr="002D255E" w:rsidRDefault="00E0175B" w:rsidP="00E0175B">
            <w:pPr>
              <w:spacing w:after="0"/>
              <w:rPr>
                <w:rFonts w:eastAsia="Times New Roman" w:cs="Arial"/>
                <w:bCs/>
                <w:lang w:eastAsia="en-GB"/>
              </w:rPr>
            </w:pPr>
            <w:r w:rsidRPr="002D255E">
              <w:rPr>
                <w:rFonts w:eastAsia="Times New Roman" w:cs="Arial"/>
                <w:b/>
                <w:bCs/>
                <w:lang w:eastAsia="en-GB"/>
              </w:rPr>
              <w:t>Photosensitivity</w:t>
            </w:r>
          </w:p>
        </w:tc>
        <w:tc>
          <w:tcPr>
            <w:tcW w:w="5228" w:type="dxa"/>
            <w:tcBorders>
              <w:bottom w:val="single" w:sz="4" w:space="0" w:color="auto"/>
            </w:tcBorders>
            <w:shd w:val="clear" w:color="auto" w:fill="auto"/>
          </w:tcPr>
          <w:p w14:paraId="1C0B4A06" w14:textId="6652ABF5" w:rsidR="00E0175B" w:rsidRPr="002D255E" w:rsidRDefault="00E0175B" w:rsidP="00E0175B">
            <w:pPr>
              <w:tabs>
                <w:tab w:val="left" w:pos="1089"/>
              </w:tabs>
              <w:spacing w:after="0"/>
              <w:rPr>
                <w:rFonts w:eastAsia="Times New Roman" w:cstheme="minorHAnsi"/>
                <w:lang w:eastAsia="en-GB"/>
              </w:rPr>
            </w:pPr>
            <w:r w:rsidRPr="002D255E">
              <w:rPr>
                <w:rFonts w:eastAsia="Times New Roman" w:cstheme="minorHAnsi"/>
                <w:lang w:eastAsia="en-GB"/>
              </w:rPr>
              <w:t>Continue methotrexate. Reinforce appropriate self-care e.g. sun avoidance and purchasing of a broad spectrum sunscreen (at least SPF30).</w:t>
            </w:r>
          </w:p>
        </w:tc>
      </w:tr>
      <w:tr w:rsidR="00E0175B" w:rsidRPr="002D255E" w14:paraId="6A873BD7" w14:textId="77777777" w:rsidTr="7234176C">
        <w:trPr>
          <w:trHeight w:val="78"/>
          <w:jc w:val="center"/>
        </w:trPr>
        <w:tc>
          <w:tcPr>
            <w:tcW w:w="5227" w:type="dxa"/>
            <w:gridSpan w:val="2"/>
            <w:tcBorders>
              <w:bottom w:val="single" w:sz="4" w:space="0" w:color="auto"/>
            </w:tcBorders>
            <w:shd w:val="clear" w:color="auto" w:fill="auto"/>
          </w:tcPr>
          <w:p w14:paraId="09B81C07" w14:textId="2D9B2C5A" w:rsidR="00E0175B" w:rsidRPr="002D255E" w:rsidRDefault="00E0175B" w:rsidP="00E0175B">
            <w:pPr>
              <w:spacing w:after="0"/>
              <w:rPr>
                <w:rFonts w:eastAsia="Times New Roman" w:cs="Arial"/>
                <w:bCs/>
                <w:lang w:eastAsia="en-GB"/>
              </w:rPr>
            </w:pPr>
            <w:r w:rsidRPr="002D255E">
              <w:rPr>
                <w:rFonts w:eastAsia="Times New Roman" w:cs="Arial"/>
                <w:b/>
                <w:bCs/>
                <w:lang w:eastAsia="en-GB"/>
              </w:rPr>
              <w:t>Pregnancy</w:t>
            </w:r>
          </w:p>
        </w:tc>
        <w:tc>
          <w:tcPr>
            <w:tcW w:w="5228" w:type="dxa"/>
            <w:tcBorders>
              <w:bottom w:val="single" w:sz="4" w:space="0" w:color="auto"/>
            </w:tcBorders>
            <w:shd w:val="clear" w:color="auto" w:fill="auto"/>
          </w:tcPr>
          <w:p w14:paraId="545C62D3" w14:textId="77777777" w:rsidR="00E0175B" w:rsidRPr="002D255E" w:rsidRDefault="00E0175B" w:rsidP="00E0175B">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pregnant patients, stop methotrexate immediately and prescribe folic acid 5 mg/day. Discuss with specialist team urgently.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 xml:space="preserve">. </w:t>
            </w:r>
          </w:p>
          <w:p w14:paraId="7717E3B3" w14:textId="61BABFC9" w:rsidR="00E0175B" w:rsidRPr="002D255E" w:rsidRDefault="00E0175B" w:rsidP="00E0175B">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pregnancies with paternal exposure,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w:t>
            </w:r>
          </w:p>
        </w:tc>
      </w:tr>
      <w:tr w:rsidR="00E0175B" w:rsidRPr="002D255E" w14:paraId="2008B3A6" w14:textId="77777777" w:rsidTr="7234176C">
        <w:trPr>
          <w:jc w:val="center"/>
        </w:trPr>
        <w:tc>
          <w:tcPr>
            <w:tcW w:w="10455" w:type="dxa"/>
            <w:gridSpan w:val="3"/>
            <w:tcBorders>
              <w:bottom w:val="nil"/>
            </w:tcBorders>
            <w:shd w:val="clear" w:color="auto" w:fill="F2F2F2" w:themeFill="background1" w:themeFillShade="F2"/>
          </w:tcPr>
          <w:p w14:paraId="077ED3AB" w14:textId="17AE4BBA" w:rsidR="00E0175B" w:rsidRPr="002D255E" w:rsidRDefault="00E0175B" w:rsidP="00E0175B">
            <w:pPr>
              <w:pStyle w:val="Heading1"/>
              <w:tabs>
                <w:tab w:val="right" w:pos="10240"/>
              </w:tabs>
              <w:ind w:left="599" w:hanging="599"/>
              <w:rPr>
                <w:lang w:eastAsia="en-GB"/>
              </w:rPr>
            </w:pPr>
            <w:bookmarkStart w:id="16" w:name="Eleven_advice_to_patients"/>
            <w:r w:rsidRPr="002D255E">
              <w:rPr>
                <w:lang w:eastAsia="en-GB"/>
              </w:rPr>
              <w:t>Advice to patients and carers</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6"/>
          <w:p w14:paraId="3F28EC94" w14:textId="278AF31B" w:rsidR="00E0175B" w:rsidRPr="002D255E" w:rsidRDefault="00E0175B" w:rsidP="00E0175B">
            <w:pPr>
              <w:rPr>
                <w:lang w:eastAsia="en-GB"/>
              </w:rPr>
            </w:pPr>
            <w:r w:rsidRPr="002D255E">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E0175B" w:rsidRPr="002D255E" w14:paraId="2A2B1EB7" w14:textId="77777777" w:rsidTr="7234176C">
        <w:trPr>
          <w:jc w:val="center"/>
        </w:trPr>
        <w:tc>
          <w:tcPr>
            <w:tcW w:w="10455" w:type="dxa"/>
            <w:gridSpan w:val="3"/>
            <w:tcBorders>
              <w:top w:val="nil"/>
              <w:bottom w:val="single" w:sz="4" w:space="0" w:color="auto"/>
            </w:tcBorders>
            <w:shd w:val="clear" w:color="auto" w:fill="auto"/>
          </w:tcPr>
          <w:p w14:paraId="429A3470" w14:textId="77777777" w:rsidR="00E0175B" w:rsidRPr="002D255E" w:rsidRDefault="00E0175B" w:rsidP="00E0175B">
            <w:pPr>
              <w:spacing w:before="60" w:after="60" w:line="240" w:lineRule="auto"/>
              <w:rPr>
                <w:rFonts w:eastAsia="Times New Roman" w:cs="Arial"/>
                <w:b/>
                <w:szCs w:val="24"/>
                <w:lang w:eastAsia="en-GB"/>
              </w:rPr>
            </w:pPr>
            <w:r w:rsidRPr="002D255E">
              <w:rPr>
                <w:rFonts w:eastAsia="Times New Roman" w:cs="Arial"/>
                <w:b/>
                <w:szCs w:val="24"/>
                <w:lang w:eastAsia="en-GB"/>
              </w:rPr>
              <w:t xml:space="preserve">The patient should be advised to report any of the following signs or symptoms to their primary care prescriber without delay:          </w:t>
            </w:r>
          </w:p>
          <w:p w14:paraId="30DA8986"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Symptoms of chickenpox, or contact with a person with chickenpox or shingles.</w:t>
            </w:r>
          </w:p>
          <w:p w14:paraId="4ADAB58B"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Persistent cough, shortness of breath, or any other problems with breathing.</w:t>
            </w:r>
          </w:p>
          <w:p w14:paraId="4373637F"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Sore throat, mouth ulcers, high temperature, skin rash, swollen glands, or any other signs or symptoms of infection</w:t>
            </w:r>
          </w:p>
          <w:p w14:paraId="3CBCDC59"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Signs or symptoms of liver problems, such as yellow skin or eyes (jaundice), itching all over, nausea or vomiting.</w:t>
            </w:r>
          </w:p>
          <w:p w14:paraId="345E1AAC"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Swelling of the hands, feet, or ankles</w:t>
            </w:r>
          </w:p>
          <w:p w14:paraId="1932183F"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Unexplained bleeding or bruising, black stools, or blood in the vomit or stools.</w:t>
            </w:r>
          </w:p>
          <w:p w14:paraId="31D8E19C"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 xml:space="preserve">Suspected or confirmed pregnancy. </w:t>
            </w:r>
          </w:p>
          <w:p w14:paraId="6853E467" w14:textId="77777777" w:rsidR="00E0175B" w:rsidRPr="002D255E" w:rsidRDefault="00E0175B" w:rsidP="00E0175B">
            <w:pPr>
              <w:spacing w:before="60" w:after="60" w:line="240" w:lineRule="auto"/>
              <w:rPr>
                <w:rFonts w:eastAsia="Times New Roman" w:cs="Arial"/>
                <w:szCs w:val="24"/>
                <w:lang w:eastAsia="en-GB"/>
              </w:rPr>
            </w:pPr>
          </w:p>
          <w:p w14:paraId="756E2F3D" w14:textId="77777777" w:rsidR="00E0175B" w:rsidRPr="002D255E" w:rsidRDefault="00E0175B" w:rsidP="00E0175B">
            <w:pPr>
              <w:spacing w:before="60" w:after="60" w:line="240" w:lineRule="auto"/>
              <w:rPr>
                <w:rFonts w:eastAsia="Times New Roman" w:cs="Arial"/>
                <w:b/>
                <w:szCs w:val="24"/>
                <w:lang w:eastAsia="en-GB"/>
              </w:rPr>
            </w:pPr>
            <w:r w:rsidRPr="002D255E">
              <w:rPr>
                <w:rFonts w:eastAsia="Times New Roman" w:cs="Arial"/>
                <w:b/>
                <w:szCs w:val="24"/>
                <w:lang w:eastAsia="en-GB"/>
              </w:rPr>
              <w:t>The patient and/or carer should be advised:</w:t>
            </w:r>
          </w:p>
          <w:p w14:paraId="1F171F9D"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What shared care means for their treatment, what to expect, and their responsibilities under shared care. </w:t>
            </w:r>
          </w:p>
          <w:p w14:paraId="5524859A"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Methotrexate is taken </w:t>
            </w:r>
            <w:r w:rsidRPr="002D255E">
              <w:rPr>
                <w:rFonts w:eastAsia="Times New Roman" w:cs="Arial"/>
                <w:b/>
                <w:szCs w:val="24"/>
                <w:u w:val="single"/>
                <w:lang w:eastAsia="en-GB"/>
              </w:rPr>
              <w:t>once weekly</w:t>
            </w:r>
            <w:r w:rsidRPr="002D255E">
              <w:rPr>
                <w:rFonts w:eastAsia="Times New Roman" w:cs="Arial"/>
                <w:szCs w:val="24"/>
                <w:lang w:eastAsia="en-GB"/>
              </w:rPr>
              <w:t xml:space="preserve">, and taking it more frequently can be dangerous. If a patient thinks they have taken too much methotrexate they should immediately seek advice from their prescriber, or NHS 111. </w:t>
            </w:r>
          </w:p>
          <w:p w14:paraId="75264E4B"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For patients taking tablets, that they will only ever be prescribed methotrexate 2.5 mg tablets. </w:t>
            </w:r>
            <w:r w:rsidRPr="002D255E">
              <w:rPr>
                <w:rFonts w:eastAsia="Times New Roman" w:cs="Arial"/>
                <w:b/>
                <w:szCs w:val="24"/>
                <w:u w:val="single"/>
                <w:lang w:eastAsia="en-GB"/>
              </w:rPr>
              <w:t>Patients who receive 10 mg tablets should always question the discrepancy</w:t>
            </w:r>
            <w:r w:rsidRPr="002D255E">
              <w:rPr>
                <w:rFonts w:eastAsia="Times New Roman" w:cs="Arial"/>
                <w:szCs w:val="24"/>
                <w:lang w:eastAsia="en-GB"/>
              </w:rPr>
              <w:t xml:space="preserve">. </w:t>
            </w:r>
          </w:p>
          <w:p w14:paraId="59967BEB"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Which day or days they should take their folic acid, with emphasis that methotrexate and folic acid should not be taken on the same day. </w:t>
            </w:r>
          </w:p>
          <w:p w14:paraId="7D1CDD21"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Moderate their alcohol intake to no more than 14 units per week while taking methotrexate.</w:t>
            </w:r>
            <w:r w:rsidRPr="002D255E">
              <w:rPr>
                <w:rFonts w:cs="Arial"/>
                <w:szCs w:val="24"/>
              </w:rPr>
              <w:t xml:space="preserve"> More information can be found at </w:t>
            </w:r>
            <w:hyperlink r:id="rId40" w:history="1">
              <w:r w:rsidRPr="002D255E">
                <w:rPr>
                  <w:rStyle w:val="Hyperlink"/>
                  <w:rFonts w:cs="Arial"/>
                  <w:szCs w:val="24"/>
                </w:rPr>
                <w:t>https://www.nhs.uk/live-well/alcohol-support/calculating-alcohol-units/</w:t>
              </w:r>
            </w:hyperlink>
            <w:r w:rsidRPr="002D255E">
              <w:rPr>
                <w:rFonts w:cs="Arial"/>
                <w:szCs w:val="24"/>
              </w:rPr>
              <w:t>.</w:t>
            </w:r>
            <w:r w:rsidRPr="002D255E">
              <w:rPr>
                <w:rFonts w:eastAsia="Times New Roman" w:cs="Arial"/>
                <w:szCs w:val="24"/>
                <w:lang w:eastAsia="en-GB"/>
              </w:rPr>
              <w:t xml:space="preserve"> Taking alcohol and methotrexate together increases the risk of liver injury. </w:t>
            </w:r>
          </w:p>
          <w:p w14:paraId="575C375E" w14:textId="77777777" w:rsidR="00E0175B" w:rsidRPr="002D255E" w:rsidRDefault="00E0175B" w:rsidP="00E0175B">
            <w:pPr>
              <w:pStyle w:val="Default"/>
              <w:numPr>
                <w:ilvl w:val="0"/>
                <w:numId w:val="3"/>
              </w:numPr>
              <w:spacing w:before="60" w:after="60"/>
              <w:ind w:left="357" w:hanging="357"/>
              <w:contextualSpacing/>
              <w:rPr>
                <w:bCs/>
                <w:color w:val="auto"/>
              </w:rPr>
            </w:pPr>
            <w:r w:rsidRPr="002D255E">
              <w:rPr>
                <w:bCs/>
                <w:iCs/>
                <w:color w:val="auto"/>
              </w:rPr>
              <w:t>Tell anyone who prescribes them a medicine that they are taking methotrexate. Always ask a pharmacist before purchasing any medicines over the counter, including herbal remedies, and ask if they are safe.</w:t>
            </w:r>
          </w:p>
          <w:p w14:paraId="07C4FF12"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Skin may be more sensitive to exposure to UV light while taking methotrexate. If this occurs use appropriate self-care: e.g. sun avoidance, protective clothing, avoiding tanning (including tanning beds) and to purchase and use a broad spectrum sunscreen (at least SPF30).  </w:t>
            </w:r>
          </w:p>
          <w:p w14:paraId="2B7A1AED"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To use effective contraception,</w:t>
            </w:r>
            <w:r w:rsidRPr="002D255E">
              <w:rPr>
                <w:rFonts w:cs="Arial"/>
                <w:szCs w:val="24"/>
              </w:rPr>
              <w:t xml:space="preserve"> and to </w:t>
            </w:r>
            <w:r w:rsidRPr="002D255E">
              <w:rPr>
                <w:rFonts w:eastAsia="Times New Roman" w:cs="Arial"/>
                <w:szCs w:val="24"/>
                <w:lang w:eastAsia="en-GB"/>
              </w:rPr>
              <w:t xml:space="preserve">take a pregnancy test if they think they could be pregnant. Patients should inform the specialist or GP immediately if they become pregnant. All patients, both men and women, should inform their specialist well in advance if they are planning a pregnancy so that changes can be made to their treatment regime. </w:t>
            </w:r>
          </w:p>
          <w:p w14:paraId="0667B138"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Not to drive or operate heavy machinery if methotrexate affects their ability to do so safely, e.g. due to fatigue or dizziness. </w:t>
            </w:r>
          </w:p>
          <w:p w14:paraId="530670E2"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cs="Arial"/>
                <w:bCs/>
                <w:szCs w:val="24"/>
              </w:rPr>
              <w:t>That vaccination in line with current national advice (e.g. for COVID-19, influenza) is safe and recommended.</w:t>
            </w:r>
          </w:p>
          <w:p w14:paraId="39256924" w14:textId="77777777" w:rsidR="00E0175B" w:rsidRPr="002D255E" w:rsidRDefault="00E0175B" w:rsidP="00E0175B">
            <w:pPr>
              <w:pStyle w:val="Default"/>
              <w:numPr>
                <w:ilvl w:val="0"/>
                <w:numId w:val="3"/>
              </w:numPr>
              <w:spacing w:before="60" w:after="60"/>
              <w:ind w:left="357" w:hanging="357"/>
              <w:contextualSpacing/>
              <w:rPr>
                <w:bCs/>
                <w:color w:val="auto"/>
              </w:rPr>
            </w:pPr>
            <w:r w:rsidRPr="002D255E">
              <w:rPr>
                <w:bCs/>
                <w:color w:val="auto"/>
              </w:rPr>
              <w:t>For patients taking 20mg/week or more: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6B3F5827" w14:textId="77777777" w:rsidR="00E0175B" w:rsidRPr="002D255E" w:rsidRDefault="00E0175B" w:rsidP="00E0175B">
            <w:pPr>
              <w:pStyle w:val="Default"/>
              <w:widowControl w:val="0"/>
              <w:numPr>
                <w:ilvl w:val="1"/>
                <w:numId w:val="3"/>
              </w:numPr>
              <w:spacing w:before="60" w:after="60"/>
              <w:contextualSpacing/>
              <w:rPr>
                <w:bCs/>
                <w:color w:val="auto"/>
              </w:rPr>
            </w:pPr>
            <w:r w:rsidRPr="002D255E">
              <w:rPr>
                <w:bCs/>
                <w:color w:val="auto"/>
              </w:rPr>
              <w:t xml:space="preserve">the </w:t>
            </w:r>
            <w:hyperlink r:id="rId41" w:history="1">
              <w:r w:rsidRPr="002D255E">
                <w:rPr>
                  <w:rStyle w:val="Hyperlink"/>
                  <w:bCs/>
                </w:rPr>
                <w:t>Green Book (Chapter 34)</w:t>
              </w:r>
            </w:hyperlink>
            <w:r w:rsidRPr="002D255E">
              <w:rPr>
                <w:bCs/>
                <w:color w:val="auto"/>
              </w:rPr>
              <w:t xml:space="preserve"> </w:t>
            </w:r>
          </w:p>
          <w:p w14:paraId="7825B458" w14:textId="4E1F2181" w:rsidR="00E0175B" w:rsidRPr="002D255E" w:rsidRDefault="00E0175B" w:rsidP="00E0175B">
            <w:pPr>
              <w:pStyle w:val="Default"/>
              <w:widowControl w:val="0"/>
              <w:numPr>
                <w:ilvl w:val="1"/>
                <w:numId w:val="3"/>
              </w:numPr>
              <w:spacing w:before="60" w:after="60"/>
              <w:contextualSpacing/>
              <w:rPr>
                <w:color w:val="auto"/>
              </w:rPr>
            </w:pPr>
            <w:r w:rsidRPr="002D255E">
              <w:rPr>
                <w:color w:val="auto"/>
              </w:rPr>
              <w:t xml:space="preserve">UKSHA guidance: </w:t>
            </w:r>
            <w:hyperlink r:id="rId42" w:history="1">
              <w:r w:rsidRPr="002D255E">
                <w:rPr>
                  <w:rStyle w:val="Hyperlink"/>
                </w:rPr>
                <w:t>Guidelines on post-exposure prophylaxis (PEP) for varicella/shingles April 2022</w:t>
              </w:r>
            </w:hyperlink>
            <w:r w:rsidRPr="002D255E">
              <w:rPr>
                <w:color w:val="auto"/>
              </w:rPr>
              <w:t xml:space="preserve"> </w:t>
            </w:r>
          </w:p>
          <w:p w14:paraId="4D60774D" w14:textId="77777777" w:rsidR="00E0175B" w:rsidRPr="002D255E" w:rsidRDefault="00E0175B" w:rsidP="00E0175B">
            <w:pPr>
              <w:spacing w:before="60" w:after="60" w:line="240" w:lineRule="auto"/>
              <w:rPr>
                <w:rFonts w:eastAsia="Times New Roman" w:cs="Arial"/>
                <w:szCs w:val="24"/>
                <w:lang w:eastAsia="en-GB"/>
              </w:rPr>
            </w:pPr>
          </w:p>
          <w:p w14:paraId="08CDA363" w14:textId="77777777" w:rsidR="00E0175B" w:rsidRPr="002D255E" w:rsidRDefault="00E0175B" w:rsidP="00E0175B">
            <w:pPr>
              <w:spacing w:before="60" w:after="60" w:line="240" w:lineRule="auto"/>
              <w:rPr>
                <w:rFonts w:eastAsia="Times New Roman" w:cs="Arial"/>
                <w:szCs w:val="24"/>
                <w:lang w:eastAsia="en-GB"/>
              </w:rPr>
            </w:pPr>
            <w:r w:rsidRPr="002D255E">
              <w:rPr>
                <w:rFonts w:eastAsia="Times New Roman" w:cs="Arial"/>
                <w:szCs w:val="24"/>
                <w:u w:val="single"/>
                <w:lang w:eastAsia="en-GB"/>
              </w:rPr>
              <w:t>Patient information</w:t>
            </w:r>
            <w:r w:rsidRPr="002D255E">
              <w:rPr>
                <w:rFonts w:eastAsia="Times New Roman" w:cs="Arial"/>
                <w:szCs w:val="24"/>
                <w:lang w:eastAsia="en-GB"/>
              </w:rPr>
              <w:t>:</w:t>
            </w:r>
          </w:p>
          <w:p w14:paraId="54A71DB2" w14:textId="5401BB58" w:rsidR="00E0175B" w:rsidRPr="002D255E" w:rsidRDefault="00E0175B" w:rsidP="00E0175B">
            <w:pPr>
              <w:autoSpaceDE w:val="0"/>
              <w:autoSpaceDN w:val="0"/>
              <w:adjustRightInd w:val="0"/>
              <w:spacing w:before="60" w:after="60"/>
              <w:rPr>
                <w:rFonts w:cs="Arial"/>
                <w:color w:val="000000"/>
                <w:szCs w:val="24"/>
              </w:rPr>
            </w:pPr>
            <w:r w:rsidRPr="002D255E">
              <w:rPr>
                <w:rFonts w:eastAsia="Times New Roman" w:cs="Arial"/>
                <w:color w:val="000000"/>
                <w:szCs w:val="24"/>
                <w:lang w:eastAsia="en-GB"/>
              </w:rPr>
              <w:t xml:space="preserve">General information: </w:t>
            </w:r>
            <w:hyperlink r:id="rId43" w:history="1">
              <w:r w:rsidRPr="002D255E">
                <w:rPr>
                  <w:rStyle w:val="Hyperlink"/>
                  <w:rFonts w:eastAsia="Times New Roman" w:cs="Arial"/>
                  <w:szCs w:val="24"/>
                  <w:lang w:eastAsia="en-GB"/>
                </w:rPr>
                <w:t>https://www.nhs.uk/medicines/methotrexate/</w:t>
              </w:r>
            </w:hyperlink>
            <w:r w:rsidRPr="002D255E">
              <w:rPr>
                <w:rFonts w:eastAsia="Times New Roman" w:cs="Arial"/>
                <w:color w:val="000000"/>
                <w:szCs w:val="24"/>
                <w:lang w:eastAsia="en-GB"/>
              </w:rPr>
              <w:t xml:space="preserve"> </w:t>
            </w:r>
          </w:p>
        </w:tc>
      </w:tr>
      <w:tr w:rsidR="00E0175B" w:rsidRPr="002D255E" w14:paraId="79305DF7" w14:textId="77777777" w:rsidTr="7234176C">
        <w:trPr>
          <w:jc w:val="center"/>
        </w:trPr>
        <w:tc>
          <w:tcPr>
            <w:tcW w:w="10455" w:type="dxa"/>
            <w:gridSpan w:val="3"/>
            <w:tcBorders>
              <w:bottom w:val="nil"/>
            </w:tcBorders>
            <w:shd w:val="clear" w:color="auto" w:fill="F2F2F2" w:themeFill="background1" w:themeFillShade="F2"/>
          </w:tcPr>
          <w:p w14:paraId="2E2ABBD7" w14:textId="4FC17E28" w:rsidR="00E0175B" w:rsidRPr="002D255E" w:rsidRDefault="00E0175B" w:rsidP="00E0175B">
            <w:pPr>
              <w:pStyle w:val="Heading1"/>
              <w:tabs>
                <w:tab w:val="right" w:pos="10240"/>
              </w:tabs>
              <w:ind w:left="599" w:hanging="599"/>
              <w:rPr>
                <w:lang w:eastAsia="en-GB"/>
              </w:rPr>
            </w:pPr>
            <w:bookmarkStart w:id="17" w:name="_Pregnancy,_paternal_exposure"/>
            <w:bookmarkStart w:id="18" w:name="Twelve_pregnancy_paternity"/>
            <w:bookmarkEnd w:id="17"/>
            <w:r w:rsidRPr="002D255E">
              <w:rPr>
                <w:lang w:eastAsia="en-GB"/>
              </w:rPr>
              <w:lastRenderedPageBreak/>
              <w:t>Pregnancy, paternal exposure and breast feeding</w:t>
            </w:r>
            <w:bookmarkEnd w:id="18"/>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B7A2D80" w14:textId="3874F34F" w:rsidR="00E0175B" w:rsidRPr="002D255E" w:rsidRDefault="00E0175B" w:rsidP="00E0175B">
            <w:pPr>
              <w:rPr>
                <w:color w:val="000000"/>
                <w:lang w:eastAsia="en-GB"/>
              </w:rPr>
            </w:pPr>
            <w:r w:rsidRPr="002D255E">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E0175B" w:rsidRPr="002D255E" w14:paraId="24C2F939" w14:textId="77777777" w:rsidTr="7234176C">
        <w:trPr>
          <w:jc w:val="center"/>
        </w:trPr>
        <w:tc>
          <w:tcPr>
            <w:tcW w:w="10455" w:type="dxa"/>
            <w:gridSpan w:val="3"/>
            <w:tcBorders>
              <w:top w:val="nil"/>
              <w:bottom w:val="single" w:sz="4" w:space="0" w:color="auto"/>
            </w:tcBorders>
            <w:shd w:val="clear" w:color="auto" w:fill="auto"/>
          </w:tcPr>
          <w:p w14:paraId="77378166" w14:textId="77777777" w:rsidR="00E0175B" w:rsidRPr="002D255E" w:rsidRDefault="00E0175B" w:rsidP="00E0175B">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Pregnancy</w:t>
            </w:r>
            <w:r w:rsidRPr="002D255E">
              <w:rPr>
                <w:rFonts w:eastAsia="Times New Roman" w:cstheme="minorHAnsi"/>
                <w:b/>
                <w:color w:val="000000"/>
                <w:lang w:eastAsia="en-GB"/>
              </w:rPr>
              <w:t>:</w:t>
            </w:r>
          </w:p>
          <w:p w14:paraId="276C2C07"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lastRenderedPageBreak/>
              <w:t xml:space="preserve">Methotrexate is contraindicated in pregnancy. It is cytotoxic, and is used for termination of pregnancy and to treat ectopic pregnancy. Pregnancy should be excluded prior to starting treatment. </w:t>
            </w:r>
          </w:p>
          <w:p w14:paraId="7BE1D9B0"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Patients of child bearing potential should use effective contraception during treatment and for 3 months afterwards. If a patient becomes pregnant within 3 months of treatment with methotrexate, folic acid 5 mg daily should be continued throughout the pregnancy. Those who wish to become pregnant should speak to their prescriber to discuss the possibility of switching to an alternative medicine. </w:t>
            </w:r>
          </w:p>
          <w:p w14:paraId="22692A47"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3787AAA7" w14:textId="77777777" w:rsidR="00E0175B" w:rsidRPr="002D255E" w:rsidRDefault="00E0175B" w:rsidP="00E0175B">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healthcare professionals: </w:t>
            </w:r>
            <w:hyperlink r:id="rId44" w:history="1">
              <w:r w:rsidRPr="002D255E">
                <w:rPr>
                  <w:rStyle w:val="Hyperlink"/>
                  <w:rFonts w:eastAsia="Times New Roman" w:cstheme="minorHAnsi"/>
                  <w:lang w:eastAsia="en-GB"/>
                </w:rPr>
                <w:t>https://www.medicinesinpregnancy.org/bumps/monographs/USE-OF-METHOTREXATE-IN-PREGNANCY/</w:t>
              </w:r>
            </w:hyperlink>
            <w:r w:rsidRPr="002D255E">
              <w:rPr>
                <w:rFonts w:eastAsia="Times New Roman" w:cstheme="minorHAnsi"/>
                <w:color w:val="000000"/>
                <w:lang w:eastAsia="en-GB"/>
              </w:rPr>
              <w:t xml:space="preserve"> </w:t>
            </w:r>
          </w:p>
          <w:p w14:paraId="6AAA9FBB" w14:textId="77777777" w:rsidR="00E0175B"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Information for patients and carers: </w:t>
            </w:r>
            <w:hyperlink r:id="rId45" w:history="1">
              <w:r w:rsidRPr="002D255E">
                <w:rPr>
                  <w:rStyle w:val="Hyperlink"/>
                  <w:rFonts w:eastAsia="Times New Roman" w:cstheme="minorHAnsi"/>
                  <w:lang w:eastAsia="en-GB"/>
                </w:rPr>
                <w:t>https://www.medicinesinpregnancy.org/Medicine--pregnancy/Methotrexate/</w:t>
              </w:r>
            </w:hyperlink>
            <w:r w:rsidRPr="002D255E">
              <w:rPr>
                <w:rFonts w:eastAsia="Times New Roman" w:cstheme="minorHAnsi"/>
                <w:color w:val="000000"/>
                <w:lang w:eastAsia="en-GB"/>
              </w:rPr>
              <w:t xml:space="preserve"> </w:t>
            </w:r>
          </w:p>
          <w:p w14:paraId="3A4C92A9" w14:textId="77777777" w:rsidR="009D46E0" w:rsidRDefault="009D46E0" w:rsidP="00E0175B">
            <w:pPr>
              <w:autoSpaceDE w:val="0"/>
              <w:autoSpaceDN w:val="0"/>
              <w:adjustRightInd w:val="0"/>
              <w:spacing w:before="60" w:after="60" w:line="240" w:lineRule="auto"/>
              <w:rPr>
                <w:rFonts w:eastAsia="Times New Roman" w:cstheme="minorHAnsi"/>
                <w:color w:val="000000"/>
                <w:lang w:eastAsia="en-GB"/>
              </w:rPr>
            </w:pPr>
          </w:p>
          <w:p w14:paraId="469B6998" w14:textId="76308020" w:rsidR="004F00A8" w:rsidRPr="002D255E" w:rsidRDefault="008A3E0F" w:rsidP="00E0175B">
            <w:pPr>
              <w:autoSpaceDE w:val="0"/>
              <w:autoSpaceDN w:val="0"/>
              <w:adjustRightInd w:val="0"/>
              <w:spacing w:before="60" w:after="60" w:line="240" w:lineRule="auto"/>
              <w:rPr>
                <w:rFonts w:eastAsia="Times New Roman" w:cstheme="minorHAnsi"/>
                <w:color w:val="FF0000"/>
                <w:lang w:eastAsia="en-GB"/>
              </w:rPr>
            </w:pPr>
            <w:r w:rsidRPr="00002FDA">
              <w:rPr>
                <w:rFonts w:eastAsia="Times New Roman" w:cstheme="minorHAnsi"/>
                <w:color w:val="000000"/>
                <w:lang w:eastAsia="en-GB"/>
              </w:rPr>
              <w:t>The</w:t>
            </w:r>
            <w:r w:rsidR="004F00A8" w:rsidRPr="00002FDA">
              <w:rPr>
                <w:rFonts w:eastAsia="Times New Roman" w:cstheme="minorHAnsi"/>
                <w:color w:val="000000"/>
                <w:lang w:eastAsia="en-GB"/>
              </w:rPr>
              <w:t xml:space="preserve"> British Society of Rheumatology </w:t>
            </w:r>
            <w:r w:rsidRPr="00002FDA">
              <w:rPr>
                <w:rFonts w:eastAsia="Times New Roman" w:cstheme="minorHAnsi"/>
                <w:color w:val="000000"/>
                <w:lang w:eastAsia="en-GB"/>
              </w:rPr>
              <w:t>provides</w:t>
            </w:r>
            <w:r w:rsidR="004F00A8" w:rsidRPr="00002FDA">
              <w:rPr>
                <w:rFonts w:eastAsia="Times New Roman" w:cstheme="minorHAnsi"/>
                <w:color w:val="000000"/>
                <w:lang w:eastAsia="en-GB"/>
              </w:rPr>
              <w:t xml:space="preserve"> </w:t>
            </w:r>
            <w:r w:rsidRPr="00002FDA">
              <w:rPr>
                <w:rFonts w:eastAsia="Times New Roman" w:cstheme="minorHAnsi"/>
                <w:color w:val="000000"/>
                <w:lang w:eastAsia="en-GB"/>
              </w:rPr>
              <w:t>further guidance</w:t>
            </w:r>
            <w:r w:rsidR="004F00A8" w:rsidRPr="00002FDA">
              <w:rPr>
                <w:rFonts w:eastAsia="Times New Roman" w:cstheme="minorHAnsi"/>
                <w:color w:val="000000"/>
                <w:lang w:eastAsia="en-GB"/>
              </w:rPr>
              <w:t xml:space="preserve"> on methotrexate and pregnancy</w:t>
            </w:r>
            <w:r w:rsidRPr="00002FDA">
              <w:rPr>
                <w:rFonts w:eastAsia="Times New Roman" w:cstheme="minorHAnsi"/>
                <w:color w:val="000000"/>
                <w:lang w:eastAsia="en-GB"/>
              </w:rPr>
              <w:t xml:space="preserve"> which clinicians may wish to consider</w:t>
            </w:r>
            <w:r w:rsidR="004F00A8" w:rsidRPr="00002FDA">
              <w:rPr>
                <w:rFonts w:eastAsia="Times New Roman" w:cstheme="minorHAnsi"/>
                <w:color w:val="000000"/>
                <w:lang w:eastAsia="en-GB"/>
              </w:rPr>
              <w:t xml:space="preserve"> available </w:t>
            </w:r>
            <w:r w:rsidR="0068176B" w:rsidRPr="00002FDA">
              <w:rPr>
                <w:rFonts w:eastAsia="Times New Roman" w:cstheme="minorHAnsi"/>
                <w:color w:val="000000"/>
                <w:lang w:eastAsia="en-GB"/>
              </w:rPr>
              <w:t xml:space="preserve">via the following link: </w:t>
            </w:r>
            <w:hyperlink r:id="rId46" w:history="1">
              <w:r w:rsidR="0068176B" w:rsidRPr="00002FDA">
                <w:rPr>
                  <w:rStyle w:val="Hyperlink"/>
                  <w:lang w:eastAsia="en-GB"/>
                </w:rPr>
                <w:t>https://academic.oup.com/rheumatology/article/55/9/1693/1744535</w:t>
              </w:r>
            </w:hyperlink>
          </w:p>
          <w:p w14:paraId="2EBECBAF"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u w:val="single"/>
                <w:lang w:eastAsia="en-GB"/>
              </w:rPr>
            </w:pPr>
          </w:p>
          <w:p w14:paraId="6898D0FD" w14:textId="77777777" w:rsidR="00E0175B" w:rsidRPr="002D255E" w:rsidRDefault="00E0175B" w:rsidP="00E0175B">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Breastfeeding</w:t>
            </w:r>
            <w:r w:rsidRPr="002D255E">
              <w:rPr>
                <w:rFonts w:eastAsia="Times New Roman" w:cstheme="minorHAnsi"/>
                <w:b/>
                <w:color w:val="000000"/>
                <w:lang w:eastAsia="en-GB"/>
              </w:rPr>
              <w:t>:</w:t>
            </w:r>
          </w:p>
          <w:p w14:paraId="499660A3"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 manufacturers contraindicate use of methotrexate while breastfeeding. The UK Drugs in Lactation Advisory Service recommends caution, and advises that breastfeeding should be avoided until at least 24 hours after a weekly dose not exceeding 25 mg. Infant blood counts should be monitored. Limited evidence indicates that small amounts are found in breast milk after weekly administration. </w:t>
            </w:r>
          </w:p>
          <w:p w14:paraId="2906282E"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6C4033D1" w14:textId="77777777" w:rsidR="00E0175B" w:rsidRPr="002D255E" w:rsidRDefault="00E0175B" w:rsidP="00E0175B">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healthcare professionals: </w:t>
            </w:r>
            <w:hyperlink r:id="rId47" w:history="1">
              <w:r w:rsidRPr="002D255E">
                <w:rPr>
                  <w:rStyle w:val="Hyperlink"/>
                  <w:rFonts w:eastAsia="Times New Roman" w:cstheme="minorHAnsi"/>
                  <w:lang w:eastAsia="en-GB"/>
                </w:rPr>
                <w:t>https://www.sps.nhs.uk/medicines/methotrexate/</w:t>
              </w:r>
            </w:hyperlink>
            <w:r w:rsidRPr="002D255E">
              <w:rPr>
                <w:rFonts w:eastAsia="Times New Roman" w:cstheme="minorHAnsi"/>
                <w:color w:val="000000"/>
                <w:lang w:eastAsia="en-GB"/>
              </w:rPr>
              <w:t xml:space="preserve"> </w:t>
            </w:r>
          </w:p>
          <w:p w14:paraId="7610C139"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7BD1A1E9"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Paternal exposure</w:t>
            </w:r>
            <w:r w:rsidRPr="002D255E">
              <w:rPr>
                <w:rFonts w:eastAsia="Times New Roman" w:cstheme="minorHAnsi"/>
                <w:color w:val="000000"/>
                <w:lang w:eastAsia="en-GB"/>
              </w:rPr>
              <w:t>:</w:t>
            </w:r>
          </w:p>
          <w:p w14:paraId="343D71BD"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There are hypothetical risks of genetic abnormalities in sperm which could potentially affect offspring conceived during treatment. Limited clinical evidence does not indicate an increased risk of malformations or miscarriage following paternal exposure to low-dose methotrexate (less than 30 mg/week). Where a couple wishes to attempt conception and the male partner’s condition is well-controlled with methotrexate, the UK Teratology Information Service recommends an assessment and discussion of the potential benefits and risks of continuing paternal treatment vs. discontinuation. This should be undertaken by the specialist, using a shared decision making approach. The risks to the fetus are theoretical rather than established. </w:t>
            </w:r>
          </w:p>
          <w:p w14:paraId="34413082"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Paternal methotrexate use at the time of conception is not an indication for additional fetal monitoring. However, other risk factors may be present in individual cases which may independently increase the risk of adverse pregnancy outcome. Clinicians are reminded of the importance of consideration of such factors when performing case-specific risk assessments.</w:t>
            </w:r>
          </w:p>
          <w:p w14:paraId="43EEC4B1"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39FC8F7F"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Information for healthcare professionals: </w:t>
            </w:r>
            <w:hyperlink r:id="rId48" w:history="1">
              <w:r w:rsidRPr="002D255E">
                <w:rPr>
                  <w:rStyle w:val="Hyperlink"/>
                  <w:rFonts w:eastAsia="Times New Roman" w:cstheme="minorHAnsi"/>
                  <w:lang w:eastAsia="en-GB"/>
                </w:rPr>
                <w:t>https://www.medicinesinpregnancy.org/bumps/monographs/PATERNAL-USE-OF-METHOTREXATE/</w:t>
              </w:r>
            </w:hyperlink>
            <w:r w:rsidRPr="002D255E">
              <w:rPr>
                <w:rFonts w:eastAsia="Times New Roman" w:cstheme="minorHAnsi"/>
                <w:color w:val="000000"/>
                <w:lang w:eastAsia="en-GB"/>
              </w:rPr>
              <w:t xml:space="preserve"> </w:t>
            </w:r>
          </w:p>
          <w:p w14:paraId="2919C2C5"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5C51CBEB"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Fertility</w:t>
            </w:r>
            <w:r w:rsidRPr="002D255E">
              <w:rPr>
                <w:rFonts w:eastAsia="Times New Roman" w:cstheme="minorHAnsi"/>
                <w:color w:val="000000"/>
                <w:lang w:eastAsia="en-GB"/>
              </w:rPr>
              <w:t>:</w:t>
            </w:r>
          </w:p>
          <w:p w14:paraId="28BE39FA" w14:textId="4908D3BB" w:rsidR="00E0175B" w:rsidRPr="002D255E" w:rsidRDefault="00E0175B" w:rsidP="00E0175B">
            <w:pPr>
              <w:autoSpaceDE w:val="0"/>
              <w:autoSpaceDN w:val="0"/>
              <w:adjustRightInd w:val="0"/>
              <w:spacing w:after="120"/>
              <w:rPr>
                <w:rFonts w:ascii="Calibri" w:hAnsi="Calibri" w:cs="Calibri"/>
                <w:color w:val="000000"/>
                <w:lang w:eastAsia="en-GB"/>
              </w:rPr>
            </w:pPr>
            <w:r w:rsidRPr="002D255E">
              <w:rPr>
                <w:rFonts w:eastAsia="Times New Roman" w:cstheme="minorHAnsi"/>
                <w:color w:val="000000"/>
                <w:lang w:eastAsia="en-GB"/>
              </w:rPr>
              <w:lastRenderedPageBreak/>
              <w:t>Methotrexate affects spermatogenesis and oogenesis and may decrease fertility. In humans, methotrexate has been reported to cause oligospermia, menstrual dysfunction and amenorrhoea. These effects appear to be reversible after discontinuation of therapy in most cases.</w:t>
            </w:r>
          </w:p>
        </w:tc>
      </w:tr>
    </w:tbl>
    <w:p w14:paraId="73A4DAE7" w14:textId="7F62EDF1" w:rsidR="00846A4A" w:rsidRPr="002D255E" w:rsidRDefault="00846A4A">
      <w:bookmarkStart w:id="19"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D255E" w14:paraId="3A78E10C" w14:textId="77777777" w:rsidTr="4718CE95">
        <w:trPr>
          <w:jc w:val="center"/>
        </w:trPr>
        <w:tc>
          <w:tcPr>
            <w:tcW w:w="10455" w:type="dxa"/>
            <w:tcBorders>
              <w:bottom w:val="nil"/>
            </w:tcBorders>
            <w:shd w:val="clear" w:color="auto" w:fill="F2F2F2" w:themeFill="background1" w:themeFillShade="F2"/>
          </w:tcPr>
          <w:p w14:paraId="2536982E" w14:textId="5A651A0A" w:rsidR="002C1756" w:rsidRPr="002D255E" w:rsidRDefault="002C1756" w:rsidP="007F3977">
            <w:pPr>
              <w:pStyle w:val="Heading1"/>
              <w:tabs>
                <w:tab w:val="right" w:pos="10238"/>
              </w:tabs>
              <w:ind w:left="599" w:hanging="599"/>
              <w:rPr>
                <w:lang w:eastAsia="en-GB"/>
              </w:rPr>
            </w:pPr>
            <w:r w:rsidRPr="002D255E">
              <w:rPr>
                <w:lang w:eastAsia="en-GB"/>
              </w:rPr>
              <w:t>Specialist contact information</w:t>
            </w:r>
            <w:bookmarkEnd w:id="19"/>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4CD4F732" w14:textId="77777777" w:rsidTr="4718CE95">
        <w:trPr>
          <w:jc w:val="center"/>
        </w:trPr>
        <w:tc>
          <w:tcPr>
            <w:tcW w:w="10455" w:type="dxa"/>
            <w:tcBorders>
              <w:top w:val="nil"/>
              <w:bottom w:val="single" w:sz="4" w:space="0" w:color="auto"/>
            </w:tcBorders>
            <w:shd w:val="clear" w:color="auto" w:fill="auto"/>
          </w:tcPr>
          <w:p w14:paraId="75E36945" w14:textId="3238AA34" w:rsidR="002C1756" w:rsidRPr="002D255E" w:rsidRDefault="002C1756" w:rsidP="002C1756">
            <w:pPr>
              <w:spacing w:before="60" w:after="60" w:line="240" w:lineRule="auto"/>
              <w:rPr>
                <w:rFonts w:eastAsia="Times New Roman" w:cs="Arial"/>
                <w:i/>
              </w:rPr>
            </w:pPr>
            <w:r w:rsidRPr="002D255E">
              <w:rPr>
                <w:rFonts w:eastAsia="Times New Roman" w:cs="Arial"/>
              </w:rPr>
              <w:t>Name:</w:t>
            </w:r>
            <w:r w:rsidR="00264E60">
              <w:t xml:space="preserve"> </w:t>
            </w:r>
            <w:permStart w:id="481968869" w:edGrp="everyone"/>
            <w:r w:rsidR="00264E60" w:rsidRPr="00264E60">
              <w:rPr>
                <w:rFonts w:eastAsia="Times New Roman" w:cs="Arial"/>
                <w:i/>
                <w:iCs/>
              </w:rPr>
              <w:t>[insert name]</w:t>
            </w:r>
            <w:r w:rsidRPr="00264E60">
              <w:rPr>
                <w:rFonts w:eastAsia="Times New Roman" w:cs="Arial"/>
                <w:i/>
                <w:iCs/>
              </w:rPr>
              <w:t xml:space="preserve"> </w:t>
            </w:r>
            <w:permEnd w:id="481968869"/>
          </w:p>
          <w:p w14:paraId="304A730E" w14:textId="0B36CA8D" w:rsidR="002C1756" w:rsidRPr="002D255E" w:rsidRDefault="002C1756" w:rsidP="002C1756">
            <w:pPr>
              <w:spacing w:before="60" w:after="60" w:line="240" w:lineRule="auto"/>
              <w:rPr>
                <w:rFonts w:eastAsia="Times New Roman" w:cs="Arial"/>
              </w:rPr>
            </w:pPr>
            <w:r w:rsidRPr="002D255E">
              <w:rPr>
                <w:rFonts w:eastAsia="Times New Roman" w:cs="Arial"/>
              </w:rPr>
              <w:t>Role and specialty:</w:t>
            </w:r>
            <w:r w:rsidR="00264E60">
              <w:rPr>
                <w:rFonts w:eastAsia="Times New Roman" w:cs="Arial"/>
              </w:rPr>
              <w:t xml:space="preserve"> </w:t>
            </w:r>
            <w:permStart w:id="1933004804" w:edGrp="everyone"/>
            <w:r w:rsidR="00264E60" w:rsidRPr="00264E60">
              <w:rPr>
                <w:rFonts w:eastAsia="Times New Roman" w:cs="Arial"/>
                <w:i/>
                <w:iCs/>
              </w:rPr>
              <w:t>[insert role and specialty]</w:t>
            </w:r>
            <w:r w:rsidRPr="00264E60">
              <w:rPr>
                <w:rFonts w:eastAsia="Times New Roman" w:cs="Arial"/>
                <w:i/>
                <w:iCs/>
              </w:rPr>
              <w:t xml:space="preserve"> </w:t>
            </w:r>
            <w:permEnd w:id="1933004804"/>
          </w:p>
          <w:p w14:paraId="332CA4A5" w14:textId="4E728CA9" w:rsidR="002C1756" w:rsidRPr="002D255E" w:rsidRDefault="002C1756" w:rsidP="002C1756">
            <w:pPr>
              <w:spacing w:before="60" w:after="60" w:line="240" w:lineRule="auto"/>
              <w:rPr>
                <w:rFonts w:eastAsia="Times New Roman" w:cs="Arial"/>
                <w:i/>
              </w:rPr>
            </w:pPr>
            <w:r w:rsidRPr="002D255E">
              <w:rPr>
                <w:rFonts w:eastAsia="Times New Roman" w:cs="Arial"/>
              </w:rPr>
              <w:t xml:space="preserve">Daytime telephone number: </w:t>
            </w:r>
            <w:permStart w:id="1074600842" w:edGrp="everyone"/>
            <w:r w:rsidR="00264E60" w:rsidRPr="00264E60">
              <w:rPr>
                <w:rFonts w:eastAsia="Times New Roman" w:cs="Arial"/>
              </w:rPr>
              <w:t>[insert daytime telephone number]</w:t>
            </w:r>
            <w:r w:rsidR="007B3472" w:rsidRPr="002D255E">
              <w:rPr>
                <w:rFonts w:eastAsia="Times New Roman" w:cs="Arial"/>
                <w:i/>
              </w:rPr>
              <w:t xml:space="preserve"> </w:t>
            </w:r>
            <w:permEnd w:id="1074600842"/>
          </w:p>
          <w:p w14:paraId="52B52F7F" w14:textId="162012F0" w:rsidR="002C1756" w:rsidRPr="002D255E" w:rsidRDefault="002C1756" w:rsidP="002C1756">
            <w:pPr>
              <w:spacing w:before="60" w:after="60" w:line="240" w:lineRule="auto"/>
              <w:rPr>
                <w:rFonts w:eastAsia="Times New Roman" w:cs="Arial"/>
                <w:i/>
              </w:rPr>
            </w:pPr>
            <w:r w:rsidRPr="002D255E">
              <w:rPr>
                <w:rFonts w:eastAsia="Times New Roman" w:cs="Arial"/>
              </w:rPr>
              <w:t>Email address:</w:t>
            </w:r>
            <w:r w:rsidR="007B3472">
              <w:t xml:space="preserve"> </w:t>
            </w:r>
            <w:permStart w:id="826828674" w:edGrp="everyone"/>
            <w:r w:rsidR="007B3472" w:rsidRPr="007B3472">
              <w:rPr>
                <w:rFonts w:eastAsia="Times New Roman" w:cs="Arial"/>
                <w:i/>
                <w:iCs/>
              </w:rPr>
              <w:t>[insert email address]</w:t>
            </w:r>
            <w:r w:rsidR="007B3472" w:rsidRPr="002D255E">
              <w:rPr>
                <w:rFonts w:eastAsia="Times New Roman" w:cs="Arial"/>
                <w:i/>
              </w:rPr>
              <w:t xml:space="preserve"> </w:t>
            </w:r>
            <w:permEnd w:id="826828674"/>
          </w:p>
          <w:p w14:paraId="0BEC0803" w14:textId="376464F1" w:rsidR="002C1756" w:rsidRPr="002D255E" w:rsidRDefault="002C1756" w:rsidP="002C1756">
            <w:pPr>
              <w:spacing w:before="60" w:after="60" w:line="240" w:lineRule="auto"/>
              <w:rPr>
                <w:rFonts w:eastAsia="Times New Roman" w:cs="Arial"/>
              </w:rPr>
            </w:pPr>
            <w:r w:rsidRPr="002D255E">
              <w:rPr>
                <w:rFonts w:eastAsia="Times New Roman" w:cs="Arial"/>
              </w:rPr>
              <w:t xml:space="preserve">Alternative contact: </w:t>
            </w:r>
            <w:permStart w:id="2041782657" w:edGrp="everyone"/>
            <w:r w:rsidR="007B3472" w:rsidRPr="007B3472">
              <w:rPr>
                <w:rFonts w:eastAsia="Times New Roman" w:cs="Arial"/>
                <w:i/>
                <w:iCs/>
              </w:rPr>
              <w:t xml:space="preserve">[insert contact information, </w:t>
            </w:r>
            <w:proofErr w:type="gramStart"/>
            <w:r w:rsidR="007B3472" w:rsidRPr="007B3472">
              <w:rPr>
                <w:rFonts w:eastAsia="Times New Roman" w:cs="Arial"/>
                <w:i/>
                <w:iCs/>
              </w:rPr>
              <w:t>e.g.</w:t>
            </w:r>
            <w:proofErr w:type="gramEnd"/>
            <w:r w:rsidR="007B3472" w:rsidRPr="007B3472">
              <w:rPr>
                <w:rFonts w:eastAsia="Times New Roman" w:cs="Arial"/>
                <w:i/>
                <w:iCs/>
              </w:rPr>
              <w:t xml:space="preserve"> for clinic or specialist nurse]</w:t>
            </w:r>
            <w:r w:rsidR="007B3472" w:rsidRPr="002D255E">
              <w:rPr>
                <w:rFonts w:eastAsia="Times New Roman" w:cs="Arial"/>
              </w:rPr>
              <w:t xml:space="preserve"> </w:t>
            </w:r>
            <w:permEnd w:id="2041782657"/>
          </w:p>
          <w:p w14:paraId="68E5A417" w14:textId="1114C101" w:rsidR="002C1756" w:rsidRPr="002D255E" w:rsidRDefault="002C1756" w:rsidP="002C1756">
            <w:pPr>
              <w:spacing w:before="60" w:after="60" w:line="240" w:lineRule="auto"/>
              <w:rPr>
                <w:rFonts w:eastAsia="Times New Roman" w:cs="Arial"/>
                <w:i/>
              </w:rPr>
            </w:pPr>
            <w:r w:rsidRPr="002D255E">
              <w:rPr>
                <w:rFonts w:eastAsia="Times New Roman" w:cs="Arial"/>
              </w:rPr>
              <w:t>Out of hours contact details:</w:t>
            </w:r>
            <w:r w:rsidR="007B3472">
              <w:rPr>
                <w:rFonts w:eastAsia="Times New Roman" w:cs="Arial"/>
              </w:rPr>
              <w:t xml:space="preserve"> </w:t>
            </w:r>
            <w:permStart w:id="307520572" w:edGrp="everyone"/>
            <w:r w:rsidR="007B3472" w:rsidRPr="007B3472">
              <w:rPr>
                <w:rFonts w:eastAsia="Times New Roman" w:cs="Arial"/>
                <w:i/>
                <w:iCs/>
              </w:rPr>
              <w:t xml:space="preserve">[insert contact information, </w:t>
            </w:r>
            <w:proofErr w:type="gramStart"/>
            <w:r w:rsidR="007B3472" w:rsidRPr="007B3472">
              <w:rPr>
                <w:rFonts w:eastAsia="Times New Roman" w:cs="Arial"/>
                <w:i/>
                <w:iCs/>
              </w:rPr>
              <w:t>e.g.</w:t>
            </w:r>
            <w:proofErr w:type="gramEnd"/>
            <w:r w:rsidR="007B3472" w:rsidRPr="007B3472">
              <w:rPr>
                <w:rFonts w:eastAsia="Times New Roman" w:cs="Arial"/>
                <w:i/>
                <w:iCs/>
              </w:rPr>
              <w:t xml:space="preserve"> for duty doctor]</w:t>
            </w:r>
            <w:r w:rsidR="007B3472" w:rsidRPr="002D255E">
              <w:rPr>
                <w:rFonts w:eastAsia="Times New Roman" w:cs="Arial"/>
                <w:i/>
              </w:rPr>
              <w:t xml:space="preserve"> </w:t>
            </w:r>
            <w:permEnd w:id="307520572"/>
          </w:p>
        </w:tc>
      </w:tr>
      <w:tr w:rsidR="002C1756" w:rsidRPr="002D255E" w14:paraId="1AD14A2A" w14:textId="77777777" w:rsidTr="4718CE95">
        <w:trPr>
          <w:jc w:val="center"/>
        </w:trPr>
        <w:tc>
          <w:tcPr>
            <w:tcW w:w="10455" w:type="dxa"/>
            <w:tcBorders>
              <w:bottom w:val="nil"/>
            </w:tcBorders>
            <w:shd w:val="clear" w:color="auto" w:fill="F2F2F2" w:themeFill="background1" w:themeFillShade="F2"/>
          </w:tcPr>
          <w:p w14:paraId="201683F6" w14:textId="41E7CC27" w:rsidR="002C1756" w:rsidRPr="002D255E" w:rsidRDefault="002C1756" w:rsidP="007F3977">
            <w:pPr>
              <w:pStyle w:val="Heading1"/>
              <w:tabs>
                <w:tab w:val="right" w:pos="10238"/>
              </w:tabs>
              <w:ind w:left="599" w:hanging="599"/>
              <w:rPr>
                <w:sz w:val="20"/>
                <w:lang w:val="en-US" w:eastAsia="en-GB"/>
              </w:rPr>
            </w:pPr>
            <w:bookmarkStart w:id="20" w:name="_Additional_information_Back"/>
            <w:bookmarkStart w:id="21" w:name="Fourteen_additional_info"/>
            <w:bookmarkEnd w:id="20"/>
            <w:r w:rsidRPr="002D255E">
              <w:rPr>
                <w:lang w:eastAsia="en-GB"/>
              </w:rPr>
              <w:t>Additional information</w:t>
            </w:r>
            <w:bookmarkEnd w:id="21"/>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0650CF87" w14:textId="77777777" w:rsidTr="4718CE95">
        <w:trPr>
          <w:jc w:val="center"/>
        </w:trPr>
        <w:tc>
          <w:tcPr>
            <w:tcW w:w="10455" w:type="dxa"/>
            <w:tcBorders>
              <w:top w:val="nil"/>
              <w:bottom w:val="single" w:sz="4" w:space="0" w:color="auto"/>
            </w:tcBorders>
            <w:shd w:val="clear" w:color="auto" w:fill="auto"/>
          </w:tcPr>
          <w:p w14:paraId="3790B0D4" w14:textId="34DF8092" w:rsidR="0088117C" w:rsidRDefault="000978B8" w:rsidP="000978B8">
            <w:pPr>
              <w:spacing w:before="60" w:after="60" w:line="240" w:lineRule="auto"/>
              <w:rPr>
                <w:rFonts w:eastAsia="Times New Roman" w:cstheme="minorHAnsi"/>
                <w:szCs w:val="24"/>
                <w:lang w:eastAsia="en-GB"/>
              </w:rPr>
            </w:pPr>
            <w:r w:rsidRPr="002D255E">
              <w:rPr>
                <w:rFonts w:eastAsia="Times New Roman" w:cstheme="minorHAnsi"/>
                <w:szCs w:val="24"/>
                <w:lang w:eastAsia="en-GB"/>
              </w:rPr>
              <w:t>It is anticipated that each area will continue to adhere to pre-existing local arrangements for the supply of methotrexate injection and ancillary products, and for the disposal of cytotoxic waste.</w:t>
            </w:r>
          </w:p>
          <w:p w14:paraId="076209EE" w14:textId="77777777" w:rsidR="0088117C" w:rsidRPr="002138F3" w:rsidRDefault="0088117C" w:rsidP="0088117C">
            <w:pPr>
              <w:rPr>
                <w:rFonts w:cs="Arial"/>
                <w:b/>
                <w:szCs w:val="28"/>
                <w:u w:val="single"/>
              </w:rPr>
            </w:pPr>
            <w:r w:rsidRPr="002138F3">
              <w:rPr>
                <w:rFonts w:cs="Arial"/>
                <w:b/>
                <w:szCs w:val="28"/>
                <w:u w:val="single"/>
              </w:rPr>
              <w:t xml:space="preserve">Waste management services: </w:t>
            </w:r>
          </w:p>
          <w:p w14:paraId="04783096" w14:textId="77777777" w:rsidR="0088117C" w:rsidRPr="002138F3" w:rsidRDefault="0088117C" w:rsidP="0088117C">
            <w:pPr>
              <w:numPr>
                <w:ilvl w:val="0"/>
                <w:numId w:val="37"/>
              </w:numPr>
              <w:spacing w:after="0" w:line="240" w:lineRule="auto"/>
              <w:rPr>
                <w:rFonts w:cs="Arial"/>
                <w:b/>
                <w:szCs w:val="28"/>
                <w:u w:val="single"/>
              </w:rPr>
            </w:pPr>
            <w:r w:rsidRPr="002138F3">
              <w:rPr>
                <w:rFonts w:cs="Arial"/>
                <w:szCs w:val="28"/>
              </w:rPr>
              <w:t xml:space="preserve">Arrangements differ between localities and alternative arrangements may be in place for ICBs outside of South West London area. </w:t>
            </w:r>
          </w:p>
          <w:p w14:paraId="5AEE69EA" w14:textId="2DE9FC13" w:rsidR="0088117C" w:rsidRPr="002138F3" w:rsidRDefault="0088117C" w:rsidP="0088117C">
            <w:pPr>
              <w:numPr>
                <w:ilvl w:val="0"/>
                <w:numId w:val="37"/>
              </w:numPr>
              <w:spacing w:after="0" w:line="240" w:lineRule="auto"/>
              <w:rPr>
                <w:rFonts w:cs="Arial"/>
                <w:b/>
                <w:szCs w:val="28"/>
                <w:u w:val="single"/>
              </w:rPr>
            </w:pPr>
            <w:r w:rsidRPr="002138F3">
              <w:rPr>
                <w:rFonts w:cs="Arial"/>
                <w:szCs w:val="28"/>
              </w:rPr>
              <w:t>Waste collection services must be arranged before prescribing responsibility can be transferred.</w:t>
            </w:r>
          </w:p>
          <w:p w14:paraId="4E6D42BD" w14:textId="77777777" w:rsidR="004E36B9" w:rsidRDefault="004E36B9" w:rsidP="000978B8">
            <w:pPr>
              <w:spacing w:before="60" w:after="60" w:line="240" w:lineRule="auto"/>
              <w:rPr>
                <w:rFonts w:eastAsia="Times New Roman" w:cstheme="minorHAnsi"/>
                <w:szCs w:val="24"/>
                <w:lang w:eastAsia="en-GB"/>
              </w:rPr>
            </w:pPr>
          </w:p>
          <w:p w14:paraId="7F322732" w14:textId="2BFE4017" w:rsidR="00C76668" w:rsidRDefault="00C76668" w:rsidP="00C76668">
            <w:r>
              <w:t xml:space="preserve">Links to local borough </w:t>
            </w:r>
            <w:r w:rsidR="00ED19B3">
              <w:t>waste services:</w:t>
            </w:r>
          </w:p>
          <w:p w14:paraId="4216AED6" w14:textId="77777777" w:rsidR="00C76668" w:rsidRDefault="00AB44EC" w:rsidP="00C76668">
            <w:pPr>
              <w:pStyle w:val="ListParagraph"/>
              <w:numPr>
                <w:ilvl w:val="0"/>
                <w:numId w:val="42"/>
              </w:numPr>
              <w:spacing w:after="160" w:line="259" w:lineRule="auto"/>
              <w:contextualSpacing/>
            </w:pPr>
            <w:hyperlink r:id="rId49" w:history="1">
              <w:r w:rsidR="00C76668" w:rsidRPr="0092426A">
                <w:rPr>
                  <w:rStyle w:val="Hyperlink"/>
                </w:rPr>
                <w:t>Croydon</w:t>
              </w:r>
            </w:hyperlink>
          </w:p>
          <w:p w14:paraId="7B3E2360" w14:textId="77777777" w:rsidR="00C76668" w:rsidRDefault="00AB44EC" w:rsidP="00C76668">
            <w:pPr>
              <w:pStyle w:val="ListParagraph"/>
              <w:numPr>
                <w:ilvl w:val="0"/>
                <w:numId w:val="42"/>
              </w:numPr>
              <w:spacing w:after="160" w:line="259" w:lineRule="auto"/>
              <w:contextualSpacing/>
            </w:pPr>
            <w:hyperlink r:id="rId50" w:history="1">
              <w:r w:rsidR="00C76668" w:rsidRPr="00C3315E">
                <w:rPr>
                  <w:rStyle w:val="Hyperlink"/>
                </w:rPr>
                <w:t>Kingston</w:t>
              </w:r>
            </w:hyperlink>
          </w:p>
          <w:p w14:paraId="19E01FB3" w14:textId="77777777" w:rsidR="00C76668" w:rsidRDefault="00AB44EC" w:rsidP="00C76668">
            <w:pPr>
              <w:pStyle w:val="ListParagraph"/>
              <w:numPr>
                <w:ilvl w:val="0"/>
                <w:numId w:val="42"/>
              </w:numPr>
              <w:spacing w:after="160" w:line="259" w:lineRule="auto"/>
              <w:contextualSpacing/>
            </w:pPr>
            <w:hyperlink r:id="rId51" w:history="1">
              <w:r w:rsidR="00C76668" w:rsidRPr="00A21B10">
                <w:rPr>
                  <w:rStyle w:val="Hyperlink"/>
                </w:rPr>
                <w:t>Merton</w:t>
              </w:r>
            </w:hyperlink>
          </w:p>
          <w:p w14:paraId="462CD963" w14:textId="77777777" w:rsidR="00C76668" w:rsidRDefault="00AB44EC" w:rsidP="00C76668">
            <w:pPr>
              <w:pStyle w:val="ListParagraph"/>
              <w:numPr>
                <w:ilvl w:val="0"/>
                <w:numId w:val="42"/>
              </w:numPr>
              <w:spacing w:after="160" w:line="259" w:lineRule="auto"/>
              <w:contextualSpacing/>
            </w:pPr>
            <w:hyperlink r:id="rId52" w:history="1">
              <w:r w:rsidR="00C76668" w:rsidRPr="0032513A">
                <w:rPr>
                  <w:rStyle w:val="Hyperlink"/>
                </w:rPr>
                <w:t>Richmond</w:t>
              </w:r>
            </w:hyperlink>
          </w:p>
          <w:p w14:paraId="419C901E" w14:textId="77777777" w:rsidR="00C76668" w:rsidRDefault="00AB44EC" w:rsidP="00C76668">
            <w:pPr>
              <w:pStyle w:val="ListParagraph"/>
              <w:numPr>
                <w:ilvl w:val="0"/>
                <w:numId w:val="42"/>
              </w:numPr>
              <w:spacing w:after="160" w:line="259" w:lineRule="auto"/>
              <w:contextualSpacing/>
            </w:pPr>
            <w:hyperlink r:id="rId53" w:history="1">
              <w:r w:rsidR="00C76668" w:rsidRPr="00D81EA7">
                <w:rPr>
                  <w:rStyle w:val="Hyperlink"/>
                </w:rPr>
                <w:t>Sutton</w:t>
              </w:r>
            </w:hyperlink>
          </w:p>
          <w:p w14:paraId="0E83834C" w14:textId="0F3B4BF8" w:rsidR="00BB7C6E" w:rsidRPr="00ED19B3" w:rsidRDefault="00AB44EC" w:rsidP="00ED19B3">
            <w:pPr>
              <w:pStyle w:val="ListParagraph"/>
              <w:numPr>
                <w:ilvl w:val="0"/>
                <w:numId w:val="42"/>
              </w:numPr>
              <w:spacing w:after="160" w:line="259" w:lineRule="auto"/>
              <w:contextualSpacing/>
            </w:pPr>
            <w:hyperlink r:id="rId54" w:history="1">
              <w:r w:rsidR="00C76668" w:rsidRPr="00827B5E">
                <w:rPr>
                  <w:rStyle w:val="Hyperlink"/>
                </w:rPr>
                <w:t>Wandsworth</w:t>
              </w:r>
            </w:hyperlink>
          </w:p>
          <w:p w14:paraId="40BD4D75" w14:textId="77777777" w:rsidR="00BB7C6E" w:rsidRPr="002D255E" w:rsidRDefault="00BB7C6E" w:rsidP="000978B8">
            <w:pPr>
              <w:spacing w:before="60" w:after="60" w:line="240" w:lineRule="auto"/>
              <w:rPr>
                <w:rFonts w:eastAsia="Times New Roman" w:cstheme="minorHAnsi"/>
                <w:szCs w:val="24"/>
                <w:lang w:eastAsia="en-GB"/>
              </w:rPr>
            </w:pPr>
          </w:p>
          <w:p w14:paraId="6F1EA946" w14:textId="044FF586" w:rsidR="002C1756" w:rsidRPr="002D255E" w:rsidRDefault="000978B8" w:rsidP="000978B8">
            <w:pPr>
              <w:rPr>
                <w:lang w:eastAsia="en-GB"/>
              </w:rPr>
            </w:pPr>
            <w:r w:rsidRPr="002D255E">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2D255E" w14:paraId="40A4CE02" w14:textId="77777777" w:rsidTr="4718CE95">
        <w:trPr>
          <w:jc w:val="center"/>
        </w:trPr>
        <w:tc>
          <w:tcPr>
            <w:tcW w:w="10455" w:type="dxa"/>
            <w:tcBorders>
              <w:bottom w:val="nil"/>
            </w:tcBorders>
            <w:shd w:val="clear" w:color="auto" w:fill="F2F2F2" w:themeFill="background1" w:themeFillShade="F2"/>
          </w:tcPr>
          <w:p w14:paraId="469E4408" w14:textId="3AC79B0D" w:rsidR="002C1756" w:rsidRPr="002D255E" w:rsidRDefault="002C1756" w:rsidP="007F3977">
            <w:pPr>
              <w:pStyle w:val="Heading1"/>
              <w:tabs>
                <w:tab w:val="right" w:pos="10240"/>
              </w:tabs>
              <w:ind w:left="599" w:hanging="599"/>
              <w:rPr>
                <w:lang w:eastAsia="en-GB"/>
              </w:rPr>
            </w:pPr>
            <w:bookmarkStart w:id="22" w:name="Fifteen_references"/>
            <w:r w:rsidRPr="002D255E">
              <w:rPr>
                <w:lang w:eastAsia="en-GB"/>
              </w:rPr>
              <w:lastRenderedPageBreak/>
              <w:t>References</w:t>
            </w:r>
            <w:bookmarkEnd w:id="2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583AE708" w14:textId="77777777" w:rsidTr="4718CE95">
        <w:trPr>
          <w:jc w:val="center"/>
        </w:trPr>
        <w:tc>
          <w:tcPr>
            <w:tcW w:w="10455" w:type="dxa"/>
            <w:tcBorders>
              <w:top w:val="nil"/>
              <w:bottom w:val="single" w:sz="4" w:space="0" w:color="auto"/>
            </w:tcBorders>
            <w:shd w:val="clear" w:color="auto" w:fill="auto"/>
          </w:tcPr>
          <w:p w14:paraId="192936B3"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eBNF. Methotrexate. Accessed via </w:t>
            </w:r>
            <w:hyperlink r:id="rId55" w:history="1">
              <w:r w:rsidRPr="002D255E">
                <w:rPr>
                  <w:rStyle w:val="Hyperlink"/>
                  <w:rFonts w:eastAsia="Times New Roman" w:cstheme="minorHAnsi"/>
                  <w:lang w:eastAsia="en-GB"/>
                </w:rPr>
                <w:t>https://bnf.nice.org.uk/drug/methotrexate.html</w:t>
              </w:r>
            </w:hyperlink>
            <w:r w:rsidRPr="002D255E">
              <w:t xml:space="preserve"> on 13/08/2021</w:t>
            </w:r>
            <w:r w:rsidRPr="002D255E">
              <w:rPr>
                <w:rFonts w:eastAsia="Times New Roman" w:cstheme="minorHAnsi"/>
                <w:lang w:eastAsia="en-GB"/>
              </w:rPr>
              <w:t xml:space="preserve">. </w:t>
            </w:r>
          </w:p>
          <w:p w14:paraId="5D2434C3" w14:textId="77777777" w:rsidR="000978B8" w:rsidRPr="002D255E" w:rsidRDefault="000978B8" w:rsidP="000978B8">
            <w:pPr>
              <w:numPr>
                <w:ilvl w:val="0"/>
                <w:numId w:val="1"/>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color w:val="000000"/>
                <w:lang w:eastAsia="en-GB"/>
              </w:rPr>
              <w:t>Methotrexate 2.5 mg tablets (Maxtrex®). Date of revision of the text 12/2020. Accessed via</w:t>
            </w:r>
            <w:r w:rsidRPr="002D255E">
              <w:rPr>
                <w:rFonts w:eastAsia="Times New Roman" w:cstheme="minorHAnsi"/>
                <w:color w:val="FF0000"/>
                <w:lang w:eastAsia="en-GB"/>
              </w:rPr>
              <w:t xml:space="preserve"> </w:t>
            </w:r>
            <w:hyperlink r:id="rId56" w:history="1">
              <w:r w:rsidRPr="002D255E">
                <w:rPr>
                  <w:rStyle w:val="Hyperlink"/>
                </w:rPr>
                <w:t>https://www.medicines.org.uk/emc/product/1376/</w:t>
              </w:r>
            </w:hyperlink>
            <w:r w:rsidRPr="002D255E">
              <w:t xml:space="preserve"> </w:t>
            </w:r>
            <w:r w:rsidRPr="002D255E">
              <w:rPr>
                <w:rStyle w:val="Hyperlink"/>
                <w:rFonts w:eastAsia="Times New Roman" w:cstheme="minorHAnsi"/>
                <w:color w:val="000000"/>
                <w:u w:val="none"/>
                <w:lang w:eastAsia="en-GB"/>
              </w:rPr>
              <w:t>on 13/08/21.</w:t>
            </w:r>
          </w:p>
          <w:p w14:paraId="5108FE78"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injector (Methofill®). Date of revision of the text 01/03/21. Accessed via </w:t>
            </w:r>
            <w:hyperlink r:id="rId57" w:history="1">
              <w:r w:rsidRPr="002D255E">
                <w:rPr>
                  <w:rStyle w:val="Hyperlink"/>
                  <w:rFonts w:eastAsia="Times New Roman" w:cstheme="minorHAnsi"/>
                  <w:lang w:eastAsia="en-GB"/>
                </w:rPr>
                <w:t>https://www.medicines.org.uk/emc/product/9057/smpc</w:t>
              </w:r>
            </w:hyperlink>
            <w:r w:rsidRPr="002D255E">
              <w:rPr>
                <w:rFonts w:eastAsia="Times New Roman" w:cstheme="minorHAnsi"/>
                <w:color w:val="000000"/>
                <w:lang w:eastAsia="en-GB"/>
              </w:rPr>
              <w:t xml:space="preserve"> on 13/08/21. </w:t>
            </w:r>
          </w:p>
          <w:p w14:paraId="6117356E"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(Metoject®). Date of revision of the text 07/2020. Accessed via </w:t>
            </w:r>
            <w:hyperlink r:id="rId58" w:history="1">
              <w:r w:rsidRPr="002D255E">
                <w:rPr>
                  <w:rStyle w:val="Hyperlink"/>
                  <w:rFonts w:eastAsia="Times New Roman" w:cstheme="minorHAnsi"/>
                  <w:lang w:eastAsia="en-GB"/>
                </w:rPr>
                <w:t>https://www.medicines.org.uk/emc/product/11351/</w:t>
              </w:r>
            </w:hyperlink>
            <w:r w:rsidRPr="002D255E">
              <w:rPr>
                <w:rFonts w:eastAsia="Times New Roman" w:cstheme="minorHAnsi"/>
                <w:color w:val="000000"/>
                <w:lang w:eastAsia="en-GB"/>
              </w:rPr>
              <w:t xml:space="preserve"> on 13/08/21.</w:t>
            </w:r>
          </w:p>
          <w:p w14:paraId="5269B61F"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(Nordimet®). Date of revision of the text Dec 2020. Accessed via </w:t>
            </w:r>
            <w:hyperlink r:id="rId59" w:history="1">
              <w:r w:rsidRPr="002D255E">
                <w:rPr>
                  <w:rStyle w:val="Hyperlink"/>
                  <w:rFonts w:eastAsia="Times New Roman" w:cstheme="minorHAnsi"/>
                  <w:lang w:eastAsia="en-GB"/>
                </w:rPr>
                <w:t>https://www.medicines.org.uk/emc/product/7721/</w:t>
              </w:r>
            </w:hyperlink>
            <w:r w:rsidRPr="002D255E">
              <w:rPr>
                <w:rFonts w:eastAsia="Times New Roman" w:cstheme="minorHAnsi"/>
                <w:color w:val="000000"/>
                <w:lang w:eastAsia="en-GB"/>
              </w:rPr>
              <w:t xml:space="preserve"> on 13/08/21.</w:t>
            </w:r>
          </w:p>
          <w:p w14:paraId="3C7C9216"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(Zlatal®). Date of revision of the text 25/09/2020. Accessed via </w:t>
            </w:r>
            <w:hyperlink r:id="rId60" w:history="1">
              <w:r w:rsidRPr="002D255E">
                <w:rPr>
                  <w:rStyle w:val="Hyperlink"/>
                  <w:rFonts w:eastAsia="Times New Roman" w:cstheme="minorHAnsi"/>
                  <w:lang w:eastAsia="en-GB"/>
                </w:rPr>
                <w:t>https://www.medicines.org.uk/emc/product/7270/</w:t>
              </w:r>
            </w:hyperlink>
            <w:r w:rsidRPr="002D255E">
              <w:rPr>
                <w:rFonts w:eastAsia="Times New Roman" w:cstheme="minorHAnsi"/>
                <w:color w:val="000000"/>
                <w:lang w:eastAsia="en-GB"/>
              </w:rPr>
              <w:t xml:space="preserve"> on 13/08/21.</w:t>
            </w:r>
          </w:p>
          <w:p w14:paraId="11FD3322"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2 mg/mL oral solution (Jylamvo®). Date of r/evision of the text 01/01/2021. Accessed via </w:t>
            </w:r>
            <w:hyperlink r:id="rId61" w:history="1">
              <w:r w:rsidRPr="002D255E">
                <w:rPr>
                  <w:rStyle w:val="Hyperlink"/>
                  <w:rFonts w:eastAsia="Times New Roman" w:cstheme="minorHAnsi"/>
                  <w:lang w:eastAsia="en-GB"/>
                </w:rPr>
                <w:t>https://www.medicines.org.uk/emc/product/8599/</w:t>
              </w:r>
            </w:hyperlink>
            <w:r w:rsidRPr="002D255E">
              <w:rPr>
                <w:rFonts w:eastAsia="Times New Roman" w:cstheme="minorHAnsi"/>
                <w:color w:val="000000"/>
                <w:lang w:eastAsia="en-GB"/>
              </w:rPr>
              <w:t xml:space="preserve"> on 13/08/21.</w:t>
            </w:r>
          </w:p>
          <w:p w14:paraId="399F4A5C"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62" w:history="1">
              <w:r w:rsidRPr="002D255E">
                <w:rPr>
                  <w:rStyle w:val="Hyperlink"/>
                  <w:rFonts w:eastAsia="Times New Roman" w:cstheme="minorHAnsi"/>
                  <w:lang w:eastAsia="en-GB"/>
                </w:rPr>
                <w:t>https://academic.oup.com/rheumatology/article/56/6/865/3053478</w:t>
              </w:r>
            </w:hyperlink>
            <w:r w:rsidRPr="002D255E">
              <w:rPr>
                <w:rFonts w:eastAsia="Times New Roman" w:cstheme="minorHAnsi"/>
                <w:lang w:eastAsia="en-GB"/>
              </w:rPr>
              <w:t xml:space="preserve">. </w:t>
            </w:r>
          </w:p>
          <w:p w14:paraId="2EF48F4D"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Dermatologists’ guidelines for the safe and effective prescribing of methotrexate for skin disease 2016. Accessed via </w:t>
            </w:r>
            <w:hyperlink r:id="rId63" w:history="1">
              <w:r w:rsidRPr="002D255E">
                <w:rPr>
                  <w:rStyle w:val="Hyperlink"/>
                  <w:rFonts w:eastAsia="Times New Roman" w:cstheme="minorHAnsi"/>
                  <w:lang w:eastAsia="en-GB"/>
                </w:rPr>
                <w:t>https://onlinelibrary.wiley.com/doi/full/10.1111/bjd.14816</w:t>
              </w:r>
            </w:hyperlink>
            <w:r w:rsidRPr="002D255E">
              <w:rPr>
                <w:rFonts w:eastAsia="Times New Roman" w:cstheme="minorHAnsi"/>
                <w:lang w:eastAsia="en-GB"/>
              </w:rPr>
              <w:t xml:space="preserve">. </w:t>
            </w:r>
          </w:p>
          <w:p w14:paraId="772A5BAE"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64" w:history="1">
              <w:r w:rsidRPr="002D255E">
                <w:rPr>
                  <w:rStyle w:val="Hyperlink"/>
                  <w:rFonts w:eastAsia="Times New Roman" w:cstheme="minorHAnsi"/>
                  <w:lang w:eastAsia="en-GB"/>
                </w:rPr>
                <w:t>https://academic.oup.com/rheumatology/article/55/9/1693/1744535</w:t>
              </w:r>
            </w:hyperlink>
            <w:r w:rsidRPr="002D255E">
              <w:rPr>
                <w:rFonts w:eastAsia="Times New Roman" w:cstheme="minorHAnsi"/>
                <w:lang w:eastAsia="en-GB"/>
              </w:rPr>
              <w:t xml:space="preserve">. </w:t>
            </w:r>
          </w:p>
          <w:p w14:paraId="79414682" w14:textId="2F0C12D4" w:rsidR="001E3E2A" w:rsidRPr="002D255E" w:rsidRDefault="000978B8" w:rsidP="000978B8">
            <w:pPr>
              <w:pStyle w:val="ListParagraph"/>
              <w:spacing w:after="0"/>
              <w:ind w:left="360"/>
              <w:rPr>
                <w:rFonts w:eastAsia="Times New Roman" w:cs="Arial"/>
                <w:lang w:eastAsia="en-GB"/>
              </w:rPr>
            </w:pPr>
            <w:r w:rsidRPr="002D255E">
              <w:rPr>
                <w:rFonts w:eastAsia="Times New Roman" w:cstheme="minorHAnsi"/>
                <w:lang w:eastAsia="en-GB"/>
              </w:rPr>
              <w:t xml:space="preserve">MHRA Drug Safety Update. Methotrexate once-weekly for autoimmune diseases: new measures to reduce risk of fatal overdose due to inadvertent daily instead of weekly dosing. September 2020. Accessed via </w:t>
            </w:r>
            <w:hyperlink r:id="rId65" w:history="1">
              <w:r w:rsidRPr="002D255E">
                <w:rPr>
                  <w:rStyle w:val="Hyperlink"/>
                  <w:rFonts w:eastAsia="Times New Roman" w:cstheme="minorHAnsi"/>
                  <w:lang w:eastAsia="en-GB"/>
                </w:rPr>
                <w:t>https://www.gov.uk/drug-safety-update/methotrexate-once-weekly-for-autoimmune-diseases-new-measures-to-reduce-risk-of-fatal-overdose-due-to-inadvertent-daily-instead-of-weekly-dosing</w:t>
              </w:r>
            </w:hyperlink>
            <w:r w:rsidRPr="002D255E">
              <w:rPr>
                <w:rFonts w:eastAsia="Times New Roman" w:cstheme="minorHAnsi"/>
                <w:lang w:eastAsia="en-GB"/>
              </w:rPr>
              <w:t xml:space="preserve">.  </w:t>
            </w:r>
          </w:p>
        </w:tc>
      </w:tr>
      <w:tr w:rsidR="002C1756" w:rsidRPr="002D255E" w14:paraId="42F50346" w14:textId="77777777" w:rsidTr="4718CE95">
        <w:trPr>
          <w:jc w:val="center"/>
        </w:trPr>
        <w:tc>
          <w:tcPr>
            <w:tcW w:w="10455" w:type="dxa"/>
            <w:tcBorders>
              <w:bottom w:val="nil"/>
            </w:tcBorders>
            <w:shd w:val="clear" w:color="auto" w:fill="F2F2F2" w:themeFill="background1" w:themeFillShade="F2"/>
          </w:tcPr>
          <w:p w14:paraId="24F76BF3" w14:textId="4C261A28" w:rsidR="002C1756" w:rsidRPr="002D255E" w:rsidRDefault="002C1756" w:rsidP="007F3977">
            <w:pPr>
              <w:pStyle w:val="Heading1"/>
              <w:tabs>
                <w:tab w:val="right" w:pos="10240"/>
              </w:tabs>
              <w:ind w:left="599" w:hanging="599"/>
              <w:rPr>
                <w:lang w:eastAsia="en-GB"/>
              </w:rPr>
            </w:pPr>
            <w:bookmarkStart w:id="23" w:name="Sixteen_relevant_guidance"/>
            <w:r w:rsidRPr="002D255E">
              <w:rPr>
                <w:lang w:eastAsia="en-GB"/>
              </w:rPr>
              <w:t>Other relevant national guidance</w:t>
            </w:r>
            <w:bookmarkEnd w:id="23"/>
            <w:r w:rsidR="007F3977" w:rsidRPr="002D255E">
              <w:rPr>
                <w:lang w:eastAsia="en-GB"/>
              </w:rPr>
              <w:t xml:space="preserve"> </w:t>
            </w:r>
            <w:r w:rsidR="007F3977" w:rsidRPr="002D255E">
              <w:rPr>
                <w:lang w:eastAsia="en-GB"/>
              </w:rPr>
              <w:tab/>
            </w:r>
            <w:hyperlink w:anchor="Responsibilities" w:history="1">
              <w:r w:rsidR="007F3977" w:rsidRPr="002D255E">
                <w:rPr>
                  <w:rStyle w:val="Hyperlink"/>
                  <w:rFonts w:eastAsia="Times New Roman" w:cs="Arial"/>
                  <w:b w:val="0"/>
                  <w:bCs w:val="0"/>
                  <w:sz w:val="24"/>
                  <w:szCs w:val="24"/>
                  <w:lang w:eastAsia="en-GB"/>
                </w:rPr>
                <w:t>Back to top</w:t>
              </w:r>
            </w:hyperlink>
          </w:p>
        </w:tc>
      </w:tr>
      <w:tr w:rsidR="002C1756" w:rsidRPr="002D255E" w14:paraId="4CE5A668" w14:textId="77777777" w:rsidTr="4718CE95">
        <w:trPr>
          <w:jc w:val="center"/>
        </w:trPr>
        <w:tc>
          <w:tcPr>
            <w:tcW w:w="10455" w:type="dxa"/>
            <w:tcBorders>
              <w:top w:val="nil"/>
              <w:bottom w:val="single" w:sz="4" w:space="0" w:color="auto"/>
            </w:tcBorders>
            <w:shd w:val="clear" w:color="auto" w:fill="auto"/>
          </w:tcPr>
          <w:p w14:paraId="724B942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Shared Care for Medicines Guidance – A Standard Approach (RMOC). Available from </w:t>
            </w:r>
            <w:hyperlink r:id="rId66" w:history="1">
              <w:r w:rsidRPr="002D255E">
                <w:rPr>
                  <w:rStyle w:val="Hyperlink"/>
                  <w:rFonts w:eastAsia="Times New Roman" w:cstheme="minorHAnsi"/>
                  <w:lang w:eastAsia="en-GB"/>
                </w:rPr>
                <w:t>https://www.sps.nhs.uk/articles/rmoc-shared-care-guidance/</w:t>
              </w:r>
            </w:hyperlink>
            <w:r w:rsidRPr="002D255E">
              <w:rPr>
                <w:rFonts w:eastAsia="Times New Roman" w:cstheme="minorHAnsi"/>
                <w:lang w:eastAsia="en-GB"/>
              </w:rPr>
              <w:t xml:space="preserve"> </w:t>
            </w:r>
          </w:p>
          <w:p w14:paraId="587F28D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NHSE guidance – </w:t>
            </w:r>
            <w:r w:rsidRPr="002D255E">
              <w:t xml:space="preserve">Responsibility for prescribing between primary &amp; secondary/tertiary care. Available from </w:t>
            </w:r>
            <w:hyperlink r:id="rId67" w:history="1">
              <w:r w:rsidRPr="002D255E">
                <w:rPr>
                  <w:rStyle w:val="Hyperlink"/>
                </w:rPr>
                <w:t>https://www.england.nhs.uk/publication/responsibility-for-prescribing-between-primary-and-secondary-tertiary-care/</w:t>
              </w:r>
            </w:hyperlink>
            <w:r w:rsidRPr="002D255E">
              <w:t xml:space="preserve"> </w:t>
            </w:r>
          </w:p>
          <w:p w14:paraId="1C33BDF3"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General Medical Council. Good practice in prescribing and managing medicines and devices. Shared care. Available from </w:t>
            </w:r>
            <w:hyperlink r:id="rId68" w:history="1">
              <w:r w:rsidRPr="002D255E">
                <w:rPr>
                  <w:rStyle w:val="Hyperlink"/>
                  <w:rFonts w:eastAsia="Times New Roman" w:cstheme="minorHAnsi"/>
                  <w:lang w:eastAsia="en-GB"/>
                </w:rPr>
                <w:t>https://www.gmc-uk.org/ethical-guidance/ethical-guidance-for-doctors/good-practice-in-prescribing-and-managing-medicines-and-devices/shared-care</w:t>
              </w:r>
            </w:hyperlink>
            <w:r w:rsidRPr="002D255E">
              <w:rPr>
                <w:rFonts w:eastAsia="Times New Roman" w:cstheme="minorHAnsi"/>
                <w:lang w:eastAsia="en-GB"/>
              </w:rPr>
              <w:t xml:space="preserve"> </w:t>
            </w:r>
          </w:p>
          <w:p w14:paraId="17D120D7" w14:textId="32B9C7D3" w:rsidR="002C1756"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lastRenderedPageBreak/>
              <w:t xml:space="preserve">NICE NG197: Shared decision making. Last updated June 2021. </w:t>
            </w:r>
            <w:hyperlink r:id="rId69" w:history="1">
              <w:r w:rsidRPr="002D255E">
                <w:rPr>
                  <w:rStyle w:val="Hyperlink"/>
                  <w:rFonts w:eastAsia="Times New Roman" w:cstheme="minorHAnsi"/>
                  <w:lang w:eastAsia="en-GB"/>
                </w:rPr>
                <w:t>https://www.nice.org.uk/guidance/ng197/</w:t>
              </w:r>
            </w:hyperlink>
            <w:r w:rsidRPr="002D255E">
              <w:rPr>
                <w:rFonts w:eastAsia="Times New Roman" w:cstheme="minorHAnsi"/>
                <w:lang w:eastAsia="en-GB"/>
              </w:rPr>
              <w:t>.</w:t>
            </w:r>
          </w:p>
        </w:tc>
      </w:tr>
      <w:tr w:rsidR="00B92DDF" w:rsidRPr="002D255E" w14:paraId="47C81485" w14:textId="77777777" w:rsidTr="4718CE95">
        <w:trPr>
          <w:jc w:val="center"/>
        </w:trPr>
        <w:tc>
          <w:tcPr>
            <w:tcW w:w="10455" w:type="dxa"/>
            <w:tcBorders>
              <w:bottom w:val="nil"/>
            </w:tcBorders>
            <w:shd w:val="clear" w:color="auto" w:fill="F2F2F2" w:themeFill="background1" w:themeFillShade="F2"/>
          </w:tcPr>
          <w:p w14:paraId="24773817" w14:textId="201B7BAE" w:rsidR="00B92DDF" w:rsidRPr="002D255E" w:rsidRDefault="00B92DDF" w:rsidP="00846A4A">
            <w:pPr>
              <w:pStyle w:val="Heading1"/>
              <w:tabs>
                <w:tab w:val="right" w:pos="10240"/>
              </w:tabs>
              <w:ind w:left="599" w:hanging="599"/>
              <w:rPr>
                <w:lang w:eastAsia="en-GB"/>
              </w:rPr>
            </w:pPr>
            <w:r w:rsidRPr="002D255E">
              <w:rPr>
                <w:lang w:eastAsia="en-GB"/>
              </w:rPr>
              <w:lastRenderedPageBreak/>
              <w:t xml:space="preserve">Local arrangements for referral </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0CAF9A88" w14:textId="77777777" w:rsidR="00B92DDF" w:rsidRPr="002D255E" w:rsidRDefault="00B92DDF" w:rsidP="00B92DDF">
            <w:pPr>
              <w:spacing w:before="60" w:after="60" w:line="240" w:lineRule="auto"/>
              <w:rPr>
                <w:rFonts w:eastAsia="Times New Roman" w:cs="Arial"/>
                <w:lang w:eastAsia="en-GB"/>
              </w:rPr>
            </w:pPr>
            <w:r w:rsidRPr="002D255E">
              <w:rPr>
                <w:rFonts w:eastAsia="Times New Roman" w:cs="Arial"/>
                <w:bCs/>
                <w:lang w:eastAsia="en-GB"/>
              </w:rPr>
              <w:t>Define the referral procedure from hospital to primary care prescriber &amp; route of return should the patient’s condition change.</w:t>
            </w:r>
          </w:p>
        </w:tc>
      </w:tr>
      <w:tr w:rsidR="00B92DDF" w:rsidRPr="002D255E" w14:paraId="1EFCF2EC" w14:textId="77777777" w:rsidTr="4718CE95">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sdtContent>
              <w:p w14:paraId="5FD0BA03" w14:textId="1B165A18" w:rsidR="006A7E6C" w:rsidRPr="00EF1639" w:rsidRDefault="646B1CA9" w:rsidP="006A7E6C">
                <w:pPr>
                  <w:spacing w:before="60" w:after="60" w:line="240" w:lineRule="auto"/>
                  <w:rPr>
                    <w:rFonts w:eastAsia="Times New Roman" w:cs="Arial"/>
                    <w:color w:val="000000"/>
                    <w:lang w:val="en" w:eastAsia="en-GB"/>
                  </w:rPr>
                </w:pPr>
                <w:r w:rsidRPr="00EF1639">
                  <w:rPr>
                    <w:rFonts w:eastAsia="Times New Roman" w:cs="Arial"/>
                    <w:lang w:eastAsia="en-GB"/>
                  </w:rPr>
                  <w:t>Follow Place based</w:t>
                </w:r>
                <w:r w:rsidR="006A7E6C" w:rsidRPr="00EF1639">
                  <w:rPr>
                    <w:rFonts w:eastAsia="Times New Roman" w:cs="Arial"/>
                    <w:lang w:eastAsia="en-GB"/>
                  </w:rPr>
                  <w:t xml:space="preserve"> processes. </w:t>
                </w:r>
              </w:p>
            </w:sdtContent>
          </w:sdt>
          <w:p w14:paraId="51A4166B" w14:textId="77777777" w:rsidR="00B92DDF" w:rsidRPr="002D255E" w:rsidRDefault="00B92DDF" w:rsidP="00B92DDF">
            <w:pPr>
              <w:spacing w:before="60" w:after="60" w:line="240" w:lineRule="auto"/>
              <w:rPr>
                <w:rFonts w:eastAsia="Times New Roman" w:cs="Arial"/>
                <w:color w:val="000000"/>
                <w:lang w:val="en" w:eastAsia="en-GB"/>
              </w:rPr>
            </w:pPr>
            <w:r w:rsidRPr="002D255E">
              <w:rPr>
                <w:rFonts w:eastAsia="Times New Roman" w:cs="Arial"/>
                <w:lang w:eastAsia="en-GB"/>
              </w:rPr>
              <w:t xml:space="preserve"> </w:t>
            </w:r>
          </w:p>
        </w:tc>
      </w:tr>
    </w:tbl>
    <w:p w14:paraId="4F3763D2" w14:textId="0DE927B2" w:rsidR="0087662D" w:rsidRPr="002D255E" w:rsidRDefault="0087662D" w:rsidP="00295135">
      <w:pPr>
        <w:spacing w:after="0" w:line="240" w:lineRule="auto"/>
        <w:rPr>
          <w:rFonts w:ascii="Times New Roman" w:eastAsia="Times New Roman" w:hAnsi="Times New Roman" w:cs="Times New Roman"/>
          <w:szCs w:val="24"/>
          <w:lang w:eastAsia="en-GB"/>
        </w:rPr>
      </w:pPr>
    </w:p>
    <w:p w14:paraId="75924742" w14:textId="77777777" w:rsidR="00A063A1" w:rsidRPr="002D255E" w:rsidRDefault="00A063A1" w:rsidP="00877E1D">
      <w:pPr>
        <w:rPr>
          <w:rFonts w:ascii="Calibri" w:hAnsi="Calibri" w:cs="Calibri"/>
          <w:b/>
          <w:u w:val="single"/>
        </w:rPr>
      </w:pPr>
    </w:p>
    <w:p w14:paraId="4F2BAA2E" w14:textId="77777777" w:rsidR="005F6358" w:rsidRPr="002D255E" w:rsidRDefault="005F6358" w:rsidP="005F6358">
      <w:pPr>
        <w:rPr>
          <w:rFonts w:cstheme="minorHAnsi"/>
        </w:rPr>
      </w:pPr>
      <w:r w:rsidRPr="002D255E">
        <w:rPr>
          <w:rFonts w:cstheme="minorHAnsi"/>
        </w:rPr>
        <w:br w:type="page"/>
      </w:r>
    </w:p>
    <w:p w14:paraId="592C80B3" w14:textId="77777777" w:rsidR="005F6358" w:rsidRPr="002D255E" w:rsidRDefault="005F6358" w:rsidP="00F13240">
      <w:pPr>
        <w:pStyle w:val="Heading1"/>
        <w:numPr>
          <w:ilvl w:val="0"/>
          <w:numId w:val="0"/>
        </w:numPr>
      </w:pPr>
      <w:bookmarkStart w:id="24" w:name="_Toc64632334"/>
      <w:r w:rsidRPr="002D255E">
        <w:lastRenderedPageBreak/>
        <w:t>Appendix 1: Shared Care Request letter (Specialist to Primary Care Prescriber)</w:t>
      </w:r>
      <w:bookmarkEnd w:id="24"/>
    </w:p>
    <w:p w14:paraId="6F4986C2" w14:textId="74C7BF20" w:rsidR="005F6358" w:rsidRPr="002D255E" w:rsidRDefault="005F6358" w:rsidP="00F13240">
      <w:pPr>
        <w:spacing w:after="120"/>
        <w:rPr>
          <w:rFonts w:eastAsia="Times New Roman" w:cstheme="minorHAnsi"/>
        </w:rPr>
      </w:pPr>
      <w:r w:rsidRPr="002D255E">
        <w:rPr>
          <w:rFonts w:eastAsia="Times New Roman" w:cstheme="minorHAnsi"/>
        </w:rPr>
        <w:t>Dear</w:t>
      </w:r>
      <w:r w:rsidR="007B3472">
        <w:rPr>
          <w:rFonts w:eastAsia="Times New Roman" w:cstheme="minorHAnsi"/>
        </w:rPr>
        <w:t xml:space="preserve"> </w:t>
      </w:r>
      <w:permStart w:id="979971579" w:edGrp="everyone"/>
      <w:r w:rsidR="007B3472" w:rsidRPr="007B3472">
        <w:rPr>
          <w:rFonts w:eastAsia="Times New Roman" w:cstheme="minorHAnsi"/>
          <w:i/>
          <w:iCs/>
        </w:rPr>
        <w:t>[insert Primary Care Prescriber's name]</w:t>
      </w:r>
      <w:r w:rsidR="007B3472" w:rsidRPr="002D255E">
        <w:rPr>
          <w:rFonts w:eastAsia="Times New Roman" w:cstheme="minorHAnsi"/>
        </w:rPr>
        <w:t xml:space="preserve"> </w:t>
      </w:r>
      <w:permEnd w:id="979971579"/>
    </w:p>
    <w:p w14:paraId="72C3AB8C" w14:textId="38098481" w:rsidR="005F6358" w:rsidRPr="002D255E" w:rsidRDefault="005F6358" w:rsidP="005F6358">
      <w:pPr>
        <w:spacing w:after="0"/>
        <w:rPr>
          <w:rFonts w:eastAsia="Times New Roman" w:cstheme="minorHAnsi"/>
        </w:rPr>
      </w:pPr>
      <w:r w:rsidRPr="002D255E">
        <w:rPr>
          <w:rFonts w:eastAsia="Times New Roman" w:cstheme="minorHAnsi"/>
        </w:rPr>
        <w:t>Patient name:</w:t>
      </w:r>
      <w:r w:rsidR="007B3472">
        <w:rPr>
          <w:rFonts w:eastAsia="Times New Roman" w:cstheme="minorHAnsi"/>
        </w:rPr>
        <w:t xml:space="preserve"> </w:t>
      </w:r>
      <w:permStart w:id="1000628268" w:edGrp="everyone"/>
      <w:r w:rsidR="007B3472" w:rsidRPr="007B3472">
        <w:rPr>
          <w:rFonts w:eastAsia="Times New Roman" w:cstheme="minorHAnsi"/>
          <w:i/>
          <w:iCs/>
        </w:rPr>
        <w:t xml:space="preserve">[insert patient's name] </w:t>
      </w:r>
      <w:permEnd w:id="1000628268"/>
    </w:p>
    <w:p w14:paraId="5799096D" w14:textId="3C3EEB8C" w:rsidR="005F6358" w:rsidRPr="002D255E" w:rsidRDefault="005F6358" w:rsidP="005F6358">
      <w:pPr>
        <w:spacing w:after="0"/>
        <w:rPr>
          <w:rFonts w:eastAsia="Times New Roman" w:cstheme="minorHAnsi"/>
          <w:i/>
        </w:rPr>
      </w:pPr>
      <w:r w:rsidRPr="002D255E">
        <w:rPr>
          <w:rFonts w:eastAsia="Times New Roman" w:cstheme="minorHAnsi"/>
        </w:rPr>
        <w:t>Date of birth:</w:t>
      </w:r>
      <w:r w:rsidRPr="002D255E">
        <w:rPr>
          <w:rFonts w:eastAsia="Times New Roman" w:cstheme="minorHAnsi"/>
        </w:rPr>
        <w:tab/>
      </w:r>
      <w:permStart w:id="255612126" w:edGrp="everyone"/>
      <w:r w:rsidR="007B3472" w:rsidRPr="007B3472">
        <w:rPr>
          <w:rFonts w:eastAsia="Times New Roman" w:cstheme="minorHAnsi"/>
          <w:i/>
          <w:iCs/>
        </w:rPr>
        <w:t>[insert date of birth]</w:t>
      </w:r>
      <w:r w:rsidR="007B3472" w:rsidRPr="002D255E">
        <w:rPr>
          <w:rFonts w:eastAsia="Times New Roman" w:cstheme="minorHAnsi"/>
          <w:i/>
        </w:rPr>
        <w:t xml:space="preserve"> </w:t>
      </w:r>
      <w:permEnd w:id="255612126"/>
    </w:p>
    <w:p w14:paraId="250B8646" w14:textId="7961A0F2" w:rsidR="005F6358" w:rsidRPr="002D255E" w:rsidRDefault="005F6358" w:rsidP="005F6358">
      <w:pPr>
        <w:spacing w:after="0"/>
        <w:rPr>
          <w:rFonts w:eastAsia="Times New Roman" w:cstheme="minorHAnsi"/>
        </w:rPr>
      </w:pPr>
      <w:r w:rsidRPr="002D255E">
        <w:rPr>
          <w:rFonts w:eastAsia="Times New Roman" w:cstheme="minorHAnsi"/>
        </w:rPr>
        <w:t>NHS Number</w:t>
      </w:r>
      <w:r w:rsidRPr="002D255E">
        <w:rPr>
          <w:rFonts w:eastAsia="Times New Roman" w:cstheme="minorHAnsi"/>
          <w:i/>
        </w:rPr>
        <w:t>:</w:t>
      </w:r>
      <w:r w:rsidR="007B3472">
        <w:rPr>
          <w:rFonts w:eastAsia="Times New Roman" w:cstheme="minorHAnsi"/>
          <w:i/>
        </w:rPr>
        <w:t xml:space="preserve"> </w:t>
      </w:r>
      <w:permStart w:id="163852647" w:edGrp="everyone"/>
      <w:r w:rsidR="007B3472" w:rsidRPr="007B3472">
        <w:rPr>
          <w:rFonts w:eastAsia="Times New Roman" w:cstheme="minorHAnsi"/>
          <w:i/>
        </w:rPr>
        <w:t>[insert NHS Number]</w:t>
      </w:r>
      <w:r w:rsidR="007B3472" w:rsidRPr="002D255E">
        <w:rPr>
          <w:rFonts w:eastAsia="Times New Roman" w:cstheme="minorHAnsi"/>
        </w:rPr>
        <w:t xml:space="preserve"> </w:t>
      </w:r>
      <w:permEnd w:id="163852647"/>
    </w:p>
    <w:p w14:paraId="351B9AA2" w14:textId="4EA7C522" w:rsidR="00F13240" w:rsidRPr="002D255E" w:rsidRDefault="005F6358" w:rsidP="00F13240">
      <w:pPr>
        <w:spacing w:after="120"/>
        <w:rPr>
          <w:rFonts w:eastAsia="Times New Roman" w:cstheme="minorHAnsi"/>
          <w:i/>
        </w:rPr>
      </w:pPr>
      <w:r w:rsidRPr="002D255E">
        <w:rPr>
          <w:rFonts w:eastAsia="Times New Roman" w:cstheme="minorHAnsi"/>
        </w:rPr>
        <w:t>Diagnosis:</w:t>
      </w:r>
      <w:r w:rsidR="007B3472">
        <w:rPr>
          <w:rFonts w:eastAsia="Times New Roman" w:cstheme="minorHAnsi"/>
        </w:rPr>
        <w:t xml:space="preserve"> </w:t>
      </w:r>
      <w:permStart w:id="867636546" w:edGrp="everyone"/>
      <w:r w:rsidR="007B3472" w:rsidRPr="007B3472">
        <w:rPr>
          <w:rFonts w:eastAsia="Times New Roman" w:cstheme="minorHAnsi"/>
          <w:i/>
          <w:iCs/>
        </w:rPr>
        <w:t>[insert diagnosis]</w:t>
      </w:r>
      <w:r w:rsidR="007B3472" w:rsidRPr="002D255E">
        <w:rPr>
          <w:rFonts w:eastAsia="Times New Roman" w:cstheme="minorHAnsi"/>
          <w:i/>
        </w:rPr>
        <w:t xml:space="preserve"> </w:t>
      </w:r>
      <w:permEnd w:id="867636546"/>
    </w:p>
    <w:p w14:paraId="4BA0920C" w14:textId="6490F283" w:rsidR="005F6358" w:rsidRPr="002D255E" w:rsidRDefault="005F6358" w:rsidP="00F13240">
      <w:pPr>
        <w:spacing w:after="120"/>
        <w:rPr>
          <w:i/>
          <w:iCs/>
        </w:rPr>
      </w:pPr>
      <w:r w:rsidRPr="002D255E">
        <w:t xml:space="preserve">As per the agreed </w:t>
      </w:r>
      <w:permStart w:id="168316292" w:edGrp="everyone"/>
      <w:r w:rsidR="007B3472" w:rsidRPr="007B3472">
        <w:rPr>
          <w:i/>
          <w:iCs/>
        </w:rPr>
        <w:t>[insert APC name]</w:t>
      </w:r>
      <w:permEnd w:id="168316292"/>
      <w:r w:rsidR="007B3472" w:rsidRPr="002D255E">
        <w:t xml:space="preserve"> </w:t>
      </w:r>
      <w:r w:rsidRPr="002D255E">
        <w:t xml:space="preserve">shared care protocol for </w:t>
      </w:r>
      <w:permStart w:id="2042722128" w:edGrp="everyone"/>
      <w:r w:rsidR="007B3472" w:rsidRPr="007B3472">
        <w:rPr>
          <w:i/>
          <w:iCs/>
        </w:rPr>
        <w:t>[insert medicine name]</w:t>
      </w:r>
      <w:permEnd w:id="2042722128"/>
      <w:r w:rsidRPr="002D255E">
        <w:t xml:space="preserve"> for the treatment of </w:t>
      </w:r>
      <w:permStart w:id="1384327092" w:edGrp="everyone"/>
      <w:r w:rsidR="007B3472" w:rsidRPr="007B3472">
        <w:rPr>
          <w:i/>
          <w:iCs/>
        </w:rPr>
        <w:t>[insert indication]</w:t>
      </w:r>
      <w:permEnd w:id="1384327092"/>
      <w:r w:rsidRPr="002D255E">
        <w:rPr>
          <w:i/>
        </w:rPr>
        <w:t xml:space="preserve">, </w:t>
      </w:r>
      <w:r w:rsidRPr="002D255E">
        <w:t>this patient is now suitable for prescribing to move to primary care.</w:t>
      </w:r>
    </w:p>
    <w:p w14:paraId="2093DFBA" w14:textId="1BEE152D" w:rsidR="005F6358" w:rsidRPr="002D255E" w:rsidRDefault="005F6358" w:rsidP="00F13240">
      <w:pPr>
        <w:spacing w:after="120"/>
      </w:pPr>
      <w:r w:rsidRPr="002D255E">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2D255E" w:rsidRDefault="005F6358" w:rsidP="00F13240">
      <w:r w:rsidRPr="002D255E">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2D255E" w14:paraId="0B8EECC0" w14:textId="77777777" w:rsidTr="00F13240">
        <w:tc>
          <w:tcPr>
            <w:tcW w:w="7650" w:type="dxa"/>
            <w:shd w:val="clear" w:color="auto" w:fill="D9D9D9" w:themeFill="background1" w:themeFillShade="D9"/>
            <w:vAlign w:val="center"/>
          </w:tcPr>
          <w:p w14:paraId="230FB15B" w14:textId="77777777" w:rsidR="005F6358" w:rsidRPr="002D255E"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D255E" w:rsidRDefault="005F6358" w:rsidP="00F13240">
            <w:pPr>
              <w:spacing w:before="60" w:after="60" w:line="276" w:lineRule="auto"/>
              <w:jc w:val="center"/>
              <w:rPr>
                <w:rFonts w:eastAsia="Times New Roman" w:cstheme="minorHAnsi"/>
                <w:b/>
                <w:sz w:val="18"/>
              </w:rPr>
            </w:pPr>
            <w:r w:rsidRPr="002D255E">
              <w:rPr>
                <w:rFonts w:eastAsia="Times New Roman" w:cstheme="minorHAnsi"/>
                <w:b/>
                <w:sz w:val="18"/>
              </w:rPr>
              <w:t>Specialist to complete</w:t>
            </w:r>
          </w:p>
        </w:tc>
      </w:tr>
      <w:tr w:rsidR="005F6358" w:rsidRPr="002D255E" w14:paraId="36312264" w14:textId="77777777" w:rsidTr="00F13240">
        <w:tc>
          <w:tcPr>
            <w:tcW w:w="7650" w:type="dxa"/>
            <w:vAlign w:val="center"/>
          </w:tcPr>
          <w:p w14:paraId="051D4244"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7B3472" w:rsidRDefault="005F6358" w:rsidP="00F13240">
            <w:pPr>
              <w:spacing w:before="60" w:after="60" w:line="276" w:lineRule="auto"/>
              <w:rPr>
                <w:rFonts w:eastAsia="Times New Roman" w:cstheme="minorHAnsi"/>
                <w:iCs/>
                <w:sz w:val="18"/>
              </w:rPr>
            </w:pPr>
            <w:permStart w:id="1883659189" w:edGrp="everyone"/>
            <w:permEnd w:id="1883659189"/>
          </w:p>
        </w:tc>
      </w:tr>
      <w:tr w:rsidR="005F6358" w:rsidRPr="002D255E" w14:paraId="296A4D6C" w14:textId="77777777" w:rsidTr="00F13240">
        <w:tc>
          <w:tcPr>
            <w:tcW w:w="7650" w:type="dxa"/>
            <w:vAlign w:val="center"/>
          </w:tcPr>
          <w:p w14:paraId="16011904"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2D255E" w:rsidRDefault="005F6358" w:rsidP="00F13240">
            <w:pPr>
              <w:spacing w:before="60" w:after="60" w:line="276" w:lineRule="auto"/>
              <w:jc w:val="center"/>
              <w:rPr>
                <w:rFonts w:eastAsia="Times New Roman" w:cstheme="minorHAnsi"/>
                <w:i/>
                <w:sz w:val="18"/>
              </w:rPr>
            </w:pPr>
            <w:permStart w:id="1064444240" w:edGrp="everyone"/>
            <w:proofErr w:type="gramStart"/>
            <w:r w:rsidRPr="002D255E">
              <w:rPr>
                <w:rFonts w:eastAsia="Times New Roman" w:cstheme="minorHAnsi"/>
                <w:i/>
                <w:sz w:val="18"/>
              </w:rPr>
              <w:t>Yes  /</w:t>
            </w:r>
            <w:proofErr w:type="gramEnd"/>
            <w:r w:rsidRPr="002D255E">
              <w:rPr>
                <w:rFonts w:eastAsia="Times New Roman" w:cstheme="minorHAnsi"/>
                <w:i/>
                <w:sz w:val="18"/>
              </w:rPr>
              <w:t xml:space="preserve">  No</w:t>
            </w:r>
            <w:permEnd w:id="1064444240"/>
          </w:p>
        </w:tc>
      </w:tr>
      <w:tr w:rsidR="005F6358" w:rsidRPr="002D255E" w14:paraId="60A05EDF" w14:textId="77777777" w:rsidTr="00F13240">
        <w:tc>
          <w:tcPr>
            <w:tcW w:w="7650" w:type="dxa"/>
            <w:vAlign w:val="center"/>
          </w:tcPr>
          <w:p w14:paraId="6E28F5C8"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2D255E" w:rsidRDefault="005F6358" w:rsidP="00F13240">
            <w:pPr>
              <w:spacing w:before="60" w:after="60" w:line="276" w:lineRule="auto"/>
              <w:jc w:val="center"/>
              <w:rPr>
                <w:rFonts w:eastAsia="Times New Roman" w:cstheme="minorHAnsi"/>
                <w:i/>
                <w:sz w:val="18"/>
              </w:rPr>
            </w:pPr>
            <w:permStart w:id="174998252" w:edGrp="everyone"/>
            <w:proofErr w:type="gramStart"/>
            <w:r w:rsidRPr="002D255E">
              <w:rPr>
                <w:rFonts w:eastAsia="Times New Roman" w:cstheme="minorHAnsi"/>
                <w:i/>
                <w:sz w:val="18"/>
              </w:rPr>
              <w:t>Yes  /</w:t>
            </w:r>
            <w:proofErr w:type="gramEnd"/>
            <w:r w:rsidRPr="002D255E">
              <w:rPr>
                <w:rFonts w:eastAsia="Times New Roman" w:cstheme="minorHAnsi"/>
                <w:i/>
                <w:sz w:val="18"/>
              </w:rPr>
              <w:t xml:space="preserve">  No</w:t>
            </w:r>
            <w:permEnd w:id="174998252"/>
          </w:p>
        </w:tc>
      </w:tr>
      <w:tr w:rsidR="005F6358" w:rsidRPr="002D255E" w14:paraId="57D89858" w14:textId="77777777" w:rsidTr="00F13240">
        <w:tc>
          <w:tcPr>
            <w:tcW w:w="7650" w:type="dxa"/>
            <w:vAlign w:val="center"/>
          </w:tcPr>
          <w:p w14:paraId="03647C77"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2D255E" w:rsidRDefault="005F6358" w:rsidP="00F13240">
            <w:pPr>
              <w:spacing w:before="60" w:after="60" w:line="276" w:lineRule="auto"/>
              <w:jc w:val="center"/>
              <w:rPr>
                <w:i/>
                <w:sz w:val="18"/>
              </w:rPr>
            </w:pPr>
            <w:permStart w:id="1143494646" w:edGrp="everyone"/>
            <w:proofErr w:type="gramStart"/>
            <w:r w:rsidRPr="002D255E">
              <w:rPr>
                <w:i/>
                <w:sz w:val="18"/>
              </w:rPr>
              <w:t>Yes  /</w:t>
            </w:r>
            <w:proofErr w:type="gramEnd"/>
            <w:r w:rsidRPr="002D255E">
              <w:rPr>
                <w:i/>
                <w:sz w:val="18"/>
              </w:rPr>
              <w:t xml:space="preserve">  No</w:t>
            </w:r>
            <w:permEnd w:id="1143494646"/>
          </w:p>
        </w:tc>
      </w:tr>
      <w:tr w:rsidR="005F6358" w:rsidRPr="002D255E" w14:paraId="2FD663D7" w14:textId="77777777" w:rsidTr="00F13240">
        <w:tc>
          <w:tcPr>
            <w:tcW w:w="7650" w:type="dxa"/>
            <w:vAlign w:val="center"/>
          </w:tcPr>
          <w:p w14:paraId="2B594182"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roles of the specialist/specialist team/</w:t>
            </w:r>
            <w:r w:rsidRPr="002D255E">
              <w:t xml:space="preserve"> </w:t>
            </w:r>
            <w:r w:rsidRPr="002D255E">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2D255E" w:rsidRDefault="005F6358" w:rsidP="00F13240">
            <w:pPr>
              <w:spacing w:before="60" w:after="60" w:line="276" w:lineRule="auto"/>
              <w:jc w:val="center"/>
              <w:rPr>
                <w:i/>
                <w:sz w:val="18"/>
              </w:rPr>
            </w:pPr>
            <w:permStart w:id="1826358915" w:edGrp="everyone"/>
            <w:proofErr w:type="gramStart"/>
            <w:r w:rsidRPr="002D255E">
              <w:rPr>
                <w:i/>
                <w:sz w:val="18"/>
              </w:rPr>
              <w:t>Yes  /</w:t>
            </w:r>
            <w:proofErr w:type="gramEnd"/>
            <w:r w:rsidRPr="002D255E">
              <w:rPr>
                <w:i/>
                <w:sz w:val="18"/>
              </w:rPr>
              <w:t xml:space="preserve">  No</w:t>
            </w:r>
            <w:permEnd w:id="1826358915"/>
          </w:p>
        </w:tc>
      </w:tr>
      <w:tr w:rsidR="005F6358" w:rsidRPr="002D255E" w14:paraId="336ADA04" w14:textId="77777777" w:rsidTr="00F13240">
        <w:tc>
          <w:tcPr>
            <w:tcW w:w="7650" w:type="dxa"/>
            <w:vAlign w:val="center"/>
          </w:tcPr>
          <w:p w14:paraId="4EC0FBD5"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2D255E" w:rsidRDefault="005F6358" w:rsidP="00F13240">
            <w:pPr>
              <w:spacing w:before="60" w:after="60" w:line="276" w:lineRule="auto"/>
              <w:jc w:val="center"/>
              <w:rPr>
                <w:i/>
                <w:sz w:val="18"/>
              </w:rPr>
            </w:pPr>
            <w:permStart w:id="1523650923" w:edGrp="everyone"/>
            <w:proofErr w:type="gramStart"/>
            <w:r w:rsidRPr="002D255E">
              <w:rPr>
                <w:i/>
                <w:sz w:val="18"/>
              </w:rPr>
              <w:t>Yes  /</w:t>
            </w:r>
            <w:proofErr w:type="gramEnd"/>
            <w:r w:rsidRPr="002D255E">
              <w:rPr>
                <w:i/>
                <w:sz w:val="18"/>
              </w:rPr>
              <w:t xml:space="preserve">  No</w:t>
            </w:r>
            <w:permEnd w:id="1523650923"/>
          </w:p>
        </w:tc>
      </w:tr>
      <w:tr w:rsidR="005F6358" w:rsidRPr="002D255E" w14:paraId="1137386B" w14:textId="77777777" w:rsidTr="00F13240">
        <w:tc>
          <w:tcPr>
            <w:tcW w:w="7650" w:type="dxa"/>
            <w:vAlign w:val="center"/>
          </w:tcPr>
          <w:p w14:paraId="253AA4D8"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2D255E" w:rsidRDefault="005F6358" w:rsidP="00F13240">
            <w:pPr>
              <w:spacing w:before="60" w:after="60" w:line="276" w:lineRule="auto"/>
              <w:jc w:val="center"/>
              <w:rPr>
                <w:i/>
                <w:sz w:val="18"/>
              </w:rPr>
            </w:pPr>
            <w:permStart w:id="1949785303" w:edGrp="everyone"/>
            <w:proofErr w:type="gramStart"/>
            <w:r w:rsidRPr="002D255E">
              <w:rPr>
                <w:i/>
                <w:sz w:val="18"/>
              </w:rPr>
              <w:t>Yes  /</w:t>
            </w:r>
            <w:proofErr w:type="gramEnd"/>
            <w:r w:rsidRPr="002D255E">
              <w:rPr>
                <w:i/>
                <w:sz w:val="18"/>
              </w:rPr>
              <w:t xml:space="preserve">  No</w:t>
            </w:r>
            <w:permEnd w:id="1949785303"/>
          </w:p>
        </w:tc>
      </w:tr>
      <w:tr w:rsidR="005F6358" w:rsidRPr="002D255E" w14:paraId="179E7E01" w14:textId="77777777" w:rsidTr="00F13240">
        <w:tc>
          <w:tcPr>
            <w:tcW w:w="7650" w:type="dxa"/>
            <w:vAlign w:val="center"/>
          </w:tcPr>
          <w:p w14:paraId="0E7C2CDA"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2D255E" w:rsidRDefault="005F6358" w:rsidP="00F13240">
            <w:pPr>
              <w:spacing w:before="60" w:after="60" w:line="276" w:lineRule="auto"/>
              <w:jc w:val="center"/>
              <w:rPr>
                <w:i/>
                <w:sz w:val="18"/>
              </w:rPr>
            </w:pPr>
            <w:permStart w:id="1398816934" w:edGrp="everyone"/>
            <w:proofErr w:type="gramStart"/>
            <w:r w:rsidRPr="002D255E">
              <w:rPr>
                <w:i/>
                <w:sz w:val="18"/>
              </w:rPr>
              <w:t>Yes  /</w:t>
            </w:r>
            <w:proofErr w:type="gramEnd"/>
            <w:r w:rsidRPr="002D255E">
              <w:rPr>
                <w:i/>
                <w:sz w:val="18"/>
              </w:rPr>
              <w:t xml:space="preserve">  No</w:t>
            </w:r>
            <w:permEnd w:id="1398816934"/>
          </w:p>
        </w:tc>
      </w:tr>
      <w:tr w:rsidR="005F6358" w:rsidRPr="002D255E" w14:paraId="4D499DCE" w14:textId="77777777" w:rsidTr="00F13240">
        <w:tc>
          <w:tcPr>
            <w:tcW w:w="7650" w:type="dxa"/>
            <w:vAlign w:val="center"/>
          </w:tcPr>
          <w:p w14:paraId="36549BA5"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I have provided the patient with sufficient medication to last until</w:t>
            </w:r>
          </w:p>
        </w:tc>
        <w:tc>
          <w:tcPr>
            <w:tcW w:w="2126" w:type="dxa"/>
          </w:tcPr>
          <w:p w14:paraId="66E3D404" w14:textId="77777777" w:rsidR="005F6358" w:rsidRPr="007B3472" w:rsidRDefault="005F6358" w:rsidP="00F13240">
            <w:pPr>
              <w:spacing w:before="60" w:after="60" w:line="276" w:lineRule="auto"/>
              <w:rPr>
                <w:rFonts w:eastAsia="Times New Roman" w:cstheme="minorHAnsi"/>
                <w:iCs/>
                <w:sz w:val="18"/>
              </w:rPr>
            </w:pPr>
            <w:permStart w:id="828994698" w:edGrp="everyone"/>
            <w:permEnd w:id="828994698"/>
          </w:p>
        </w:tc>
      </w:tr>
      <w:tr w:rsidR="005F6358" w:rsidRPr="002D255E" w14:paraId="33D9304A" w14:textId="77777777" w:rsidTr="00F13240">
        <w:tc>
          <w:tcPr>
            <w:tcW w:w="7650" w:type="dxa"/>
            <w:vAlign w:val="center"/>
          </w:tcPr>
          <w:p w14:paraId="1C37C772" w14:textId="77777777" w:rsidR="005F6358" w:rsidRPr="002D255E" w:rsidRDefault="005F6358" w:rsidP="00F13240">
            <w:pPr>
              <w:spacing w:before="60" w:after="60" w:line="276" w:lineRule="auto"/>
              <w:jc w:val="right"/>
              <w:rPr>
                <w:rFonts w:eastAsia="Times New Roman" w:cstheme="minorHAnsi"/>
                <w:i/>
                <w:sz w:val="18"/>
              </w:rPr>
            </w:pPr>
            <w:r w:rsidRPr="002D255E">
              <w:rPr>
                <w:rFonts w:eastAsia="Times New Roman" w:cstheme="minorHAnsi"/>
                <w:i/>
                <w:sz w:val="18"/>
              </w:rPr>
              <w:t>I have arranged a follow up with this patient in the following timescale</w:t>
            </w:r>
          </w:p>
        </w:tc>
        <w:tc>
          <w:tcPr>
            <w:tcW w:w="2126" w:type="dxa"/>
          </w:tcPr>
          <w:p w14:paraId="22EB3190" w14:textId="77777777" w:rsidR="005F6358" w:rsidRPr="007B3472" w:rsidRDefault="005F6358" w:rsidP="00F13240">
            <w:pPr>
              <w:spacing w:before="60" w:after="60" w:line="276" w:lineRule="auto"/>
              <w:rPr>
                <w:rFonts w:eastAsia="Times New Roman" w:cstheme="minorHAnsi"/>
                <w:iCs/>
                <w:sz w:val="18"/>
              </w:rPr>
            </w:pPr>
            <w:permStart w:id="55653425" w:edGrp="everyone"/>
            <w:permEnd w:id="55653425"/>
          </w:p>
        </w:tc>
      </w:tr>
    </w:tbl>
    <w:p w14:paraId="5B46CF59" w14:textId="4B331FAE" w:rsidR="005F6358" w:rsidRPr="002D255E" w:rsidRDefault="005F6358" w:rsidP="005F6358">
      <w:pPr>
        <w:spacing w:after="60"/>
      </w:pPr>
      <w:r w:rsidRPr="002D255E">
        <w:t xml:space="preserve">Treatment was started on </w:t>
      </w:r>
      <w:permStart w:id="573530042" w:edGrp="everyone"/>
      <w:r w:rsidR="007B3472" w:rsidRPr="007B3472">
        <w:rPr>
          <w:i/>
          <w:iCs/>
        </w:rPr>
        <w:t>[insert date started]</w:t>
      </w:r>
      <w:permEnd w:id="573530042"/>
      <w:r w:rsidRPr="002D255E">
        <w:t xml:space="preserve"> and the current dose is </w:t>
      </w:r>
      <w:permStart w:id="661586771" w:edGrp="everyone"/>
      <w:r w:rsidR="007B3472" w:rsidRPr="007B3472">
        <w:rPr>
          <w:i/>
          <w:iCs/>
        </w:rPr>
        <w:t>[insert dose and frequency</w:t>
      </w:r>
      <w:r w:rsidR="007B3472">
        <w:t>]</w:t>
      </w:r>
      <w:r w:rsidRPr="002D255E">
        <w:t>.</w:t>
      </w:r>
      <w:permEnd w:id="661586771"/>
    </w:p>
    <w:p w14:paraId="468D6DF6" w14:textId="0A423237" w:rsidR="005F6358" w:rsidRPr="002D255E" w:rsidRDefault="005F6358" w:rsidP="005F6358">
      <w:pPr>
        <w:spacing w:after="60"/>
        <w:rPr>
          <w:rFonts w:eastAsia="Times New Roman" w:cstheme="minorHAnsi"/>
        </w:rPr>
      </w:pPr>
      <w:r w:rsidRPr="002D255E">
        <w:rPr>
          <w:rFonts w:eastAsia="Times New Roman" w:cstheme="minorHAnsi"/>
        </w:rPr>
        <w:t>If you are in agreement, please undertake monitoring and treatment from</w:t>
      </w:r>
      <w:r w:rsidR="007B3472">
        <w:rPr>
          <w:rFonts w:eastAsia="Times New Roman" w:cstheme="minorHAnsi"/>
        </w:rPr>
        <w:t xml:space="preserve"> </w:t>
      </w:r>
      <w:permStart w:id="1211377804" w:edGrp="everyone"/>
      <w:r w:rsidR="007B3472" w:rsidRPr="007B3472">
        <w:rPr>
          <w:rFonts w:eastAsia="Times New Roman" w:cstheme="minorHAnsi"/>
          <w:i/>
          <w:iCs/>
        </w:rPr>
        <w:t>[insert date]</w:t>
      </w:r>
      <w:r w:rsidRPr="002D255E">
        <w:rPr>
          <w:rFonts w:eastAsia="Times New Roman" w:cstheme="minorHAnsi"/>
          <w:i/>
        </w:rPr>
        <w:t xml:space="preserve"> </w:t>
      </w:r>
      <w:permEnd w:id="1211377804"/>
      <w:r w:rsidRPr="002D255E">
        <w:rPr>
          <w:rFonts w:eastAsia="Times New Roman" w:cstheme="minorHAnsi"/>
        </w:rPr>
        <w:t>NB: date must be at least 1 month from initiation of treatment.</w:t>
      </w:r>
    </w:p>
    <w:p w14:paraId="3AC04E09" w14:textId="604A1DD1" w:rsidR="005F6358" w:rsidRPr="002D255E" w:rsidRDefault="005F6358" w:rsidP="005F6358">
      <w:pPr>
        <w:spacing w:after="60"/>
        <w:rPr>
          <w:rFonts w:eastAsia="Times New Roman" w:cstheme="minorHAnsi"/>
        </w:rPr>
      </w:pPr>
      <w:r w:rsidRPr="002D255E">
        <w:rPr>
          <w:rFonts w:eastAsia="Times New Roman" w:cstheme="minorHAnsi"/>
        </w:rPr>
        <w:t xml:space="preserve">The next blood monitoring is due on </w:t>
      </w:r>
      <w:permStart w:id="2139100774" w:edGrp="everyone"/>
      <w:r w:rsidR="007B3472" w:rsidRPr="007B3472">
        <w:rPr>
          <w:rFonts w:eastAsia="Times New Roman" w:cstheme="minorHAnsi"/>
          <w:i/>
          <w:iCs/>
        </w:rPr>
        <w:t>[insert date]</w:t>
      </w:r>
      <w:permEnd w:id="2139100774"/>
      <w:r w:rsidRPr="002D255E">
        <w:rPr>
          <w:i/>
        </w:rPr>
        <w:t xml:space="preserve"> </w:t>
      </w:r>
      <w:r w:rsidRPr="002D255E">
        <w:rPr>
          <w:rFonts w:eastAsia="Times New Roman" w:cstheme="minorHAnsi"/>
        </w:rPr>
        <w:t>and should be continued in line with the shared care guideline.</w:t>
      </w:r>
    </w:p>
    <w:p w14:paraId="7E7E76AC" w14:textId="355D44BA" w:rsidR="005F6358" w:rsidRPr="002D255E" w:rsidRDefault="003F53C9" w:rsidP="005F6358">
      <w:pPr>
        <w:spacing w:after="60"/>
      </w:pPr>
      <w:r w:rsidRPr="002D255E">
        <w:rPr>
          <w:rFonts w:eastAsia="Times New Roman" w:cstheme="minorHAnsi"/>
        </w:rPr>
        <w:t>Please respond to this request for shared care, in writing, within 14 days of the request being made where possible.</w:t>
      </w:r>
    </w:p>
    <w:p w14:paraId="41BD8DEF" w14:textId="77777777" w:rsidR="005F6358" w:rsidRPr="002D255E" w:rsidRDefault="005F6358" w:rsidP="00F13240">
      <w:pPr>
        <w:pStyle w:val="Heading1"/>
        <w:numPr>
          <w:ilvl w:val="0"/>
          <w:numId w:val="0"/>
        </w:numPr>
      </w:pPr>
      <w:bookmarkStart w:id="25" w:name="_Appendix_3"/>
      <w:bookmarkStart w:id="26" w:name="_Toc28084478"/>
      <w:bookmarkStart w:id="27" w:name="_Toc64632335"/>
      <w:bookmarkEnd w:id="25"/>
      <w:r w:rsidRPr="002D255E">
        <w:lastRenderedPageBreak/>
        <w:t xml:space="preserve">Appendix </w:t>
      </w:r>
      <w:bookmarkEnd w:id="26"/>
      <w:r w:rsidRPr="002D255E">
        <w:t>2: Shared Care Agreement Letter (Primary Care Prescriber to Specialist)</w:t>
      </w:r>
      <w:bookmarkEnd w:id="27"/>
    </w:p>
    <w:p w14:paraId="1FFAE8B0" w14:textId="77777777" w:rsidR="005F6358" w:rsidRPr="002D255E" w:rsidRDefault="005F6358" w:rsidP="005F6358">
      <w:pPr>
        <w:spacing w:after="0"/>
        <w:rPr>
          <w:rFonts w:eastAsia="Times New Roman" w:cs="Arial"/>
          <w:b/>
          <w:bCs/>
          <w:sz w:val="32"/>
          <w:szCs w:val="20"/>
        </w:rPr>
      </w:pPr>
    </w:p>
    <w:p w14:paraId="77BD59C3" w14:textId="77777777" w:rsidR="005F6358" w:rsidRPr="002D255E" w:rsidRDefault="005F6358" w:rsidP="005F6358">
      <w:pPr>
        <w:rPr>
          <w:rFonts w:cs="Arial"/>
          <w:b/>
        </w:rPr>
      </w:pPr>
      <w:r w:rsidRPr="002D255E">
        <w:rPr>
          <w:rFonts w:cs="Arial"/>
          <w:b/>
        </w:rPr>
        <w:t>Primary Care Prescriber Response</w:t>
      </w:r>
    </w:p>
    <w:p w14:paraId="36298607" w14:textId="53C757D0" w:rsidR="005F6358" w:rsidRPr="002D255E" w:rsidRDefault="005F6358" w:rsidP="005F6358">
      <w:pPr>
        <w:spacing w:after="0"/>
        <w:rPr>
          <w:rFonts w:eastAsia="Times New Roman" w:cs="Arial"/>
        </w:rPr>
      </w:pPr>
      <w:r w:rsidRPr="002D255E">
        <w:rPr>
          <w:rFonts w:eastAsia="Times New Roman" w:cs="Arial"/>
        </w:rPr>
        <w:t>Dear</w:t>
      </w:r>
      <w:r w:rsidR="007B3472">
        <w:rPr>
          <w:rFonts w:eastAsia="Times New Roman" w:cs="Arial"/>
        </w:rPr>
        <w:t xml:space="preserve"> </w:t>
      </w:r>
      <w:permStart w:id="1655579008" w:edGrp="everyone"/>
      <w:r w:rsidR="007B3472" w:rsidRPr="007B3472">
        <w:rPr>
          <w:rFonts w:eastAsia="Times New Roman" w:cs="Arial"/>
          <w:i/>
          <w:iCs/>
        </w:rPr>
        <w:t>[insert Doctor's name]</w:t>
      </w:r>
      <w:permEnd w:id="1655579008"/>
      <w:r w:rsidR="007B3472" w:rsidRPr="002D255E">
        <w:rPr>
          <w:rFonts w:eastAsia="Times New Roman" w:cs="Arial"/>
        </w:rPr>
        <w:t xml:space="preserve"> </w:t>
      </w:r>
    </w:p>
    <w:p w14:paraId="2419F036" w14:textId="49E01564" w:rsidR="005F6358" w:rsidRPr="002D255E" w:rsidRDefault="005F6358" w:rsidP="005F6358">
      <w:pPr>
        <w:spacing w:after="0"/>
        <w:rPr>
          <w:rFonts w:eastAsia="Times New Roman" w:cs="Arial"/>
          <w:i/>
        </w:rPr>
      </w:pPr>
      <w:r w:rsidRPr="002D255E">
        <w:rPr>
          <w:rFonts w:eastAsia="Times New Roman" w:cs="Arial"/>
        </w:rPr>
        <w:t>Patient</w:t>
      </w:r>
      <w:r w:rsidR="00142B72">
        <w:rPr>
          <w:rFonts w:eastAsia="Times New Roman" w:cs="Arial"/>
        </w:rPr>
        <w:t xml:space="preserve">: </w:t>
      </w:r>
      <w:r w:rsidRPr="002D255E">
        <w:rPr>
          <w:rFonts w:eastAsia="Times New Roman" w:cs="Arial"/>
        </w:rPr>
        <w:t xml:space="preserve"> </w:t>
      </w:r>
      <w:permStart w:id="1963141689" w:edGrp="everyone"/>
      <w:r w:rsidR="007B3472" w:rsidRPr="007B3472">
        <w:rPr>
          <w:rFonts w:eastAsia="Times New Roman" w:cs="Arial"/>
          <w:i/>
          <w:iCs/>
        </w:rPr>
        <w:t>[insert Patient's name]</w:t>
      </w:r>
      <w:permEnd w:id="1963141689"/>
      <w:r w:rsidR="007B3472" w:rsidRPr="002D255E">
        <w:rPr>
          <w:rFonts w:eastAsia="Times New Roman" w:cs="Arial"/>
          <w:i/>
        </w:rPr>
        <w:t xml:space="preserve"> </w:t>
      </w:r>
    </w:p>
    <w:p w14:paraId="1A136DF1" w14:textId="763AD3E6" w:rsidR="005F6358" w:rsidRPr="002D255E" w:rsidRDefault="005F6358" w:rsidP="005F6358">
      <w:pPr>
        <w:spacing w:after="0"/>
        <w:rPr>
          <w:rFonts w:eastAsia="Times New Roman" w:cs="Arial"/>
          <w:iCs/>
        </w:rPr>
      </w:pPr>
      <w:r w:rsidRPr="002D255E">
        <w:rPr>
          <w:rFonts w:eastAsia="Times New Roman" w:cs="Arial"/>
        </w:rPr>
        <w:t>NHS Number</w:t>
      </w:r>
      <w:r w:rsidRPr="002D255E">
        <w:rPr>
          <w:rFonts w:eastAsia="Times New Roman" w:cs="Arial"/>
        </w:rPr>
        <w:tab/>
      </w:r>
      <w:r w:rsidR="00142B72">
        <w:rPr>
          <w:rFonts w:eastAsia="Times New Roman" w:cs="Arial"/>
        </w:rPr>
        <w:t xml:space="preserve">: </w:t>
      </w:r>
      <w:r w:rsidR="007B3472">
        <w:rPr>
          <w:rFonts w:eastAsia="Times New Roman" w:cs="Arial"/>
        </w:rPr>
        <w:t xml:space="preserve"> </w:t>
      </w:r>
      <w:permStart w:id="1196884753" w:edGrp="everyone"/>
      <w:r w:rsidR="007B3472" w:rsidRPr="007B3472">
        <w:rPr>
          <w:rFonts w:eastAsia="Times New Roman" w:cs="Arial"/>
          <w:i/>
          <w:iCs/>
        </w:rPr>
        <w:t>[insert NHS Number]</w:t>
      </w:r>
      <w:permEnd w:id="1196884753"/>
      <w:r w:rsidR="007B3472" w:rsidRPr="002D255E">
        <w:rPr>
          <w:rFonts w:eastAsia="Times New Roman" w:cs="Arial"/>
          <w:iCs/>
        </w:rPr>
        <w:t xml:space="preserve"> </w:t>
      </w:r>
    </w:p>
    <w:p w14:paraId="5DEE2732" w14:textId="31E3F89B" w:rsidR="005F6358" w:rsidRPr="002D255E" w:rsidRDefault="005F6358" w:rsidP="005F6358">
      <w:pPr>
        <w:spacing w:after="0"/>
        <w:rPr>
          <w:rFonts w:eastAsia="Times New Roman" w:cs="Arial"/>
          <w:i/>
          <w:iCs/>
        </w:rPr>
      </w:pPr>
      <w:r w:rsidRPr="002D255E">
        <w:rPr>
          <w:rFonts w:eastAsia="Times New Roman" w:cs="Arial"/>
        </w:rPr>
        <w:t>Identifier</w:t>
      </w:r>
      <w:r w:rsidR="00142B72">
        <w:rPr>
          <w:rFonts w:eastAsia="Times New Roman" w:cs="Arial"/>
        </w:rPr>
        <w:t xml:space="preserve">: </w:t>
      </w:r>
      <w:r w:rsidR="007B3472">
        <w:rPr>
          <w:rFonts w:eastAsia="Times New Roman" w:cs="Arial"/>
        </w:rPr>
        <w:t xml:space="preserve"> </w:t>
      </w:r>
      <w:permStart w:id="935010744" w:edGrp="everyone"/>
      <w:r w:rsidR="007B3472" w:rsidRPr="007B3472">
        <w:rPr>
          <w:rFonts w:eastAsia="Times New Roman" w:cs="Arial"/>
          <w:i/>
          <w:iCs/>
        </w:rPr>
        <w:t>[insert patient's date of birth and/or address]</w:t>
      </w:r>
      <w:permEnd w:id="935010744"/>
    </w:p>
    <w:p w14:paraId="1462A147" w14:textId="77777777" w:rsidR="005F6358" w:rsidRPr="002D255E" w:rsidRDefault="005F6358" w:rsidP="005F6358">
      <w:pPr>
        <w:spacing w:after="0"/>
        <w:rPr>
          <w:rFonts w:eastAsia="Times New Roman" w:cs="Arial"/>
          <w:i/>
          <w:iCs/>
        </w:rPr>
      </w:pPr>
    </w:p>
    <w:p w14:paraId="5BC3417C" w14:textId="77777777" w:rsidR="005F6358" w:rsidRPr="002D255E" w:rsidRDefault="005F6358" w:rsidP="005F6358">
      <w:pPr>
        <w:spacing w:after="0"/>
        <w:rPr>
          <w:rFonts w:eastAsia="Times New Roman" w:cs="Arial"/>
        </w:rPr>
      </w:pPr>
      <w:r w:rsidRPr="002D255E">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2D255E"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2D255E" w14:paraId="78F58A4F" w14:textId="77777777" w:rsidTr="00E3221B">
        <w:tc>
          <w:tcPr>
            <w:tcW w:w="3320" w:type="dxa"/>
            <w:shd w:val="clear" w:color="auto" w:fill="D9D9D9" w:themeFill="background1" w:themeFillShade="D9"/>
          </w:tcPr>
          <w:p w14:paraId="55EA8A96" w14:textId="77777777" w:rsidR="005F6358" w:rsidRPr="002D255E" w:rsidRDefault="005F6358" w:rsidP="00E3221B">
            <w:pPr>
              <w:jc w:val="center"/>
              <w:rPr>
                <w:rFonts w:eastAsia="Times New Roman" w:cs="Arial"/>
              </w:rPr>
            </w:pPr>
            <w:r w:rsidRPr="002D255E">
              <w:rPr>
                <w:rFonts w:eastAsia="Times New Roman" w:cs="Arial"/>
              </w:rPr>
              <w:t>Medicine</w:t>
            </w:r>
          </w:p>
        </w:tc>
        <w:tc>
          <w:tcPr>
            <w:tcW w:w="3321" w:type="dxa"/>
            <w:shd w:val="clear" w:color="auto" w:fill="D9D9D9" w:themeFill="background1" w:themeFillShade="D9"/>
          </w:tcPr>
          <w:p w14:paraId="21D38F36" w14:textId="77777777" w:rsidR="005F6358" w:rsidRPr="002D255E" w:rsidRDefault="005F6358" w:rsidP="00E3221B">
            <w:pPr>
              <w:jc w:val="center"/>
              <w:rPr>
                <w:rFonts w:eastAsia="Times New Roman" w:cs="Arial"/>
              </w:rPr>
            </w:pPr>
            <w:r w:rsidRPr="002D255E">
              <w:rPr>
                <w:rFonts w:eastAsia="Times New Roman" w:cs="Arial"/>
              </w:rPr>
              <w:t>Route</w:t>
            </w:r>
          </w:p>
        </w:tc>
        <w:tc>
          <w:tcPr>
            <w:tcW w:w="3321" w:type="dxa"/>
            <w:shd w:val="clear" w:color="auto" w:fill="D9D9D9" w:themeFill="background1" w:themeFillShade="D9"/>
          </w:tcPr>
          <w:p w14:paraId="4C29C19D" w14:textId="77777777" w:rsidR="005F6358" w:rsidRPr="002D255E" w:rsidRDefault="005F6358" w:rsidP="00E3221B">
            <w:pPr>
              <w:jc w:val="center"/>
              <w:rPr>
                <w:rFonts w:eastAsia="Times New Roman" w:cs="Arial"/>
              </w:rPr>
            </w:pPr>
            <w:r w:rsidRPr="002D255E">
              <w:rPr>
                <w:rFonts w:eastAsia="Times New Roman" w:cs="Arial"/>
              </w:rPr>
              <w:t>Dose &amp; frequency</w:t>
            </w:r>
          </w:p>
        </w:tc>
      </w:tr>
      <w:tr w:rsidR="005F6358" w:rsidRPr="002D255E" w14:paraId="1EB3B9B3" w14:textId="77777777" w:rsidTr="00E3221B">
        <w:tc>
          <w:tcPr>
            <w:tcW w:w="3320" w:type="dxa"/>
          </w:tcPr>
          <w:p w14:paraId="7EC7F693" w14:textId="77777777" w:rsidR="005F6358" w:rsidRPr="002D255E" w:rsidRDefault="005F6358" w:rsidP="00E3221B">
            <w:pPr>
              <w:rPr>
                <w:rFonts w:eastAsia="Times New Roman" w:cs="Arial"/>
              </w:rPr>
            </w:pPr>
            <w:permStart w:id="1105479532" w:edGrp="everyone"/>
            <w:permEnd w:id="1105479532"/>
          </w:p>
        </w:tc>
        <w:tc>
          <w:tcPr>
            <w:tcW w:w="3321" w:type="dxa"/>
          </w:tcPr>
          <w:p w14:paraId="584B6B99" w14:textId="77777777" w:rsidR="005F6358" w:rsidRPr="002D255E" w:rsidRDefault="005F6358" w:rsidP="00E3221B">
            <w:pPr>
              <w:rPr>
                <w:rFonts w:eastAsia="Times New Roman" w:cs="Arial"/>
              </w:rPr>
            </w:pPr>
            <w:permStart w:id="700121371" w:edGrp="everyone"/>
            <w:permEnd w:id="700121371"/>
          </w:p>
        </w:tc>
        <w:tc>
          <w:tcPr>
            <w:tcW w:w="3321" w:type="dxa"/>
          </w:tcPr>
          <w:p w14:paraId="606BB2B5" w14:textId="77777777" w:rsidR="005F6358" w:rsidRPr="002D255E" w:rsidRDefault="005F6358" w:rsidP="00E3221B">
            <w:pPr>
              <w:rPr>
                <w:rFonts w:eastAsia="Times New Roman" w:cs="Arial"/>
              </w:rPr>
            </w:pPr>
            <w:permStart w:id="487141983" w:edGrp="everyone"/>
            <w:permEnd w:id="487141983"/>
          </w:p>
        </w:tc>
      </w:tr>
    </w:tbl>
    <w:p w14:paraId="6FE7C9BD" w14:textId="77777777" w:rsidR="005F6358" w:rsidRPr="002D255E" w:rsidRDefault="005F6358" w:rsidP="005F6358">
      <w:pPr>
        <w:spacing w:after="0"/>
        <w:rPr>
          <w:rFonts w:eastAsia="Times New Roman" w:cs="Arial"/>
        </w:rPr>
      </w:pPr>
    </w:p>
    <w:p w14:paraId="0AB69963" w14:textId="72DC5637" w:rsidR="005F6358" w:rsidRPr="002D255E" w:rsidRDefault="005F6358" w:rsidP="005F6358">
      <w:pPr>
        <w:spacing w:after="0"/>
        <w:rPr>
          <w:rFonts w:eastAsia="Times New Roman" w:cs="Arial"/>
          <w:bCs/>
        </w:rPr>
      </w:pPr>
      <w:r w:rsidRPr="002D255E">
        <w:rPr>
          <w:rFonts w:eastAsia="Times New Roman" w:cs="Arial"/>
          <w:bCs/>
        </w:rPr>
        <w:t xml:space="preserve">I can confirm that I am willing to take on this responsibility from </w:t>
      </w:r>
      <w:permStart w:id="510134756" w:edGrp="everyone"/>
      <w:r w:rsidR="007B3472" w:rsidRPr="007B3472">
        <w:rPr>
          <w:rFonts w:eastAsia="Times New Roman" w:cs="Arial"/>
          <w:bCs/>
          <w:i/>
          <w:iCs/>
        </w:rPr>
        <w:t>[insert date]</w:t>
      </w:r>
      <w:permEnd w:id="510134756"/>
      <w:r w:rsidRPr="002D255E">
        <w:rPr>
          <w:rFonts w:cs="Arial"/>
          <w:i/>
        </w:rPr>
        <w:t xml:space="preserve"> </w:t>
      </w:r>
      <w:r w:rsidRPr="002D255E">
        <w:rPr>
          <w:rFonts w:eastAsia="Times New Roman" w:cs="Arial"/>
          <w:bCs/>
        </w:rPr>
        <w:t>and will complete the monitoring as set out in the shared care protocol for this medicine/condition.</w:t>
      </w:r>
    </w:p>
    <w:p w14:paraId="1A2733A6" w14:textId="77777777" w:rsidR="005F6358" w:rsidRPr="002D255E" w:rsidRDefault="005F6358" w:rsidP="005F6358">
      <w:pPr>
        <w:spacing w:after="0"/>
        <w:ind w:left="720"/>
        <w:rPr>
          <w:rFonts w:eastAsia="Times New Roman" w:cs="Arial"/>
          <w:bCs/>
        </w:rPr>
      </w:pPr>
    </w:p>
    <w:p w14:paraId="141D7B0A" w14:textId="77777777" w:rsidR="007B3472" w:rsidRDefault="005F6358" w:rsidP="005F6358">
      <w:pPr>
        <w:spacing w:after="0"/>
        <w:rPr>
          <w:rFonts w:eastAsia="Times New Roman" w:cs="Arial"/>
          <w:bCs/>
        </w:rPr>
      </w:pPr>
      <w:r w:rsidRPr="002D255E">
        <w:rPr>
          <w:rFonts w:eastAsia="Times New Roman" w:cs="Arial"/>
          <w:bCs/>
        </w:rPr>
        <w:t xml:space="preserve">Primary Care Prescriber signature: </w:t>
      </w:r>
      <w:permStart w:id="1600670213" w:edGrp="everyone"/>
      <w:r w:rsidRPr="002D255E">
        <w:rPr>
          <w:rFonts w:eastAsia="Times New Roman" w:cs="Arial"/>
          <w:bCs/>
        </w:rPr>
        <w:t>_______________________________</w:t>
      </w:r>
      <w:permEnd w:id="1600670213"/>
      <w:r w:rsidRPr="002D255E">
        <w:rPr>
          <w:rFonts w:eastAsia="Times New Roman" w:cs="Arial"/>
          <w:bCs/>
        </w:rPr>
        <w:tab/>
      </w:r>
    </w:p>
    <w:p w14:paraId="6CF5221F" w14:textId="2E8A8BAF" w:rsidR="005F6358" w:rsidRPr="002D255E" w:rsidRDefault="005F6358" w:rsidP="005F6358">
      <w:pPr>
        <w:spacing w:after="0"/>
        <w:rPr>
          <w:rFonts w:eastAsia="Times New Roman" w:cs="Arial"/>
          <w:bCs/>
        </w:rPr>
      </w:pPr>
      <w:r w:rsidRPr="002D255E">
        <w:rPr>
          <w:rFonts w:eastAsia="Times New Roman" w:cs="Arial"/>
          <w:bCs/>
        </w:rPr>
        <w:t xml:space="preserve">Date: </w:t>
      </w:r>
      <w:permStart w:id="1352299903" w:edGrp="everyone"/>
      <w:r w:rsidRPr="002D255E">
        <w:rPr>
          <w:rFonts w:eastAsia="Times New Roman" w:cs="Arial"/>
          <w:bCs/>
        </w:rPr>
        <w:t xml:space="preserve">____________ </w:t>
      </w:r>
      <w:permEnd w:id="1352299903"/>
    </w:p>
    <w:p w14:paraId="132AEFA8" w14:textId="77777777" w:rsidR="005F6358" w:rsidRPr="002D255E" w:rsidRDefault="005F6358" w:rsidP="005F6358">
      <w:pPr>
        <w:spacing w:after="0"/>
        <w:ind w:left="720"/>
        <w:rPr>
          <w:rFonts w:eastAsia="Times New Roman" w:cs="Arial"/>
          <w:bCs/>
        </w:rPr>
      </w:pPr>
    </w:p>
    <w:p w14:paraId="7138C530" w14:textId="77777777" w:rsidR="005F6358" w:rsidRPr="002D255E" w:rsidRDefault="005F6358" w:rsidP="005F6358">
      <w:pPr>
        <w:spacing w:after="0"/>
        <w:ind w:left="720"/>
        <w:rPr>
          <w:rFonts w:eastAsia="Times New Roman" w:cs="Arial"/>
          <w:bCs/>
        </w:rPr>
      </w:pPr>
    </w:p>
    <w:p w14:paraId="29F1B561" w14:textId="77777777" w:rsidR="005F6358" w:rsidRPr="002D255E" w:rsidRDefault="005F6358" w:rsidP="005F6358">
      <w:pPr>
        <w:spacing w:after="0"/>
        <w:ind w:left="720"/>
        <w:rPr>
          <w:rFonts w:eastAsia="Times New Roman" w:cs="Arial"/>
          <w:bCs/>
        </w:rPr>
      </w:pPr>
    </w:p>
    <w:p w14:paraId="38C8164B" w14:textId="77777777" w:rsidR="005F6358" w:rsidRPr="002D255E" w:rsidRDefault="005F6358" w:rsidP="005F6358">
      <w:pPr>
        <w:spacing w:after="0"/>
        <w:rPr>
          <w:rFonts w:eastAsia="Times New Roman" w:cs="Arial"/>
          <w:bCs/>
        </w:rPr>
      </w:pPr>
      <w:r w:rsidRPr="002D255E">
        <w:rPr>
          <w:rFonts w:eastAsia="Times New Roman" w:cs="Arial"/>
          <w:bCs/>
        </w:rPr>
        <w:t>Primary Care Prescriber address/practice stamp</w:t>
      </w:r>
    </w:p>
    <w:p w14:paraId="6F0BFCBB" w14:textId="77777777" w:rsidR="005F6358" w:rsidRPr="002D255E" w:rsidRDefault="005F6358" w:rsidP="005F6358">
      <w:pPr>
        <w:rPr>
          <w:rFonts w:eastAsia="Times New Roman" w:cs="Arial"/>
          <w:bCs/>
        </w:rPr>
      </w:pPr>
      <w:permStart w:id="829842860" w:edGrp="everyone"/>
      <w:permEnd w:id="829842860"/>
      <w:r w:rsidRPr="002D255E">
        <w:rPr>
          <w:rFonts w:eastAsia="Times New Roman" w:cs="Arial"/>
          <w:bCs/>
        </w:rPr>
        <w:br w:type="page"/>
      </w:r>
    </w:p>
    <w:p w14:paraId="39EB88B2" w14:textId="77777777" w:rsidR="005F6358" w:rsidRPr="002D255E" w:rsidRDefault="005F6358" w:rsidP="00F13240">
      <w:pPr>
        <w:pStyle w:val="Heading1"/>
        <w:numPr>
          <w:ilvl w:val="0"/>
          <w:numId w:val="0"/>
        </w:numPr>
      </w:pPr>
      <w:bookmarkStart w:id="28" w:name="_Appendix_4"/>
      <w:bookmarkStart w:id="29" w:name="_Toc28084479"/>
      <w:bookmarkStart w:id="30" w:name="_Toc64632336"/>
      <w:bookmarkEnd w:id="28"/>
      <w:r w:rsidRPr="002D255E">
        <w:lastRenderedPageBreak/>
        <w:t xml:space="preserve">Appendix </w:t>
      </w:r>
      <w:bookmarkEnd w:id="29"/>
      <w:r w:rsidRPr="002D255E">
        <w:t>3: Shared Care Refusal Letter (Primary Care Prescriber to Specialist)</w:t>
      </w:r>
      <w:bookmarkEnd w:id="30"/>
    </w:p>
    <w:p w14:paraId="1BE7EAC2" w14:textId="77777777" w:rsidR="005F6358" w:rsidRPr="002D255E" w:rsidRDefault="005F6358" w:rsidP="005F6358">
      <w:pPr>
        <w:autoSpaceDE w:val="0"/>
        <w:autoSpaceDN w:val="0"/>
        <w:adjustRightInd w:val="0"/>
        <w:spacing w:after="0"/>
        <w:rPr>
          <w:rFonts w:eastAsia="Times New Roman" w:cs="Arial"/>
          <w:lang w:eastAsia="en-GB"/>
        </w:rPr>
      </w:pPr>
    </w:p>
    <w:p w14:paraId="2B25E301" w14:textId="77777777" w:rsidR="005F6358" w:rsidRPr="002D255E" w:rsidRDefault="005F6358" w:rsidP="005F6358">
      <w:pPr>
        <w:autoSpaceDE w:val="0"/>
        <w:autoSpaceDN w:val="0"/>
        <w:adjustRightInd w:val="0"/>
        <w:spacing w:after="0"/>
        <w:rPr>
          <w:rFonts w:eastAsia="Times New Roman" w:cs="Arial"/>
          <w:b/>
          <w:lang w:eastAsia="en-GB"/>
        </w:rPr>
      </w:pPr>
      <w:r w:rsidRPr="002D255E">
        <w:rPr>
          <w:rFonts w:eastAsia="Times New Roman" w:cs="Arial"/>
          <w:b/>
          <w:lang w:eastAsia="en-GB"/>
        </w:rPr>
        <w:t xml:space="preserve">Re: </w:t>
      </w:r>
    </w:p>
    <w:p w14:paraId="67825EA0" w14:textId="4FFCF05C" w:rsidR="005F6358" w:rsidRPr="002D255E" w:rsidRDefault="005F6358" w:rsidP="005F6358">
      <w:pPr>
        <w:spacing w:after="0"/>
        <w:rPr>
          <w:rFonts w:eastAsia="Times New Roman" w:cs="Arial"/>
          <w:i/>
        </w:rPr>
      </w:pPr>
      <w:r w:rsidRPr="002D255E">
        <w:rPr>
          <w:rFonts w:eastAsia="Times New Roman" w:cs="Arial"/>
        </w:rPr>
        <w:t>Patient</w:t>
      </w:r>
      <w:r w:rsidR="00142B72">
        <w:rPr>
          <w:rFonts w:eastAsia="Times New Roman" w:cs="Arial"/>
        </w:rPr>
        <w:t xml:space="preserve">: </w:t>
      </w:r>
      <w:r w:rsidRPr="002D255E">
        <w:rPr>
          <w:rFonts w:eastAsia="Times New Roman" w:cs="Arial"/>
        </w:rPr>
        <w:t xml:space="preserve"> </w:t>
      </w:r>
      <w:permStart w:id="389506431" w:edGrp="everyone"/>
      <w:r w:rsidR="007B3472" w:rsidRPr="007B3472">
        <w:rPr>
          <w:rFonts w:eastAsia="Times New Roman" w:cs="Arial"/>
          <w:i/>
          <w:iCs/>
        </w:rPr>
        <w:t>[insert Patient's name]</w:t>
      </w:r>
      <w:r w:rsidR="007B3472" w:rsidRPr="002D255E">
        <w:rPr>
          <w:rFonts w:eastAsia="Times New Roman" w:cs="Arial"/>
          <w:i/>
        </w:rPr>
        <w:t xml:space="preserve"> </w:t>
      </w:r>
      <w:permEnd w:id="389506431"/>
    </w:p>
    <w:p w14:paraId="16D9DC91" w14:textId="06285BB3" w:rsidR="005F6358" w:rsidRPr="002D255E" w:rsidRDefault="005F6358" w:rsidP="005F6358">
      <w:pPr>
        <w:spacing w:after="0"/>
        <w:rPr>
          <w:rFonts w:eastAsia="Times New Roman" w:cs="Arial"/>
          <w:iCs/>
        </w:rPr>
      </w:pPr>
      <w:r w:rsidRPr="002D255E">
        <w:rPr>
          <w:rFonts w:eastAsia="Times New Roman" w:cs="Arial"/>
        </w:rPr>
        <w:t>NHS Number</w:t>
      </w:r>
      <w:r w:rsidRPr="002D255E">
        <w:rPr>
          <w:rFonts w:eastAsia="Times New Roman" w:cs="Arial"/>
        </w:rPr>
        <w:tab/>
      </w:r>
      <w:r w:rsidR="00142B72">
        <w:rPr>
          <w:rFonts w:eastAsia="Times New Roman" w:cs="Arial"/>
        </w:rPr>
        <w:t xml:space="preserve">: </w:t>
      </w:r>
      <w:r w:rsidR="007B3472">
        <w:rPr>
          <w:rFonts w:eastAsia="Times New Roman" w:cs="Arial"/>
        </w:rPr>
        <w:t xml:space="preserve"> </w:t>
      </w:r>
      <w:permStart w:id="884498969" w:edGrp="everyone"/>
      <w:r w:rsidR="007B3472" w:rsidRPr="007B3472">
        <w:rPr>
          <w:rFonts w:eastAsia="Times New Roman" w:cs="Arial"/>
          <w:i/>
          <w:iCs/>
        </w:rPr>
        <w:t>[insert NHS Number]</w:t>
      </w:r>
      <w:r w:rsidR="007B3472" w:rsidRPr="002D255E">
        <w:rPr>
          <w:rFonts w:eastAsia="Times New Roman" w:cs="Arial"/>
          <w:iCs/>
        </w:rPr>
        <w:t xml:space="preserve"> </w:t>
      </w:r>
      <w:permEnd w:id="884498969"/>
    </w:p>
    <w:p w14:paraId="02399B20" w14:textId="5E26F18C" w:rsidR="005F6358" w:rsidRPr="002D255E" w:rsidRDefault="005F6358" w:rsidP="005F6358">
      <w:pPr>
        <w:spacing w:after="0"/>
        <w:rPr>
          <w:rFonts w:eastAsia="Times New Roman" w:cs="Arial"/>
          <w:i/>
        </w:rPr>
      </w:pPr>
      <w:r w:rsidRPr="002D255E">
        <w:rPr>
          <w:rFonts w:eastAsia="Times New Roman" w:cs="Arial"/>
        </w:rPr>
        <w:t>Identifier</w:t>
      </w:r>
      <w:r w:rsidR="00142B72">
        <w:rPr>
          <w:rFonts w:eastAsia="Times New Roman" w:cs="Arial"/>
        </w:rPr>
        <w:t xml:space="preserve">: </w:t>
      </w:r>
      <w:r w:rsidR="007B3472">
        <w:rPr>
          <w:rFonts w:eastAsia="Times New Roman" w:cs="Arial"/>
        </w:rPr>
        <w:t xml:space="preserve"> </w:t>
      </w:r>
      <w:permStart w:id="670446115" w:edGrp="everyone"/>
      <w:r w:rsidR="007B3472" w:rsidRPr="007B3472">
        <w:rPr>
          <w:rFonts w:eastAsia="Times New Roman" w:cs="Arial"/>
          <w:i/>
          <w:iCs/>
        </w:rPr>
        <w:t>[insert patient's date of birth and/or address]</w:t>
      </w:r>
      <w:permEnd w:id="670446115"/>
      <w:r w:rsidR="007B3472" w:rsidRPr="002D255E">
        <w:rPr>
          <w:rFonts w:eastAsia="Times New Roman" w:cs="Arial"/>
          <w:i/>
        </w:rPr>
        <w:t xml:space="preserve"> </w:t>
      </w:r>
    </w:p>
    <w:p w14:paraId="7700C6D4" w14:textId="77777777" w:rsidR="005F6358" w:rsidRPr="002D255E" w:rsidRDefault="005F6358" w:rsidP="005F6358">
      <w:pPr>
        <w:spacing w:after="0"/>
        <w:rPr>
          <w:rFonts w:eastAsia="Times New Roman" w:cs="Arial"/>
          <w:i/>
          <w:iCs/>
        </w:rPr>
      </w:pPr>
    </w:p>
    <w:p w14:paraId="73D8B9A9" w14:textId="77777777" w:rsidR="005F6358" w:rsidRPr="002D255E" w:rsidRDefault="005F6358" w:rsidP="00F13240">
      <w:pPr>
        <w:autoSpaceDE w:val="0"/>
        <w:autoSpaceDN w:val="0"/>
        <w:adjustRightInd w:val="0"/>
        <w:spacing w:after="240"/>
        <w:rPr>
          <w:rFonts w:eastAsia="Times New Roman" w:cs="Arial"/>
          <w:b/>
          <w:bCs/>
          <w:lang w:eastAsia="en-GB"/>
        </w:rPr>
      </w:pPr>
      <w:r w:rsidRPr="002D255E">
        <w:rPr>
          <w:rFonts w:eastAsia="Times New Roman" w:cs="Arial"/>
          <w:lang w:eastAsia="en-GB"/>
        </w:rPr>
        <w:t>Thank you for your request for me to accept prescribing responsibility for this patient.</w:t>
      </w:r>
    </w:p>
    <w:p w14:paraId="252BA6D0" w14:textId="7F104236" w:rsidR="005F6358" w:rsidRPr="002D255E" w:rsidRDefault="005F6358" w:rsidP="00F13240">
      <w:pPr>
        <w:autoSpaceDE w:val="0"/>
        <w:autoSpaceDN w:val="0"/>
        <w:adjustRightInd w:val="0"/>
        <w:spacing w:after="240"/>
        <w:rPr>
          <w:rFonts w:eastAsia="Times New Roman" w:cs="Arial"/>
          <w:bCs/>
          <w:lang w:eastAsia="en-GB"/>
        </w:rPr>
      </w:pPr>
      <w:r w:rsidRPr="002D255E">
        <w:rPr>
          <w:rFonts w:eastAsia="Times New Roman" w:cs="Arial"/>
          <w:lang w:eastAsia="en-GB"/>
        </w:rPr>
        <w:t xml:space="preserve">In the interest of patient safety NHS </w:t>
      </w:r>
      <w:permStart w:id="1919685422" w:edGrp="everyone"/>
      <w:r w:rsidR="007B3472" w:rsidRPr="006A3CE1">
        <w:rPr>
          <w:rFonts w:eastAsia="Times New Roman" w:cs="Arial"/>
          <w:i/>
          <w:iCs/>
          <w:lang w:eastAsia="en-GB"/>
        </w:rPr>
        <w:t xml:space="preserve">[insert </w:t>
      </w:r>
      <w:r w:rsidR="00142B72">
        <w:rPr>
          <w:rFonts w:eastAsia="Times New Roman" w:cs="Arial"/>
          <w:i/>
          <w:iCs/>
          <w:lang w:eastAsia="en-GB"/>
        </w:rPr>
        <w:t>ICB</w:t>
      </w:r>
      <w:r w:rsidR="007B3472" w:rsidRPr="006A3CE1">
        <w:rPr>
          <w:rFonts w:eastAsia="Times New Roman" w:cs="Arial"/>
          <w:i/>
          <w:iCs/>
          <w:lang w:eastAsia="en-GB"/>
        </w:rPr>
        <w:t xml:space="preserve"> name]</w:t>
      </w:r>
      <w:permEnd w:id="1919685422"/>
      <w:r w:rsidRPr="002D255E">
        <w:rPr>
          <w:rFonts w:eastAsia="Times New Roman" w:cs="Arial"/>
          <w:b/>
          <w:lang w:eastAsia="en-GB"/>
        </w:rPr>
        <w:t>,</w:t>
      </w:r>
      <w:r w:rsidRPr="002D255E">
        <w:rPr>
          <w:rFonts w:eastAsia="Times New Roman" w:cs="Arial"/>
          <w:lang w:eastAsia="en-GB"/>
        </w:rPr>
        <w:t xml:space="preserve"> in conjunction with local acute trusts have classified </w:t>
      </w:r>
      <w:permStart w:id="894922226" w:edGrp="everyone"/>
      <w:r w:rsidR="006A3CE1" w:rsidRPr="006A3CE1">
        <w:rPr>
          <w:rFonts w:eastAsia="Times New Roman" w:cs="Arial"/>
          <w:i/>
          <w:iCs/>
          <w:lang w:eastAsia="en-GB"/>
        </w:rPr>
        <w:t>[insert medicine name]</w:t>
      </w:r>
      <w:permEnd w:id="894922226"/>
      <w:r w:rsidR="006A3CE1" w:rsidRPr="002D255E">
        <w:rPr>
          <w:rFonts w:eastAsia="Times New Roman" w:cs="Arial"/>
          <w:bCs/>
          <w:lang w:eastAsia="en-GB"/>
        </w:rPr>
        <w:t xml:space="preserve"> </w:t>
      </w:r>
      <w:r w:rsidRPr="002D255E">
        <w:rPr>
          <w:rFonts w:eastAsia="Times New Roman" w:cs="Arial"/>
          <w:bCs/>
          <w:lang w:eastAsia="en-GB"/>
        </w:rPr>
        <w:t xml:space="preserve">as a Shared Care </w:t>
      </w:r>
      <w:proofErr w:type="gramStart"/>
      <w:r w:rsidRPr="002D255E">
        <w:rPr>
          <w:rFonts w:eastAsia="Times New Roman" w:cs="Arial"/>
          <w:bCs/>
          <w:lang w:eastAsia="en-GB"/>
        </w:rPr>
        <w:t>drug, and</w:t>
      </w:r>
      <w:proofErr w:type="gramEnd"/>
      <w:r w:rsidRPr="002D255E">
        <w:rPr>
          <w:rFonts w:eastAsia="Times New Roman" w:cs="Arial"/>
          <w:bCs/>
          <w:lang w:eastAsia="en-GB"/>
        </w:rPr>
        <w:t xml:space="preserve"> requires a number of conditions to be met before transfer can be made to primary care.</w:t>
      </w:r>
    </w:p>
    <w:p w14:paraId="442D194A" w14:textId="77777777" w:rsidR="005F6358" w:rsidRPr="002D255E" w:rsidRDefault="005F6358" w:rsidP="007835D2">
      <w:pPr>
        <w:autoSpaceDE w:val="0"/>
        <w:autoSpaceDN w:val="0"/>
        <w:adjustRightInd w:val="0"/>
        <w:spacing w:after="0" w:line="276" w:lineRule="auto"/>
        <w:rPr>
          <w:rFonts w:eastAsia="Times New Roman" w:cs="Arial"/>
          <w:b/>
          <w:bCs/>
          <w:sz w:val="20"/>
          <w:szCs w:val="20"/>
          <w:lang w:eastAsia="en-GB"/>
        </w:rPr>
      </w:pPr>
      <w:r w:rsidRPr="002D255E">
        <w:rPr>
          <w:rFonts w:eastAsia="Times New Roman" w:cs="Arial"/>
          <w:b/>
          <w:bCs/>
          <w:lang w:eastAsia="en-GB"/>
        </w:rPr>
        <w:t>I regret to inform you that in this instance I am unable to take on responsibility due to the following:</w:t>
      </w:r>
    </w:p>
    <w:tbl>
      <w:tblPr>
        <w:tblStyle w:val="TableGrid1"/>
        <w:tblW w:w="5082" w:type="pct"/>
        <w:tblCellMar>
          <w:top w:w="113" w:type="dxa"/>
          <w:bottom w:w="113" w:type="dxa"/>
        </w:tblCellMar>
        <w:tblLook w:val="04A0" w:firstRow="1" w:lastRow="0" w:firstColumn="1" w:lastColumn="0" w:noHBand="0" w:noVBand="1"/>
      </w:tblPr>
      <w:tblGrid>
        <w:gridCol w:w="417"/>
        <w:gridCol w:w="7562"/>
        <w:gridCol w:w="1230"/>
      </w:tblGrid>
      <w:tr w:rsidR="005F6358" w:rsidRPr="004515D1" w14:paraId="65190CF4" w14:textId="77777777" w:rsidTr="007D4E5A">
        <w:trPr>
          <w:cantSplit/>
        </w:trPr>
        <w:tc>
          <w:tcPr>
            <w:tcW w:w="226" w:type="pct"/>
          </w:tcPr>
          <w:p w14:paraId="1130104A" w14:textId="77777777" w:rsidR="005F6358" w:rsidRPr="004515D1" w:rsidRDefault="005F6358" w:rsidP="00A22643">
            <w:pPr>
              <w:autoSpaceDE w:val="0"/>
              <w:autoSpaceDN w:val="0"/>
              <w:adjustRightInd w:val="0"/>
              <w:spacing w:after="0" w:line="240" w:lineRule="auto"/>
              <w:contextualSpacing/>
              <w:jc w:val="center"/>
              <w:rPr>
                <w:rFonts w:eastAsia="Times New Roman" w:cs="Arial"/>
                <w:b/>
                <w:bCs/>
                <w:szCs w:val="24"/>
                <w:lang w:eastAsia="en-GB"/>
              </w:rPr>
            </w:pPr>
            <w:r w:rsidRPr="004515D1">
              <w:rPr>
                <w:rFonts w:eastAsia="Times New Roman" w:cs="Arial"/>
                <w:b/>
                <w:bCs/>
                <w:szCs w:val="24"/>
                <w:lang w:eastAsia="en-GB"/>
              </w:rPr>
              <w:t xml:space="preserve">   </w:t>
            </w:r>
          </w:p>
        </w:tc>
        <w:tc>
          <w:tcPr>
            <w:tcW w:w="4106" w:type="pct"/>
          </w:tcPr>
          <w:p w14:paraId="7BEDA9A4" w14:textId="77777777" w:rsidR="005F6358" w:rsidRPr="004515D1" w:rsidRDefault="005F6358" w:rsidP="00A22643">
            <w:pPr>
              <w:autoSpaceDE w:val="0"/>
              <w:autoSpaceDN w:val="0"/>
              <w:adjustRightInd w:val="0"/>
              <w:spacing w:after="120" w:line="240" w:lineRule="auto"/>
              <w:contextualSpacing/>
              <w:jc w:val="center"/>
              <w:rPr>
                <w:rFonts w:eastAsia="Times New Roman" w:cs="Arial"/>
                <w:b/>
                <w:bCs/>
                <w:szCs w:val="24"/>
                <w:lang w:eastAsia="en-GB"/>
              </w:rPr>
            </w:pPr>
          </w:p>
        </w:tc>
        <w:tc>
          <w:tcPr>
            <w:tcW w:w="668" w:type="pct"/>
          </w:tcPr>
          <w:p w14:paraId="6791F2B6" w14:textId="77777777" w:rsidR="005F6358" w:rsidRPr="004515D1" w:rsidRDefault="005F6358" w:rsidP="00A22643">
            <w:pPr>
              <w:autoSpaceDE w:val="0"/>
              <w:autoSpaceDN w:val="0"/>
              <w:adjustRightInd w:val="0"/>
              <w:spacing w:after="0" w:line="240" w:lineRule="auto"/>
              <w:contextualSpacing/>
              <w:jc w:val="center"/>
              <w:rPr>
                <w:rFonts w:eastAsia="Times New Roman" w:cs="Arial"/>
                <w:b/>
                <w:bCs/>
                <w:szCs w:val="24"/>
                <w:lang w:eastAsia="en-GB"/>
              </w:rPr>
            </w:pPr>
            <w:r w:rsidRPr="004515D1">
              <w:rPr>
                <w:rFonts w:eastAsia="Times New Roman" w:cs="Arial"/>
                <w:b/>
                <w:bCs/>
                <w:szCs w:val="24"/>
                <w:lang w:eastAsia="en-GB"/>
              </w:rPr>
              <w:t>Tick which apply</w:t>
            </w:r>
          </w:p>
        </w:tc>
      </w:tr>
      <w:tr w:rsidR="005F6358" w:rsidRPr="004515D1" w14:paraId="06E31781" w14:textId="77777777" w:rsidTr="00B047AC">
        <w:tc>
          <w:tcPr>
            <w:tcW w:w="226" w:type="pct"/>
          </w:tcPr>
          <w:p w14:paraId="0D12C882"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r w:rsidRPr="004515D1">
              <w:rPr>
                <w:rFonts w:eastAsia="Times New Roman" w:cs="Arial"/>
                <w:b/>
                <w:bCs/>
                <w:szCs w:val="24"/>
                <w:lang w:eastAsia="en-GB"/>
              </w:rPr>
              <w:t>1.</w:t>
            </w:r>
          </w:p>
        </w:tc>
        <w:tc>
          <w:tcPr>
            <w:tcW w:w="4106" w:type="pct"/>
          </w:tcPr>
          <w:p w14:paraId="24A2CADE" w14:textId="77777777" w:rsidR="005F6358" w:rsidRPr="004515D1" w:rsidRDefault="005F6358" w:rsidP="00A22643">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144D5D80" w14:textId="3B1ED145" w:rsidR="005F6358" w:rsidRPr="004515D1" w:rsidRDefault="005F6358" w:rsidP="00A22643">
            <w:pPr>
              <w:autoSpaceDE w:val="0"/>
              <w:autoSpaceDN w:val="0"/>
              <w:adjustRightInd w:val="0"/>
              <w:spacing w:after="120" w:line="240" w:lineRule="auto"/>
              <w:contextualSpacing/>
              <w:rPr>
                <w:rFonts w:eastAsia="Times New Roman" w:cs="Arial"/>
                <w:bCs/>
                <w:szCs w:val="24"/>
                <w:lang w:eastAsia="en-GB"/>
              </w:rPr>
            </w:pPr>
            <w:r w:rsidRPr="004515D1">
              <w:rPr>
                <w:rFonts w:eastAsia="Times New Roman" w:cs="Arial"/>
                <w:bCs/>
                <w:szCs w:val="24"/>
                <w:lang w:eastAsia="en-GB"/>
              </w:rPr>
              <w:t xml:space="preserve">As the patients primary care prescriber I do not feel clinically confident to manage this patient’s condition because </w:t>
            </w:r>
            <w:permStart w:id="2087004238" w:edGrp="everyone"/>
            <w:r w:rsidR="006A3CE1" w:rsidRPr="006A3CE1">
              <w:rPr>
                <w:rFonts w:eastAsia="Times New Roman" w:cs="Arial"/>
                <w:bCs/>
                <w:i/>
                <w:iCs/>
                <w:szCs w:val="24"/>
                <w:lang w:eastAsia="en-GB"/>
              </w:rPr>
              <w:t>[insert reason]</w:t>
            </w:r>
            <w:permEnd w:id="2087004238"/>
            <w:r w:rsidRPr="004515D1">
              <w:rPr>
                <w:rFonts w:eastAsia="Times New Roman" w:cs="Arial"/>
                <w:bCs/>
                <w:szCs w:val="24"/>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4515D1" w:rsidRDefault="005F6358" w:rsidP="00A22643">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68" w:type="pct"/>
          </w:tcPr>
          <w:p w14:paraId="225A8D15"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permStart w:id="2108233418" w:edGrp="everyone"/>
            <w:permEnd w:id="2108233418"/>
          </w:p>
        </w:tc>
      </w:tr>
      <w:tr w:rsidR="005F6358" w:rsidRPr="004515D1" w14:paraId="6095A7DF" w14:textId="77777777" w:rsidTr="00B047AC">
        <w:tc>
          <w:tcPr>
            <w:tcW w:w="226" w:type="pct"/>
          </w:tcPr>
          <w:p w14:paraId="51095E2B"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r w:rsidRPr="004515D1">
              <w:rPr>
                <w:rFonts w:eastAsia="Times New Roman" w:cs="Arial"/>
                <w:b/>
                <w:bCs/>
                <w:szCs w:val="24"/>
                <w:lang w:eastAsia="en-GB"/>
              </w:rPr>
              <w:t>2.</w:t>
            </w:r>
          </w:p>
        </w:tc>
        <w:tc>
          <w:tcPr>
            <w:tcW w:w="4106" w:type="pct"/>
          </w:tcPr>
          <w:p w14:paraId="6F6E7B33" w14:textId="77777777" w:rsidR="005F6358" w:rsidRPr="004515D1" w:rsidRDefault="005F6358" w:rsidP="00A22643">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The medicine or condition does not fall within the criteria defining suitability for inclusion in a shared care arrangement</w:t>
            </w:r>
          </w:p>
          <w:p w14:paraId="7C793CB9" w14:textId="77777777" w:rsidR="005F6358" w:rsidRPr="004515D1" w:rsidRDefault="005F6358" w:rsidP="00A22643">
            <w:pPr>
              <w:autoSpaceDE w:val="0"/>
              <w:autoSpaceDN w:val="0"/>
              <w:adjustRightInd w:val="0"/>
              <w:spacing w:after="120" w:line="240" w:lineRule="auto"/>
              <w:contextualSpacing/>
              <w:rPr>
                <w:rFonts w:eastAsia="Times New Roman" w:cs="Arial"/>
                <w:bCs/>
                <w:szCs w:val="24"/>
                <w:lang w:eastAsia="en-GB"/>
              </w:rPr>
            </w:pPr>
            <w:r w:rsidRPr="004515D1">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4515D1" w:rsidRDefault="005F6358" w:rsidP="00A22643">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68" w:type="pct"/>
          </w:tcPr>
          <w:p w14:paraId="04FC5D58"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permStart w:id="1538655817" w:edGrp="everyone"/>
            <w:permEnd w:id="1538655817"/>
          </w:p>
        </w:tc>
      </w:tr>
      <w:tr w:rsidR="005F6358" w:rsidRPr="004515D1" w14:paraId="51D5B5F5" w14:textId="77777777" w:rsidTr="00B047AC">
        <w:tc>
          <w:tcPr>
            <w:tcW w:w="226" w:type="pct"/>
          </w:tcPr>
          <w:p w14:paraId="68560AF9"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r w:rsidRPr="004515D1">
              <w:rPr>
                <w:rFonts w:eastAsia="Times New Roman" w:cs="Arial"/>
                <w:b/>
                <w:bCs/>
                <w:szCs w:val="24"/>
                <w:lang w:eastAsia="en-GB"/>
              </w:rPr>
              <w:t>3.</w:t>
            </w:r>
          </w:p>
        </w:tc>
        <w:tc>
          <w:tcPr>
            <w:tcW w:w="4106" w:type="pct"/>
          </w:tcPr>
          <w:p w14:paraId="47EFE10D" w14:textId="77777777" w:rsidR="005F6358" w:rsidRPr="004515D1" w:rsidRDefault="005F6358" w:rsidP="00A22643">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A minimum duration of supply by the initiating clinician</w:t>
            </w:r>
          </w:p>
          <w:p w14:paraId="58998D75" w14:textId="77777777" w:rsidR="005F6358" w:rsidRPr="004515D1" w:rsidRDefault="005F6358" w:rsidP="00A22643">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 xml:space="preserve">As the patient has not had the minimum supply of medication to be provided by the initiating specialist I am unable to take clinical responsibility for prescribing this medication at this time. Therefore </w:t>
            </w:r>
            <w:r w:rsidRPr="004515D1">
              <w:rPr>
                <w:rFonts w:eastAsia="Times New Roman" w:cs="Arial"/>
                <w:szCs w:val="24"/>
                <w:lang w:eastAsia="en-GB"/>
              </w:rPr>
              <w:lastRenderedPageBreak/>
              <w:t>can you please contact the patient as soon as possible in order to provide them with the medication that you have recommended.</w:t>
            </w:r>
          </w:p>
          <w:p w14:paraId="15D4A443" w14:textId="77777777" w:rsidR="005F6358" w:rsidRPr="004515D1" w:rsidRDefault="005F6358" w:rsidP="00A22643">
            <w:pPr>
              <w:autoSpaceDE w:val="0"/>
              <w:autoSpaceDN w:val="0"/>
              <w:adjustRightInd w:val="0"/>
              <w:spacing w:after="120" w:line="240" w:lineRule="auto"/>
              <w:contextualSpacing/>
              <w:rPr>
                <w:rFonts w:eastAsia="Times New Roman" w:cs="Arial"/>
                <w:szCs w:val="24"/>
                <w:lang w:eastAsia="en-GB"/>
              </w:rPr>
            </w:pPr>
            <w:r w:rsidRPr="004515D1">
              <w:rPr>
                <w:rFonts w:eastAsia="Times New Roman" w:cs="Arial"/>
                <w:b/>
                <w:i/>
                <w:szCs w:val="24"/>
                <w:lang w:eastAsia="en-GB"/>
              </w:rPr>
              <w:t>Until the patient has had the appropriate length of supply the responsibility for providing the patient with their medication remains with you</w:t>
            </w:r>
            <w:r w:rsidRPr="004515D1">
              <w:rPr>
                <w:rFonts w:eastAsia="Times New Roman" w:cs="Arial"/>
                <w:b/>
                <w:bCs/>
                <w:i/>
                <w:szCs w:val="24"/>
                <w:lang w:eastAsia="en-GB"/>
              </w:rPr>
              <w:t>.</w:t>
            </w:r>
          </w:p>
        </w:tc>
        <w:tc>
          <w:tcPr>
            <w:tcW w:w="668" w:type="pct"/>
          </w:tcPr>
          <w:p w14:paraId="19AE6141"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permStart w:id="1202722448" w:edGrp="everyone"/>
            <w:permEnd w:id="1202722448"/>
          </w:p>
        </w:tc>
      </w:tr>
      <w:tr w:rsidR="005F6358" w:rsidRPr="004515D1" w14:paraId="089988B7" w14:textId="77777777" w:rsidTr="00B047AC">
        <w:tc>
          <w:tcPr>
            <w:tcW w:w="226" w:type="pct"/>
          </w:tcPr>
          <w:p w14:paraId="0EB24C74"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r w:rsidRPr="004515D1">
              <w:rPr>
                <w:rFonts w:eastAsia="Times New Roman" w:cs="Arial"/>
                <w:b/>
                <w:bCs/>
                <w:szCs w:val="24"/>
                <w:lang w:eastAsia="en-GB"/>
              </w:rPr>
              <w:t>4.</w:t>
            </w:r>
          </w:p>
        </w:tc>
        <w:tc>
          <w:tcPr>
            <w:tcW w:w="4106" w:type="pct"/>
          </w:tcPr>
          <w:p w14:paraId="692BA673" w14:textId="77777777" w:rsidR="005F6358" w:rsidRPr="004515D1" w:rsidRDefault="005F6358" w:rsidP="00A22643">
            <w:pPr>
              <w:autoSpaceDE w:val="0"/>
              <w:autoSpaceDN w:val="0"/>
              <w:adjustRightInd w:val="0"/>
              <w:spacing w:after="120" w:line="240" w:lineRule="auto"/>
              <w:contextualSpacing/>
              <w:rPr>
                <w:rFonts w:eastAsia="Times New Roman" w:cs="Arial"/>
                <w:b/>
                <w:szCs w:val="24"/>
                <w:lang w:eastAsia="en-GB"/>
              </w:rPr>
            </w:pPr>
            <w:r w:rsidRPr="004515D1">
              <w:rPr>
                <w:rFonts w:eastAsia="Times New Roman" w:cs="Arial"/>
                <w:b/>
                <w:szCs w:val="24"/>
                <w:lang w:eastAsia="en-GB"/>
              </w:rPr>
              <w:t>Initiation and optimisation by the initiating specialist</w:t>
            </w:r>
          </w:p>
          <w:p w14:paraId="4A9D7F57" w14:textId="77777777" w:rsidR="005F6358" w:rsidRPr="004515D1" w:rsidRDefault="005F6358" w:rsidP="00A22643">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4515D1" w:rsidRDefault="005F6358" w:rsidP="00A22643">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b/>
                <w:i/>
                <w:szCs w:val="24"/>
                <w:lang w:eastAsia="en-GB"/>
              </w:rPr>
              <w:t>Until the patient is optimised on this medication the responsibility for providing the patient with their medication remains with you.</w:t>
            </w:r>
          </w:p>
        </w:tc>
        <w:tc>
          <w:tcPr>
            <w:tcW w:w="668" w:type="pct"/>
          </w:tcPr>
          <w:p w14:paraId="689A7579"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permStart w:id="1894610370" w:edGrp="everyone"/>
            <w:permEnd w:id="1894610370"/>
          </w:p>
        </w:tc>
      </w:tr>
      <w:tr w:rsidR="005F6358" w:rsidRPr="004515D1" w14:paraId="2013151E" w14:textId="77777777" w:rsidTr="00B047AC">
        <w:tc>
          <w:tcPr>
            <w:tcW w:w="226" w:type="pct"/>
          </w:tcPr>
          <w:p w14:paraId="051E7B39"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r w:rsidRPr="004515D1">
              <w:rPr>
                <w:rFonts w:eastAsia="Times New Roman" w:cs="Arial"/>
                <w:b/>
                <w:bCs/>
                <w:szCs w:val="24"/>
                <w:lang w:eastAsia="en-GB"/>
              </w:rPr>
              <w:t>5.</w:t>
            </w:r>
          </w:p>
        </w:tc>
        <w:tc>
          <w:tcPr>
            <w:tcW w:w="4106" w:type="pct"/>
          </w:tcPr>
          <w:p w14:paraId="7D69E9A8" w14:textId="77777777" w:rsidR="005F6358" w:rsidRPr="004515D1" w:rsidRDefault="005F6358" w:rsidP="00A22643">
            <w:pPr>
              <w:autoSpaceDE w:val="0"/>
              <w:autoSpaceDN w:val="0"/>
              <w:adjustRightInd w:val="0"/>
              <w:spacing w:after="120" w:line="240" w:lineRule="auto"/>
              <w:contextualSpacing/>
              <w:rPr>
                <w:rFonts w:eastAsia="Times New Roman" w:cs="Arial"/>
                <w:b/>
                <w:szCs w:val="24"/>
                <w:lang w:eastAsia="en-GB"/>
              </w:rPr>
            </w:pPr>
            <w:r w:rsidRPr="004515D1">
              <w:rPr>
                <w:rFonts w:eastAsia="Times New Roman" w:cs="Arial"/>
                <w:b/>
                <w:szCs w:val="24"/>
                <w:lang w:eastAsia="en-GB"/>
              </w:rPr>
              <w:t>Shared Care Protocol not received</w:t>
            </w:r>
          </w:p>
          <w:p w14:paraId="6335DBD3" w14:textId="77777777" w:rsidR="005F6358" w:rsidRPr="004515D1" w:rsidRDefault="005F6358" w:rsidP="00A22643">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4515D1">
              <w:rPr>
                <w:rFonts w:eastAsia="Times New Roman" w:cs="Arial"/>
                <w:b/>
                <w:i/>
                <w:szCs w:val="24"/>
                <w:lang w:eastAsia="en-GB"/>
              </w:rPr>
              <w:t>.</w:t>
            </w:r>
          </w:p>
          <w:p w14:paraId="243F08FE" w14:textId="77777777" w:rsidR="005F6358" w:rsidRPr="004515D1" w:rsidRDefault="005F6358" w:rsidP="00A22643">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4515D1">
              <w:rPr>
                <w:rFonts w:eastAsia="Times New Roman" w:cs="Arial"/>
                <w:b/>
                <w:i/>
                <w:szCs w:val="24"/>
                <w:lang w:eastAsia="en-GB"/>
              </w:rPr>
              <w:t xml:space="preserve">  </w:t>
            </w:r>
          </w:p>
          <w:p w14:paraId="2148BBDC" w14:textId="77777777" w:rsidR="005F6358" w:rsidRPr="004515D1" w:rsidRDefault="005F6358" w:rsidP="00A22643">
            <w:pPr>
              <w:autoSpaceDE w:val="0"/>
              <w:autoSpaceDN w:val="0"/>
              <w:adjustRightInd w:val="0"/>
              <w:spacing w:after="120" w:line="240" w:lineRule="auto"/>
              <w:contextualSpacing/>
              <w:rPr>
                <w:rFonts w:eastAsia="Times New Roman" w:cs="Arial"/>
                <w:szCs w:val="24"/>
                <w:lang w:eastAsia="en-GB"/>
              </w:rPr>
            </w:pPr>
            <w:r w:rsidRPr="004515D1">
              <w:rPr>
                <w:rFonts w:eastAsia="Times New Roman" w:cs="Arial"/>
                <w:b/>
                <w:i/>
                <w:szCs w:val="24"/>
                <w:lang w:eastAsia="en-GB"/>
              </w:rPr>
              <w:t>Until I receive the appropriate SCP, responsibility for providing the patient with their medication remains with you</w:t>
            </w:r>
            <w:r w:rsidRPr="004515D1">
              <w:rPr>
                <w:rFonts w:eastAsia="Times New Roman" w:cs="Arial"/>
                <w:b/>
                <w:bCs/>
                <w:i/>
                <w:szCs w:val="24"/>
                <w:lang w:eastAsia="en-GB"/>
              </w:rPr>
              <w:t>.</w:t>
            </w:r>
          </w:p>
        </w:tc>
        <w:tc>
          <w:tcPr>
            <w:tcW w:w="668" w:type="pct"/>
          </w:tcPr>
          <w:p w14:paraId="7E5BBA9D"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permStart w:id="1454511190" w:edGrp="everyone"/>
            <w:permEnd w:id="1454511190"/>
          </w:p>
        </w:tc>
      </w:tr>
      <w:tr w:rsidR="005F6358" w:rsidRPr="004515D1" w14:paraId="2B399447" w14:textId="77777777" w:rsidTr="00B047AC">
        <w:tc>
          <w:tcPr>
            <w:tcW w:w="226" w:type="pct"/>
          </w:tcPr>
          <w:p w14:paraId="171DF1F3"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r w:rsidRPr="004515D1">
              <w:rPr>
                <w:rFonts w:eastAsia="Times New Roman" w:cs="Arial"/>
                <w:b/>
                <w:bCs/>
                <w:szCs w:val="24"/>
                <w:lang w:eastAsia="en-GB"/>
              </w:rPr>
              <w:t>6.</w:t>
            </w:r>
          </w:p>
        </w:tc>
        <w:tc>
          <w:tcPr>
            <w:tcW w:w="4106" w:type="pct"/>
          </w:tcPr>
          <w:p w14:paraId="72D7A6C7" w14:textId="77777777" w:rsidR="005F6358" w:rsidRPr="004515D1" w:rsidRDefault="005F6358" w:rsidP="00A22643">
            <w:pPr>
              <w:autoSpaceDE w:val="0"/>
              <w:autoSpaceDN w:val="0"/>
              <w:adjustRightInd w:val="0"/>
              <w:spacing w:after="120" w:line="240" w:lineRule="auto"/>
              <w:contextualSpacing/>
              <w:rPr>
                <w:rFonts w:eastAsia="Times New Roman" w:cs="Arial"/>
                <w:b/>
                <w:szCs w:val="24"/>
                <w:lang w:eastAsia="en-GB"/>
              </w:rPr>
            </w:pPr>
            <w:r w:rsidRPr="004515D1">
              <w:rPr>
                <w:rFonts w:eastAsia="Times New Roman" w:cs="Arial"/>
                <w:b/>
                <w:szCs w:val="24"/>
                <w:lang w:eastAsia="en-GB"/>
              </w:rPr>
              <w:t>Other (Primary Care Prescriber to complete if there are other reasons why shared care cannot be accepted)</w:t>
            </w:r>
          </w:p>
          <w:p w14:paraId="2C139E7F" w14:textId="77777777" w:rsidR="005F6358" w:rsidRPr="004515D1" w:rsidRDefault="005F6358" w:rsidP="00A22643">
            <w:pPr>
              <w:autoSpaceDE w:val="0"/>
              <w:autoSpaceDN w:val="0"/>
              <w:adjustRightInd w:val="0"/>
              <w:spacing w:after="120" w:line="240" w:lineRule="auto"/>
              <w:contextualSpacing/>
              <w:rPr>
                <w:rFonts w:eastAsia="Times New Roman" w:cs="Arial"/>
                <w:b/>
                <w:szCs w:val="24"/>
                <w:lang w:eastAsia="en-GB"/>
              </w:rPr>
            </w:pPr>
            <w:permStart w:id="579295808" w:edGrp="everyone"/>
            <w:permEnd w:id="579295808"/>
          </w:p>
          <w:p w14:paraId="07B4309A" w14:textId="77777777" w:rsidR="005F6358" w:rsidRPr="004515D1" w:rsidRDefault="005F6358" w:rsidP="00A22643">
            <w:pPr>
              <w:autoSpaceDE w:val="0"/>
              <w:autoSpaceDN w:val="0"/>
              <w:adjustRightInd w:val="0"/>
              <w:spacing w:after="120" w:line="240" w:lineRule="auto"/>
              <w:contextualSpacing/>
              <w:rPr>
                <w:rFonts w:eastAsia="Times New Roman" w:cs="Arial"/>
                <w:b/>
                <w:szCs w:val="24"/>
                <w:lang w:eastAsia="en-GB"/>
              </w:rPr>
            </w:pPr>
          </w:p>
        </w:tc>
        <w:tc>
          <w:tcPr>
            <w:tcW w:w="668" w:type="pct"/>
          </w:tcPr>
          <w:p w14:paraId="26B93BD8" w14:textId="77777777" w:rsidR="005F6358" w:rsidRPr="004515D1" w:rsidRDefault="005F6358" w:rsidP="00A22643">
            <w:pPr>
              <w:autoSpaceDE w:val="0"/>
              <w:autoSpaceDN w:val="0"/>
              <w:adjustRightInd w:val="0"/>
              <w:spacing w:after="0" w:line="240" w:lineRule="auto"/>
              <w:contextualSpacing/>
              <w:rPr>
                <w:rFonts w:eastAsia="Times New Roman" w:cs="Arial"/>
                <w:b/>
                <w:bCs/>
                <w:szCs w:val="24"/>
                <w:lang w:eastAsia="en-GB"/>
              </w:rPr>
            </w:pPr>
            <w:permStart w:id="2093688560" w:edGrp="everyone"/>
            <w:permEnd w:id="2093688560"/>
          </w:p>
        </w:tc>
      </w:tr>
    </w:tbl>
    <w:p w14:paraId="5AFA3438" w14:textId="77777777" w:rsidR="005F6358" w:rsidRPr="002D255E" w:rsidRDefault="005F6358" w:rsidP="005F6358">
      <w:pPr>
        <w:autoSpaceDE w:val="0"/>
        <w:autoSpaceDN w:val="0"/>
        <w:adjustRightInd w:val="0"/>
        <w:spacing w:after="0"/>
        <w:rPr>
          <w:rFonts w:eastAsia="Times New Roman" w:cs="Arial"/>
          <w:b/>
          <w:bCs/>
          <w:lang w:eastAsia="en-GB"/>
        </w:rPr>
      </w:pPr>
    </w:p>
    <w:p w14:paraId="4BB22CAC" w14:textId="77777777" w:rsidR="005F6358" w:rsidRPr="002D255E" w:rsidRDefault="005F6358" w:rsidP="005F6358">
      <w:pPr>
        <w:autoSpaceDE w:val="0"/>
        <w:autoSpaceDN w:val="0"/>
        <w:adjustRightInd w:val="0"/>
        <w:spacing w:after="0"/>
        <w:rPr>
          <w:rFonts w:eastAsia="Times New Roman" w:cs="Arial"/>
          <w:bCs/>
          <w:lang w:eastAsia="en-GB"/>
        </w:rPr>
      </w:pPr>
      <w:r w:rsidRPr="002D255E">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D255E" w:rsidRDefault="005F6358" w:rsidP="005F6358">
      <w:pPr>
        <w:autoSpaceDE w:val="0"/>
        <w:autoSpaceDN w:val="0"/>
        <w:adjustRightInd w:val="0"/>
        <w:spacing w:after="0"/>
        <w:rPr>
          <w:rFonts w:eastAsia="Times New Roman" w:cs="Arial"/>
          <w:bCs/>
          <w:lang w:eastAsia="en-GB"/>
        </w:rPr>
      </w:pPr>
    </w:p>
    <w:p w14:paraId="0280FF79"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2D255E" w:rsidRDefault="005F6358" w:rsidP="005F6358">
      <w:pPr>
        <w:autoSpaceDE w:val="0"/>
        <w:autoSpaceDN w:val="0"/>
        <w:adjustRightInd w:val="0"/>
        <w:spacing w:after="0"/>
        <w:rPr>
          <w:rFonts w:eastAsia="Times New Roman" w:cs="Arial"/>
          <w:lang w:eastAsia="en-GB"/>
        </w:rPr>
      </w:pPr>
    </w:p>
    <w:p w14:paraId="7DD8E7BA"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lastRenderedPageBreak/>
        <w:t>Please do not hesitate to contact me if you wish to discuss any aspect of my letter in more detail and I hope to receive more information regarding this shared care agreement as soon as possible</w:t>
      </w:r>
    </w:p>
    <w:p w14:paraId="053ECC6D" w14:textId="77777777" w:rsidR="005F6358" w:rsidRPr="002D255E" w:rsidRDefault="005F6358" w:rsidP="005F6358">
      <w:pPr>
        <w:autoSpaceDE w:val="0"/>
        <w:autoSpaceDN w:val="0"/>
        <w:adjustRightInd w:val="0"/>
        <w:spacing w:after="0"/>
        <w:rPr>
          <w:rFonts w:eastAsia="Times New Roman" w:cs="Arial"/>
          <w:lang w:eastAsia="en-GB"/>
        </w:rPr>
      </w:pPr>
    </w:p>
    <w:p w14:paraId="55351CD5" w14:textId="77777777" w:rsidR="005F6358" w:rsidRPr="002D255E" w:rsidRDefault="005F6358" w:rsidP="005F6358">
      <w:pPr>
        <w:spacing w:after="0"/>
        <w:rPr>
          <w:rFonts w:eastAsia="Times New Roman" w:cs="Arial"/>
          <w:lang w:eastAsia="en-GB"/>
        </w:rPr>
      </w:pPr>
      <w:r w:rsidRPr="002D255E">
        <w:rPr>
          <w:rFonts w:eastAsia="Times New Roman" w:cs="Arial"/>
          <w:lang w:eastAsia="en-GB"/>
        </w:rPr>
        <w:t>Yours sincerely</w:t>
      </w:r>
    </w:p>
    <w:p w14:paraId="719FE9CC" w14:textId="77777777" w:rsidR="005F6358" w:rsidRPr="002D255E" w:rsidRDefault="005F6358" w:rsidP="005F6358">
      <w:pPr>
        <w:spacing w:after="0" w:line="240" w:lineRule="auto"/>
        <w:rPr>
          <w:rFonts w:eastAsia="Times New Roman" w:cs="Arial"/>
          <w:lang w:eastAsia="en-GB"/>
        </w:rPr>
      </w:pPr>
    </w:p>
    <w:p w14:paraId="1ED92FD2" w14:textId="77777777" w:rsidR="005F6358" w:rsidRPr="002D255E" w:rsidRDefault="005F6358" w:rsidP="005F6358">
      <w:pPr>
        <w:spacing w:after="0" w:line="240" w:lineRule="auto"/>
        <w:rPr>
          <w:rFonts w:eastAsia="Times New Roman" w:cs="Arial"/>
          <w:lang w:eastAsia="en-GB"/>
        </w:rPr>
      </w:pPr>
    </w:p>
    <w:p w14:paraId="771EA5C7" w14:textId="77777777" w:rsidR="000978B8" w:rsidRPr="002D255E" w:rsidRDefault="005F6358" w:rsidP="005F6358">
      <w:pPr>
        <w:autoSpaceDE w:val="0"/>
        <w:autoSpaceDN w:val="0"/>
        <w:adjustRightInd w:val="0"/>
        <w:spacing w:after="0" w:line="240" w:lineRule="auto"/>
        <w:rPr>
          <w:rFonts w:eastAsia="Times New Roman" w:cs="Arial"/>
          <w:b/>
          <w:bCs/>
        </w:rPr>
      </w:pPr>
      <w:r w:rsidRPr="002D255E">
        <w:rPr>
          <w:rFonts w:eastAsia="Times New Roman" w:cs="Arial"/>
          <w:b/>
          <w:bCs/>
        </w:rPr>
        <w:t xml:space="preserve">Primary Care Prescriber signature: </w:t>
      </w:r>
      <w:permStart w:id="1125862933" w:edGrp="everyone"/>
      <w:r w:rsidRPr="002D255E">
        <w:rPr>
          <w:rFonts w:eastAsia="Times New Roman" w:cs="Arial"/>
          <w:b/>
          <w:bCs/>
        </w:rPr>
        <w:t>_______________________________</w:t>
      </w:r>
      <w:permEnd w:id="1125862933"/>
    </w:p>
    <w:p w14:paraId="4EB75742" w14:textId="77777777" w:rsidR="000978B8" w:rsidRPr="002D255E" w:rsidRDefault="000978B8" w:rsidP="005F6358">
      <w:pPr>
        <w:autoSpaceDE w:val="0"/>
        <w:autoSpaceDN w:val="0"/>
        <w:adjustRightInd w:val="0"/>
        <w:spacing w:after="0" w:line="240" w:lineRule="auto"/>
        <w:rPr>
          <w:rFonts w:eastAsia="Times New Roman" w:cs="Arial"/>
          <w:b/>
          <w:bCs/>
        </w:rPr>
      </w:pPr>
    </w:p>
    <w:p w14:paraId="0D0C56BF" w14:textId="00FEEC2E" w:rsidR="005F6358" w:rsidRPr="002D255E" w:rsidRDefault="005F6358" w:rsidP="005F6358">
      <w:pPr>
        <w:autoSpaceDE w:val="0"/>
        <w:autoSpaceDN w:val="0"/>
        <w:adjustRightInd w:val="0"/>
        <w:spacing w:after="0" w:line="240" w:lineRule="auto"/>
        <w:rPr>
          <w:rFonts w:eastAsia="Times New Roman" w:cs="Arial"/>
          <w:b/>
          <w:bCs/>
        </w:rPr>
      </w:pPr>
      <w:r w:rsidRPr="002D255E">
        <w:rPr>
          <w:rFonts w:eastAsia="Times New Roman" w:cs="Arial"/>
          <w:b/>
          <w:bCs/>
        </w:rPr>
        <w:t xml:space="preserve">Date: </w:t>
      </w:r>
      <w:permStart w:id="378084227" w:edGrp="everyone"/>
      <w:r w:rsidRPr="002D255E">
        <w:rPr>
          <w:rFonts w:eastAsia="Times New Roman" w:cs="Arial"/>
          <w:b/>
          <w:bCs/>
        </w:rPr>
        <w:t>____________</w:t>
      </w:r>
      <w:permEnd w:id="378084227"/>
      <w:r w:rsidRPr="002D255E">
        <w:rPr>
          <w:rFonts w:eastAsia="Times New Roman" w:cs="Arial"/>
          <w:b/>
          <w:bCs/>
        </w:rPr>
        <w:t xml:space="preserve"> </w:t>
      </w:r>
    </w:p>
    <w:p w14:paraId="2D688D7E" w14:textId="77777777" w:rsidR="005F6358" w:rsidRPr="002D255E" w:rsidRDefault="005F6358" w:rsidP="005F6358">
      <w:pPr>
        <w:autoSpaceDE w:val="0"/>
        <w:autoSpaceDN w:val="0"/>
        <w:adjustRightInd w:val="0"/>
        <w:spacing w:after="0" w:line="240" w:lineRule="auto"/>
        <w:rPr>
          <w:rFonts w:eastAsia="Times New Roman" w:cs="Arial"/>
          <w:b/>
          <w:bCs/>
        </w:rPr>
      </w:pPr>
    </w:p>
    <w:p w14:paraId="1F08E5C7" w14:textId="77777777" w:rsidR="005F6358" w:rsidRPr="002D255E" w:rsidRDefault="005F6358" w:rsidP="005F6358">
      <w:pPr>
        <w:autoSpaceDE w:val="0"/>
        <w:autoSpaceDN w:val="0"/>
        <w:adjustRightInd w:val="0"/>
        <w:spacing w:after="0" w:line="240" w:lineRule="auto"/>
        <w:rPr>
          <w:rFonts w:eastAsia="Times New Roman" w:cs="Arial"/>
          <w:b/>
          <w:bCs/>
        </w:rPr>
      </w:pPr>
    </w:p>
    <w:p w14:paraId="3363D651" w14:textId="77777777" w:rsidR="005F6358" w:rsidRPr="002D255E"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2D255E">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ermStart w:id="1366766270" w:edGrp="everyone"/>
      <w:permEnd w:id="1366766270"/>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98F" w14:textId="77777777" w:rsidR="00F04492" w:rsidRDefault="00F04492" w:rsidP="0087662D">
      <w:pPr>
        <w:spacing w:after="0" w:line="240" w:lineRule="auto"/>
      </w:pPr>
      <w:r>
        <w:separator/>
      </w:r>
    </w:p>
  </w:endnote>
  <w:endnote w:type="continuationSeparator" w:id="0">
    <w:p w14:paraId="10BE7FEF" w14:textId="77777777" w:rsidR="00F04492" w:rsidRDefault="00F04492" w:rsidP="0087662D">
      <w:pPr>
        <w:spacing w:after="0" w:line="240" w:lineRule="auto"/>
      </w:pPr>
      <w:r>
        <w:continuationSeparator/>
      </w:r>
    </w:p>
  </w:endnote>
  <w:endnote w:type="continuationNotice" w:id="1">
    <w:p w14:paraId="3B2BF50F" w14:textId="77777777" w:rsidR="00F04492" w:rsidRDefault="00F04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5425331" w:rsidR="008D5964" w:rsidRPr="00EF4D31" w:rsidRDefault="008D5964" w:rsidP="00EF4D31">
        <w:pPr>
          <w:pStyle w:val="Footer"/>
          <w:tabs>
            <w:tab w:val="clear" w:pos="9026"/>
            <w:tab w:val="right" w:pos="9781"/>
          </w:tabs>
          <w:ind w:left="-907" w:right="-711"/>
          <w:rPr>
            <w:sz w:val="25"/>
            <w:szCs w:val="25"/>
          </w:rPr>
        </w:pPr>
        <w:r w:rsidRPr="000978B8">
          <w:rPr>
            <w:noProof/>
            <w:color w:val="808080" w:themeColor="background1" w:themeShade="80"/>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00889"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0978B8">
          <w:rPr>
            <w:color w:val="808080" w:themeColor="background1" w:themeShade="80"/>
            <w:sz w:val="25"/>
            <w:szCs w:val="25"/>
          </w:rPr>
          <w:fldChar w:fldCharType="begin"/>
        </w:r>
        <w:r w:rsidRPr="000978B8">
          <w:rPr>
            <w:color w:val="808080" w:themeColor="background1" w:themeShade="80"/>
            <w:sz w:val="25"/>
            <w:szCs w:val="25"/>
          </w:rPr>
          <w:instrText xml:space="preserve"> page </w:instrText>
        </w:r>
        <w:r w:rsidRPr="000978B8">
          <w:rPr>
            <w:color w:val="808080" w:themeColor="background1" w:themeShade="80"/>
            <w:sz w:val="25"/>
            <w:szCs w:val="25"/>
          </w:rPr>
          <w:fldChar w:fldCharType="separate"/>
        </w:r>
        <w:r w:rsidRPr="000978B8">
          <w:rPr>
            <w:color w:val="808080" w:themeColor="background1" w:themeShade="80"/>
            <w:sz w:val="25"/>
            <w:szCs w:val="25"/>
          </w:rPr>
          <w:t>2</w:t>
        </w:r>
        <w:r w:rsidRPr="000978B8">
          <w:rPr>
            <w:color w:val="808080" w:themeColor="background1" w:themeShade="80"/>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Pr="000978B8">
          <w:rPr>
            <w:color w:val="808080" w:themeColor="background1" w:themeShade="80"/>
            <w:sz w:val="25"/>
            <w:szCs w:val="25"/>
          </w:rPr>
          <w:t xml:space="preserve">National shared care protocol: </w:t>
        </w:r>
        <w:r w:rsidR="000978B8" w:rsidRPr="000978B8">
          <w:rPr>
            <w:color w:val="808080" w:themeColor="background1" w:themeShade="80"/>
          </w:rPr>
          <w:t>Methotrexate for patients in adult services</w:t>
        </w:r>
      </w:p>
      <w:p w14:paraId="4994ED65" w14:textId="1269D3F0" w:rsidR="008D5964" w:rsidRDefault="00AB44EC"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C242" w14:textId="77777777" w:rsidR="00F04492" w:rsidRDefault="00F04492" w:rsidP="0087662D">
      <w:pPr>
        <w:spacing w:after="0" w:line="240" w:lineRule="auto"/>
      </w:pPr>
      <w:r>
        <w:separator/>
      </w:r>
    </w:p>
  </w:footnote>
  <w:footnote w:type="continuationSeparator" w:id="0">
    <w:p w14:paraId="0F67536C" w14:textId="77777777" w:rsidR="00F04492" w:rsidRDefault="00F04492" w:rsidP="0087662D">
      <w:pPr>
        <w:spacing w:after="0" w:line="240" w:lineRule="auto"/>
      </w:pPr>
      <w:r>
        <w:continuationSeparator/>
      </w:r>
    </w:p>
  </w:footnote>
  <w:footnote w:type="continuationNotice" w:id="1">
    <w:p w14:paraId="0D3A2A0A" w14:textId="77777777" w:rsidR="00F04492" w:rsidRDefault="00F04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3481"/>
    </w:tblGrid>
    <w:tr w:rsidR="00AB44EC" w14:paraId="1C1E5E03" w14:textId="55C5EBD3" w:rsidTr="00AB44EC">
      <w:trPr>
        <w:trHeight w:val="642"/>
      </w:trPr>
      <w:tc>
        <w:tcPr>
          <w:tcW w:w="5589" w:type="dxa"/>
        </w:tcPr>
        <w:p w14:paraId="213FE092" w14:textId="77777777" w:rsidR="00AB44EC" w:rsidRDefault="00AB44EC" w:rsidP="00AB44EC">
          <w:pPr>
            <w:pStyle w:val="Classification"/>
            <w:tabs>
              <w:tab w:val="right" w:pos="6511"/>
            </w:tabs>
          </w:pPr>
          <w:sdt>
            <w:sdtPr>
              <w:alias w:val="Protective Marking"/>
              <w:tag w:val="Protective Marking"/>
              <w:id w:val="-1097942897"/>
              <w:placeholder>
                <w:docPart w:val="0351782573C94D8EA2E6D15CA8BDD190"/>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r>
                <w:t>Classification: Official</w:t>
              </w:r>
            </w:sdtContent>
          </w:sdt>
          <w:r>
            <w:tab/>
          </w:r>
        </w:p>
        <w:p w14:paraId="1C379A12" w14:textId="2A96F318" w:rsidR="00AB44EC" w:rsidRDefault="00AB44EC" w:rsidP="00AB44EC">
          <w:pPr>
            <w:pStyle w:val="Classification"/>
            <w:tabs>
              <w:tab w:val="right" w:pos="6511"/>
            </w:tabs>
          </w:pPr>
        </w:p>
      </w:tc>
      <w:tc>
        <w:tcPr>
          <w:tcW w:w="3481" w:type="dxa"/>
        </w:tcPr>
        <w:p w14:paraId="24F4E162" w14:textId="77777777" w:rsidR="00AB44EC" w:rsidRDefault="00AB44EC" w:rsidP="00AB44EC">
          <w:pPr>
            <w:pStyle w:val="Classification"/>
            <w:tabs>
              <w:tab w:val="right" w:pos="6511"/>
            </w:tabs>
          </w:pPr>
        </w:p>
      </w:tc>
    </w:tr>
    <w:tr w:rsidR="00AB44EC" w14:paraId="059FB345" w14:textId="0F833BD4" w:rsidTr="00AB44EC">
      <w:tc>
        <w:tcPr>
          <w:tcW w:w="5589" w:type="dxa"/>
        </w:tcPr>
        <w:p w14:paraId="540958C7" w14:textId="0B1C317B" w:rsidR="00AB44EC" w:rsidRDefault="00AB44EC" w:rsidP="00C3089D">
          <w:pPr>
            <w:pStyle w:val="Classification"/>
          </w:pPr>
          <w:r>
            <w:t>Publication approval reference:</w:t>
          </w:r>
          <w:r w:rsidRPr="00BB6B53">
            <w:rPr>
              <w:color w:val="808080" w:themeColor="background1" w:themeShade="80"/>
            </w:rPr>
            <w:t xml:space="preserve"> </w:t>
          </w:r>
          <w:r w:rsidRPr="00BB6B53">
            <w:rPr>
              <w:color w:val="D9D9D9" w:themeColor="background1" w:themeShade="D9"/>
            </w:rPr>
            <w:t>PAR16</w:t>
          </w:r>
          <w:r>
            <w:rPr>
              <w:color w:val="D9D9D9" w:themeColor="background1" w:themeShade="D9"/>
            </w:rPr>
            <w:t>h</w:t>
          </w:r>
          <w:r w:rsidRPr="00BB6B53">
            <w:rPr>
              <w:color w:val="D9D9D9" w:themeColor="background1" w:themeShade="D9"/>
            </w:rPr>
            <w:t>21</w:t>
          </w:r>
          <w:r>
            <w:rPr>
              <w:color w:val="D9D9D9" w:themeColor="background1" w:themeShade="D9"/>
            </w:rPr>
            <w:t>_xvii</w:t>
          </w:r>
        </w:p>
      </w:tc>
      <w:tc>
        <w:tcPr>
          <w:tcW w:w="3481" w:type="dxa"/>
        </w:tcPr>
        <w:p w14:paraId="389AFB46" w14:textId="77777777" w:rsidR="00AB44EC" w:rsidRDefault="00AB44EC" w:rsidP="00C3089D">
          <w:pPr>
            <w:pStyle w:val="Classification"/>
          </w:pPr>
        </w:p>
      </w:tc>
    </w:tr>
  </w:tbl>
  <w:p w14:paraId="6C9D6A08" w14:textId="5F0FD446" w:rsidR="008D5964" w:rsidRDefault="002D255E">
    <w:pPr>
      <w:pStyle w:val="Header"/>
    </w:pPr>
    <w:r>
      <w:rPr>
        <w:noProof/>
      </w:rPr>
      <w:drawing>
        <wp:anchor distT="0" distB="0" distL="114300" distR="114300" simplePos="0" relativeHeight="251658242" behindDoc="1" locked="0" layoutInCell="1" allowOverlap="1" wp14:anchorId="1DCD5302" wp14:editId="210D6D24">
          <wp:simplePos x="0" y="0"/>
          <wp:positionH relativeFrom="page">
            <wp:posOffset>5929630</wp:posOffset>
          </wp:positionH>
          <wp:positionV relativeFrom="page">
            <wp:posOffset>525780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964">
      <w:rPr>
        <w:noProof/>
      </w:rPr>
      <w:drawing>
        <wp:anchor distT="0" distB="0" distL="114300" distR="114300" simplePos="0" relativeHeight="251658240" behindDoc="1" locked="0" layoutInCell="1" allowOverlap="1" wp14:anchorId="1B143649" wp14:editId="3313D033">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04E64"/>
    <w:multiLevelType w:val="hybridMultilevel"/>
    <w:tmpl w:val="512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43111"/>
    <w:multiLevelType w:val="hybridMultilevel"/>
    <w:tmpl w:val="0CEADD82"/>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5" w15:restartNumberingAfterBreak="0">
    <w:nsid w:val="16AE4ACA"/>
    <w:multiLevelType w:val="hybridMultilevel"/>
    <w:tmpl w:val="F37EF23E"/>
    <w:lvl w:ilvl="0" w:tplc="F0FC779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A63D40"/>
    <w:multiLevelType w:val="hybridMultilevel"/>
    <w:tmpl w:val="EA4A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30C29"/>
    <w:multiLevelType w:val="hybridMultilevel"/>
    <w:tmpl w:val="6416F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1824B7"/>
    <w:multiLevelType w:val="hybridMultilevel"/>
    <w:tmpl w:val="52F2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52620C"/>
    <w:multiLevelType w:val="hybridMultilevel"/>
    <w:tmpl w:val="55D8B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FB6854"/>
    <w:multiLevelType w:val="multilevel"/>
    <w:tmpl w:val="2532360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875641"/>
    <w:multiLevelType w:val="hybridMultilevel"/>
    <w:tmpl w:val="6F98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B02142"/>
    <w:multiLevelType w:val="hybridMultilevel"/>
    <w:tmpl w:val="716CA64A"/>
    <w:lvl w:ilvl="0" w:tplc="D4C4EB5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1F497D" w:themeColor="text2"/>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D437DA"/>
    <w:multiLevelType w:val="hybridMultilevel"/>
    <w:tmpl w:val="AE1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FD20A3"/>
    <w:multiLevelType w:val="hybridMultilevel"/>
    <w:tmpl w:val="DBD067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5B4FEE"/>
    <w:multiLevelType w:val="hybridMultilevel"/>
    <w:tmpl w:val="22EC0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824720">
    <w:abstractNumId w:val="30"/>
  </w:num>
  <w:num w:numId="2" w16cid:durableId="1399598679">
    <w:abstractNumId w:val="18"/>
  </w:num>
  <w:num w:numId="3" w16cid:durableId="1923678423">
    <w:abstractNumId w:val="20"/>
  </w:num>
  <w:num w:numId="4" w16cid:durableId="2117023130">
    <w:abstractNumId w:val="29"/>
  </w:num>
  <w:num w:numId="5" w16cid:durableId="836119489">
    <w:abstractNumId w:val="10"/>
  </w:num>
  <w:num w:numId="6" w16cid:durableId="1836725308">
    <w:abstractNumId w:val="12"/>
  </w:num>
  <w:num w:numId="7" w16cid:durableId="1605727161">
    <w:abstractNumId w:val="7"/>
  </w:num>
  <w:num w:numId="8" w16cid:durableId="1464998644">
    <w:abstractNumId w:val="15"/>
  </w:num>
  <w:num w:numId="9" w16cid:durableId="1429353455">
    <w:abstractNumId w:val="33"/>
  </w:num>
  <w:num w:numId="10" w16cid:durableId="75171007">
    <w:abstractNumId w:val="34"/>
  </w:num>
  <w:num w:numId="11" w16cid:durableId="600795685">
    <w:abstractNumId w:val="28"/>
  </w:num>
  <w:num w:numId="12" w16cid:durableId="1982415228">
    <w:abstractNumId w:val="38"/>
  </w:num>
  <w:num w:numId="13" w16cid:durableId="1785884397">
    <w:abstractNumId w:val="9"/>
  </w:num>
  <w:num w:numId="14" w16cid:durableId="1591498277">
    <w:abstractNumId w:val="16"/>
  </w:num>
  <w:num w:numId="15" w16cid:durableId="1085035764">
    <w:abstractNumId w:val="3"/>
  </w:num>
  <w:num w:numId="16" w16cid:durableId="802846385">
    <w:abstractNumId w:val="14"/>
  </w:num>
  <w:num w:numId="17" w16cid:durableId="493184772">
    <w:abstractNumId w:val="0"/>
  </w:num>
  <w:num w:numId="18" w16cid:durableId="208078080">
    <w:abstractNumId w:val="27"/>
  </w:num>
  <w:num w:numId="19" w16cid:durableId="1442412782">
    <w:abstractNumId w:val="8"/>
  </w:num>
  <w:num w:numId="20" w16cid:durableId="739136498">
    <w:abstractNumId w:val="35"/>
  </w:num>
  <w:num w:numId="21" w16cid:durableId="1538007505">
    <w:abstractNumId w:val="13"/>
  </w:num>
  <w:num w:numId="22" w16cid:durableId="1171530661">
    <w:abstractNumId w:val="2"/>
  </w:num>
  <w:num w:numId="23" w16cid:durableId="1337459841">
    <w:abstractNumId w:val="31"/>
  </w:num>
  <w:num w:numId="24" w16cid:durableId="130559752">
    <w:abstractNumId w:val="1"/>
  </w:num>
  <w:num w:numId="25" w16cid:durableId="432819654">
    <w:abstractNumId w:val="37"/>
  </w:num>
  <w:num w:numId="26" w16cid:durableId="1473643083">
    <w:abstractNumId w:val="25"/>
  </w:num>
  <w:num w:numId="27" w16cid:durableId="1449396762">
    <w:abstractNumId w:val="6"/>
  </w:num>
  <w:num w:numId="28" w16cid:durableId="798375344">
    <w:abstractNumId w:val="42"/>
  </w:num>
  <w:num w:numId="29" w16cid:durableId="127550858">
    <w:abstractNumId w:val="22"/>
  </w:num>
  <w:num w:numId="30" w16cid:durableId="1820490002">
    <w:abstractNumId w:val="41"/>
  </w:num>
  <w:num w:numId="31" w16cid:durableId="1677656389">
    <w:abstractNumId w:val="40"/>
  </w:num>
  <w:num w:numId="32" w16cid:durableId="7173210">
    <w:abstractNumId w:val="26"/>
  </w:num>
  <w:num w:numId="33" w16cid:durableId="287317779">
    <w:abstractNumId w:val="23"/>
  </w:num>
  <w:num w:numId="34" w16cid:durableId="511116461">
    <w:abstractNumId w:val="19"/>
  </w:num>
  <w:num w:numId="35" w16cid:durableId="1178038363">
    <w:abstractNumId w:val="39"/>
  </w:num>
  <w:num w:numId="36" w16cid:durableId="827359083">
    <w:abstractNumId w:val="11"/>
  </w:num>
  <w:num w:numId="37" w16cid:durableId="1481769142">
    <w:abstractNumId w:val="21"/>
  </w:num>
  <w:num w:numId="38" w16cid:durableId="479620191">
    <w:abstractNumId w:val="17"/>
  </w:num>
  <w:num w:numId="39" w16cid:durableId="2026788327">
    <w:abstractNumId w:val="5"/>
  </w:num>
  <w:num w:numId="40" w16cid:durableId="2131433218">
    <w:abstractNumId w:val="36"/>
  </w:num>
  <w:num w:numId="41" w16cid:durableId="643582861">
    <w:abstractNumId w:val="4"/>
  </w:num>
  <w:num w:numId="42" w16cid:durableId="1450657897">
    <w:abstractNumId w:val="32"/>
  </w:num>
  <w:num w:numId="43" w16cid:durableId="89104420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o3DNCXVvZ8hNqsMGdbkz5erpiHhu/MbEVtuQQATNaSrskSVy0CFgmf+nGRfKr8CPYtIvlvQqFO0hl9LRIyPDw==" w:salt="5Ux/9zVgzX/vwhWORBsB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0444"/>
    <w:rsid w:val="00002F61"/>
    <w:rsid w:val="00002FDA"/>
    <w:rsid w:val="00003484"/>
    <w:rsid w:val="00005713"/>
    <w:rsid w:val="0000752C"/>
    <w:rsid w:val="00011ECC"/>
    <w:rsid w:val="00026F7B"/>
    <w:rsid w:val="00027BF3"/>
    <w:rsid w:val="00031040"/>
    <w:rsid w:val="00032538"/>
    <w:rsid w:val="0003731C"/>
    <w:rsid w:val="00042AE7"/>
    <w:rsid w:val="000469BF"/>
    <w:rsid w:val="00046C47"/>
    <w:rsid w:val="0005473B"/>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8B8"/>
    <w:rsid w:val="000979BA"/>
    <w:rsid w:val="000A1C3F"/>
    <w:rsid w:val="000A34EE"/>
    <w:rsid w:val="000A6D12"/>
    <w:rsid w:val="000B0A3D"/>
    <w:rsid w:val="000B5C73"/>
    <w:rsid w:val="000B7E25"/>
    <w:rsid w:val="000C44F0"/>
    <w:rsid w:val="000C542C"/>
    <w:rsid w:val="000C7037"/>
    <w:rsid w:val="000D1E44"/>
    <w:rsid w:val="000D5F9E"/>
    <w:rsid w:val="000E1BF6"/>
    <w:rsid w:val="000E5CFD"/>
    <w:rsid w:val="000E63B8"/>
    <w:rsid w:val="000E743E"/>
    <w:rsid w:val="000F6CED"/>
    <w:rsid w:val="00101ECA"/>
    <w:rsid w:val="001031D5"/>
    <w:rsid w:val="001039DF"/>
    <w:rsid w:val="00104888"/>
    <w:rsid w:val="001106F6"/>
    <w:rsid w:val="001130B8"/>
    <w:rsid w:val="001213C9"/>
    <w:rsid w:val="00127457"/>
    <w:rsid w:val="00127FD8"/>
    <w:rsid w:val="00132FF4"/>
    <w:rsid w:val="0014209C"/>
    <w:rsid w:val="00142B72"/>
    <w:rsid w:val="0014434C"/>
    <w:rsid w:val="00145418"/>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A7E0B"/>
    <w:rsid w:val="001B096D"/>
    <w:rsid w:val="001B7860"/>
    <w:rsid w:val="001C2FA2"/>
    <w:rsid w:val="001C3E4B"/>
    <w:rsid w:val="001C409F"/>
    <w:rsid w:val="001C57F1"/>
    <w:rsid w:val="001D07E8"/>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38F3"/>
    <w:rsid w:val="002170E9"/>
    <w:rsid w:val="002170F9"/>
    <w:rsid w:val="00221A17"/>
    <w:rsid w:val="0022471E"/>
    <w:rsid w:val="00224B60"/>
    <w:rsid w:val="00226760"/>
    <w:rsid w:val="00230445"/>
    <w:rsid w:val="00230F2C"/>
    <w:rsid w:val="00232C40"/>
    <w:rsid w:val="00234C3F"/>
    <w:rsid w:val="00236640"/>
    <w:rsid w:val="00237CAB"/>
    <w:rsid w:val="00240ECC"/>
    <w:rsid w:val="00243CF1"/>
    <w:rsid w:val="0024571E"/>
    <w:rsid w:val="00246CC5"/>
    <w:rsid w:val="00251811"/>
    <w:rsid w:val="00252052"/>
    <w:rsid w:val="00254A99"/>
    <w:rsid w:val="00256B5B"/>
    <w:rsid w:val="00256BBF"/>
    <w:rsid w:val="00264E60"/>
    <w:rsid w:val="00271DA1"/>
    <w:rsid w:val="00271F18"/>
    <w:rsid w:val="00281F31"/>
    <w:rsid w:val="0028289C"/>
    <w:rsid w:val="002829B6"/>
    <w:rsid w:val="0028743E"/>
    <w:rsid w:val="0029228C"/>
    <w:rsid w:val="00295135"/>
    <w:rsid w:val="002A1D88"/>
    <w:rsid w:val="002A4121"/>
    <w:rsid w:val="002A451D"/>
    <w:rsid w:val="002A4A0C"/>
    <w:rsid w:val="002A652F"/>
    <w:rsid w:val="002B3965"/>
    <w:rsid w:val="002B6C74"/>
    <w:rsid w:val="002C1080"/>
    <w:rsid w:val="002C1756"/>
    <w:rsid w:val="002C1FC3"/>
    <w:rsid w:val="002C36BE"/>
    <w:rsid w:val="002C69B2"/>
    <w:rsid w:val="002D0399"/>
    <w:rsid w:val="002D255E"/>
    <w:rsid w:val="002D32AD"/>
    <w:rsid w:val="002D55AC"/>
    <w:rsid w:val="002D5EC6"/>
    <w:rsid w:val="002D6DA8"/>
    <w:rsid w:val="002E0340"/>
    <w:rsid w:val="002E64F1"/>
    <w:rsid w:val="002E7455"/>
    <w:rsid w:val="002F7FD6"/>
    <w:rsid w:val="00300AFE"/>
    <w:rsid w:val="00303318"/>
    <w:rsid w:val="00305A0C"/>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67607"/>
    <w:rsid w:val="00370966"/>
    <w:rsid w:val="003736AF"/>
    <w:rsid w:val="003767F5"/>
    <w:rsid w:val="003832B6"/>
    <w:rsid w:val="00393796"/>
    <w:rsid w:val="00394A0D"/>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1D4"/>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15D1"/>
    <w:rsid w:val="00454EBC"/>
    <w:rsid w:val="00461A5D"/>
    <w:rsid w:val="00470083"/>
    <w:rsid w:val="00471EBC"/>
    <w:rsid w:val="00472FE3"/>
    <w:rsid w:val="0047377F"/>
    <w:rsid w:val="00474D84"/>
    <w:rsid w:val="004804AA"/>
    <w:rsid w:val="00480571"/>
    <w:rsid w:val="00481A5F"/>
    <w:rsid w:val="00481CE2"/>
    <w:rsid w:val="00483CD1"/>
    <w:rsid w:val="00486541"/>
    <w:rsid w:val="00487028"/>
    <w:rsid w:val="0048728C"/>
    <w:rsid w:val="00487BEB"/>
    <w:rsid w:val="00492CD8"/>
    <w:rsid w:val="004A0BF6"/>
    <w:rsid w:val="004A20B0"/>
    <w:rsid w:val="004A32C9"/>
    <w:rsid w:val="004A6143"/>
    <w:rsid w:val="004A7EB4"/>
    <w:rsid w:val="004B1A68"/>
    <w:rsid w:val="004B3351"/>
    <w:rsid w:val="004B3FF2"/>
    <w:rsid w:val="004B4FE2"/>
    <w:rsid w:val="004B59C6"/>
    <w:rsid w:val="004C0E0B"/>
    <w:rsid w:val="004C3859"/>
    <w:rsid w:val="004E36B9"/>
    <w:rsid w:val="004F00A8"/>
    <w:rsid w:val="004F0714"/>
    <w:rsid w:val="004F3450"/>
    <w:rsid w:val="00505A68"/>
    <w:rsid w:val="0051050E"/>
    <w:rsid w:val="00511346"/>
    <w:rsid w:val="005137F4"/>
    <w:rsid w:val="0051494A"/>
    <w:rsid w:val="00514D5F"/>
    <w:rsid w:val="00516AFA"/>
    <w:rsid w:val="00516C57"/>
    <w:rsid w:val="00517F9D"/>
    <w:rsid w:val="00527AE1"/>
    <w:rsid w:val="0053224C"/>
    <w:rsid w:val="005354DC"/>
    <w:rsid w:val="00536A18"/>
    <w:rsid w:val="0054125F"/>
    <w:rsid w:val="00543DA8"/>
    <w:rsid w:val="00544899"/>
    <w:rsid w:val="0054704C"/>
    <w:rsid w:val="00551E14"/>
    <w:rsid w:val="00553C58"/>
    <w:rsid w:val="00553DF7"/>
    <w:rsid w:val="0056444A"/>
    <w:rsid w:val="00567D84"/>
    <w:rsid w:val="0057584D"/>
    <w:rsid w:val="00582F77"/>
    <w:rsid w:val="0059083D"/>
    <w:rsid w:val="00595041"/>
    <w:rsid w:val="005A01FF"/>
    <w:rsid w:val="005A175B"/>
    <w:rsid w:val="005A5C7B"/>
    <w:rsid w:val="005B431B"/>
    <w:rsid w:val="005C02FE"/>
    <w:rsid w:val="005C0784"/>
    <w:rsid w:val="005C1E75"/>
    <w:rsid w:val="005C2437"/>
    <w:rsid w:val="005C3015"/>
    <w:rsid w:val="005C48AE"/>
    <w:rsid w:val="005C61AE"/>
    <w:rsid w:val="005C78E5"/>
    <w:rsid w:val="005D08B4"/>
    <w:rsid w:val="005D2143"/>
    <w:rsid w:val="005D35BE"/>
    <w:rsid w:val="005D7956"/>
    <w:rsid w:val="005E281F"/>
    <w:rsid w:val="005E53B9"/>
    <w:rsid w:val="005E541C"/>
    <w:rsid w:val="005E6488"/>
    <w:rsid w:val="005F463D"/>
    <w:rsid w:val="005F6358"/>
    <w:rsid w:val="006025E4"/>
    <w:rsid w:val="00602E7E"/>
    <w:rsid w:val="00606660"/>
    <w:rsid w:val="00607027"/>
    <w:rsid w:val="00612B55"/>
    <w:rsid w:val="00620379"/>
    <w:rsid w:val="006214C8"/>
    <w:rsid w:val="006225C4"/>
    <w:rsid w:val="006242BB"/>
    <w:rsid w:val="006249F0"/>
    <w:rsid w:val="00624EE6"/>
    <w:rsid w:val="00625258"/>
    <w:rsid w:val="00626B5F"/>
    <w:rsid w:val="006270F1"/>
    <w:rsid w:val="006309F9"/>
    <w:rsid w:val="00632FAA"/>
    <w:rsid w:val="00637261"/>
    <w:rsid w:val="0064050C"/>
    <w:rsid w:val="006408B1"/>
    <w:rsid w:val="006505B0"/>
    <w:rsid w:val="006513D3"/>
    <w:rsid w:val="00651BD9"/>
    <w:rsid w:val="006521B8"/>
    <w:rsid w:val="00657F95"/>
    <w:rsid w:val="00663B33"/>
    <w:rsid w:val="00666714"/>
    <w:rsid w:val="00672B9B"/>
    <w:rsid w:val="00673B7A"/>
    <w:rsid w:val="0068176B"/>
    <w:rsid w:val="00684EB3"/>
    <w:rsid w:val="006A1C3F"/>
    <w:rsid w:val="006A2910"/>
    <w:rsid w:val="006A35B2"/>
    <w:rsid w:val="006A3CE1"/>
    <w:rsid w:val="006A4DC2"/>
    <w:rsid w:val="006A77D6"/>
    <w:rsid w:val="006A7E6C"/>
    <w:rsid w:val="006A7F2C"/>
    <w:rsid w:val="006B1367"/>
    <w:rsid w:val="006B4B99"/>
    <w:rsid w:val="006B6C80"/>
    <w:rsid w:val="006C44AF"/>
    <w:rsid w:val="006C782B"/>
    <w:rsid w:val="006D058E"/>
    <w:rsid w:val="006D4AFF"/>
    <w:rsid w:val="006D4B1B"/>
    <w:rsid w:val="006D4DCC"/>
    <w:rsid w:val="006D559B"/>
    <w:rsid w:val="006D77DA"/>
    <w:rsid w:val="006E2338"/>
    <w:rsid w:val="006E2D55"/>
    <w:rsid w:val="006E3C33"/>
    <w:rsid w:val="006E40C7"/>
    <w:rsid w:val="006E68A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1CC5"/>
    <w:rsid w:val="007623B6"/>
    <w:rsid w:val="007634F4"/>
    <w:rsid w:val="0076450B"/>
    <w:rsid w:val="00765204"/>
    <w:rsid w:val="00771869"/>
    <w:rsid w:val="00774F7C"/>
    <w:rsid w:val="007835D2"/>
    <w:rsid w:val="00790845"/>
    <w:rsid w:val="00794292"/>
    <w:rsid w:val="00797F3F"/>
    <w:rsid w:val="007A2AF0"/>
    <w:rsid w:val="007A3CC6"/>
    <w:rsid w:val="007A4A79"/>
    <w:rsid w:val="007B3472"/>
    <w:rsid w:val="007B54C4"/>
    <w:rsid w:val="007B6D20"/>
    <w:rsid w:val="007B739A"/>
    <w:rsid w:val="007B74CC"/>
    <w:rsid w:val="007B76B0"/>
    <w:rsid w:val="007C2F00"/>
    <w:rsid w:val="007C6B10"/>
    <w:rsid w:val="007C6E86"/>
    <w:rsid w:val="007C7198"/>
    <w:rsid w:val="007C7494"/>
    <w:rsid w:val="007D4E5A"/>
    <w:rsid w:val="007D4F4F"/>
    <w:rsid w:val="007E228E"/>
    <w:rsid w:val="007E36FE"/>
    <w:rsid w:val="007E4BD7"/>
    <w:rsid w:val="007E547C"/>
    <w:rsid w:val="007F3977"/>
    <w:rsid w:val="007F3F28"/>
    <w:rsid w:val="008009CB"/>
    <w:rsid w:val="00802960"/>
    <w:rsid w:val="00802BC6"/>
    <w:rsid w:val="00805F12"/>
    <w:rsid w:val="00806AB9"/>
    <w:rsid w:val="008160FB"/>
    <w:rsid w:val="008210A6"/>
    <w:rsid w:val="00822096"/>
    <w:rsid w:val="008359A8"/>
    <w:rsid w:val="00841BE2"/>
    <w:rsid w:val="008426BA"/>
    <w:rsid w:val="008466C6"/>
    <w:rsid w:val="00846A4A"/>
    <w:rsid w:val="00856710"/>
    <w:rsid w:val="00857C50"/>
    <w:rsid w:val="00862DC4"/>
    <w:rsid w:val="00866650"/>
    <w:rsid w:val="00867FD9"/>
    <w:rsid w:val="00871AF9"/>
    <w:rsid w:val="00872D8A"/>
    <w:rsid w:val="0087662D"/>
    <w:rsid w:val="00877B39"/>
    <w:rsid w:val="00877E1D"/>
    <w:rsid w:val="0088117C"/>
    <w:rsid w:val="008818E7"/>
    <w:rsid w:val="0088256F"/>
    <w:rsid w:val="008844B1"/>
    <w:rsid w:val="0088715B"/>
    <w:rsid w:val="00891224"/>
    <w:rsid w:val="00892928"/>
    <w:rsid w:val="008A206B"/>
    <w:rsid w:val="008A2569"/>
    <w:rsid w:val="008A3E0F"/>
    <w:rsid w:val="008A6DE5"/>
    <w:rsid w:val="008B44C1"/>
    <w:rsid w:val="008B4B43"/>
    <w:rsid w:val="008B6013"/>
    <w:rsid w:val="008B646E"/>
    <w:rsid w:val="008D3057"/>
    <w:rsid w:val="008D5964"/>
    <w:rsid w:val="008D5F8F"/>
    <w:rsid w:val="008D6AED"/>
    <w:rsid w:val="008E584D"/>
    <w:rsid w:val="008E62E9"/>
    <w:rsid w:val="008F47B1"/>
    <w:rsid w:val="009038BB"/>
    <w:rsid w:val="00905F9C"/>
    <w:rsid w:val="009067F0"/>
    <w:rsid w:val="00907EB0"/>
    <w:rsid w:val="00912A1D"/>
    <w:rsid w:val="009142FC"/>
    <w:rsid w:val="00916006"/>
    <w:rsid w:val="00922068"/>
    <w:rsid w:val="00930FAA"/>
    <w:rsid w:val="0093397B"/>
    <w:rsid w:val="00933A4C"/>
    <w:rsid w:val="00940AA2"/>
    <w:rsid w:val="00943E35"/>
    <w:rsid w:val="00944BA0"/>
    <w:rsid w:val="00946248"/>
    <w:rsid w:val="00946478"/>
    <w:rsid w:val="009509FD"/>
    <w:rsid w:val="009533A6"/>
    <w:rsid w:val="00956C8E"/>
    <w:rsid w:val="009610F0"/>
    <w:rsid w:val="00964CEB"/>
    <w:rsid w:val="00965B22"/>
    <w:rsid w:val="009704AA"/>
    <w:rsid w:val="0097517B"/>
    <w:rsid w:val="00977103"/>
    <w:rsid w:val="00977F05"/>
    <w:rsid w:val="00982031"/>
    <w:rsid w:val="00983EF3"/>
    <w:rsid w:val="00985C56"/>
    <w:rsid w:val="00986D3D"/>
    <w:rsid w:val="00992C6B"/>
    <w:rsid w:val="00995EAE"/>
    <w:rsid w:val="009A16D5"/>
    <w:rsid w:val="009A2F28"/>
    <w:rsid w:val="009A5568"/>
    <w:rsid w:val="009A5F87"/>
    <w:rsid w:val="009B36E7"/>
    <w:rsid w:val="009B44E1"/>
    <w:rsid w:val="009C1B55"/>
    <w:rsid w:val="009C4C14"/>
    <w:rsid w:val="009C57DE"/>
    <w:rsid w:val="009D1C3D"/>
    <w:rsid w:val="009D46E0"/>
    <w:rsid w:val="009D47A8"/>
    <w:rsid w:val="009E24CA"/>
    <w:rsid w:val="009E32B5"/>
    <w:rsid w:val="009E3461"/>
    <w:rsid w:val="009E3803"/>
    <w:rsid w:val="009E3840"/>
    <w:rsid w:val="009F3E18"/>
    <w:rsid w:val="00A00BD0"/>
    <w:rsid w:val="00A0218C"/>
    <w:rsid w:val="00A0302F"/>
    <w:rsid w:val="00A063A1"/>
    <w:rsid w:val="00A12522"/>
    <w:rsid w:val="00A125D3"/>
    <w:rsid w:val="00A16193"/>
    <w:rsid w:val="00A20A57"/>
    <w:rsid w:val="00A211B8"/>
    <w:rsid w:val="00A22608"/>
    <w:rsid w:val="00A22643"/>
    <w:rsid w:val="00A257B8"/>
    <w:rsid w:val="00A32B8B"/>
    <w:rsid w:val="00A33B0A"/>
    <w:rsid w:val="00A346D8"/>
    <w:rsid w:val="00A371DB"/>
    <w:rsid w:val="00A4762E"/>
    <w:rsid w:val="00A525CA"/>
    <w:rsid w:val="00A54EC2"/>
    <w:rsid w:val="00A557C0"/>
    <w:rsid w:val="00A624F4"/>
    <w:rsid w:val="00A63ACD"/>
    <w:rsid w:val="00A6476C"/>
    <w:rsid w:val="00A64BF1"/>
    <w:rsid w:val="00A712E9"/>
    <w:rsid w:val="00A73796"/>
    <w:rsid w:val="00A75F99"/>
    <w:rsid w:val="00A807BD"/>
    <w:rsid w:val="00A81545"/>
    <w:rsid w:val="00A836C4"/>
    <w:rsid w:val="00A837C8"/>
    <w:rsid w:val="00A84C2C"/>
    <w:rsid w:val="00A84D2B"/>
    <w:rsid w:val="00A84E41"/>
    <w:rsid w:val="00A96801"/>
    <w:rsid w:val="00AA3E21"/>
    <w:rsid w:val="00AA41D4"/>
    <w:rsid w:val="00AA4BBC"/>
    <w:rsid w:val="00AB2869"/>
    <w:rsid w:val="00AB44EC"/>
    <w:rsid w:val="00AB5BA1"/>
    <w:rsid w:val="00AC1D52"/>
    <w:rsid w:val="00AC36B9"/>
    <w:rsid w:val="00AC53CF"/>
    <w:rsid w:val="00AD44FD"/>
    <w:rsid w:val="00AE1969"/>
    <w:rsid w:val="00AE425C"/>
    <w:rsid w:val="00AE42DB"/>
    <w:rsid w:val="00AE53FD"/>
    <w:rsid w:val="00AE6586"/>
    <w:rsid w:val="00AF2D7B"/>
    <w:rsid w:val="00AF3F50"/>
    <w:rsid w:val="00AF6D10"/>
    <w:rsid w:val="00B03457"/>
    <w:rsid w:val="00B04271"/>
    <w:rsid w:val="00B04282"/>
    <w:rsid w:val="00B047AC"/>
    <w:rsid w:val="00B04D9D"/>
    <w:rsid w:val="00B064C9"/>
    <w:rsid w:val="00B1002D"/>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6B53"/>
    <w:rsid w:val="00BB700A"/>
    <w:rsid w:val="00BB7C6E"/>
    <w:rsid w:val="00BC1D5A"/>
    <w:rsid w:val="00BC5C31"/>
    <w:rsid w:val="00BC5D65"/>
    <w:rsid w:val="00BC5E18"/>
    <w:rsid w:val="00BD02D8"/>
    <w:rsid w:val="00BD5B04"/>
    <w:rsid w:val="00BE1451"/>
    <w:rsid w:val="00BE15E9"/>
    <w:rsid w:val="00BE3287"/>
    <w:rsid w:val="00BE522D"/>
    <w:rsid w:val="00BF02FA"/>
    <w:rsid w:val="00BF1375"/>
    <w:rsid w:val="00BF1DF5"/>
    <w:rsid w:val="00BF50E1"/>
    <w:rsid w:val="00C00D54"/>
    <w:rsid w:val="00C01923"/>
    <w:rsid w:val="00C12F02"/>
    <w:rsid w:val="00C13AA2"/>
    <w:rsid w:val="00C238DB"/>
    <w:rsid w:val="00C23955"/>
    <w:rsid w:val="00C24F4B"/>
    <w:rsid w:val="00C275E9"/>
    <w:rsid w:val="00C27AA2"/>
    <w:rsid w:val="00C3089D"/>
    <w:rsid w:val="00C32D59"/>
    <w:rsid w:val="00C32F9E"/>
    <w:rsid w:val="00C3345A"/>
    <w:rsid w:val="00C369E9"/>
    <w:rsid w:val="00C46976"/>
    <w:rsid w:val="00C47FF6"/>
    <w:rsid w:val="00C5228B"/>
    <w:rsid w:val="00C527A1"/>
    <w:rsid w:val="00C62383"/>
    <w:rsid w:val="00C73CAA"/>
    <w:rsid w:val="00C76668"/>
    <w:rsid w:val="00C823A4"/>
    <w:rsid w:val="00C83A02"/>
    <w:rsid w:val="00C85511"/>
    <w:rsid w:val="00C87950"/>
    <w:rsid w:val="00C9099E"/>
    <w:rsid w:val="00C92AFF"/>
    <w:rsid w:val="00C95E86"/>
    <w:rsid w:val="00CA1398"/>
    <w:rsid w:val="00CA2577"/>
    <w:rsid w:val="00CA32C2"/>
    <w:rsid w:val="00CA3320"/>
    <w:rsid w:val="00CB33F5"/>
    <w:rsid w:val="00CC339E"/>
    <w:rsid w:val="00CC3DC0"/>
    <w:rsid w:val="00CC475D"/>
    <w:rsid w:val="00CC5377"/>
    <w:rsid w:val="00CC5E40"/>
    <w:rsid w:val="00CC68BF"/>
    <w:rsid w:val="00CC6A32"/>
    <w:rsid w:val="00CD1026"/>
    <w:rsid w:val="00CD1B89"/>
    <w:rsid w:val="00CD6369"/>
    <w:rsid w:val="00CE0B03"/>
    <w:rsid w:val="00CE280B"/>
    <w:rsid w:val="00CE510C"/>
    <w:rsid w:val="00CE782A"/>
    <w:rsid w:val="00CF0694"/>
    <w:rsid w:val="00CF5AEC"/>
    <w:rsid w:val="00D06FFC"/>
    <w:rsid w:val="00D16DE9"/>
    <w:rsid w:val="00D177BC"/>
    <w:rsid w:val="00D211D5"/>
    <w:rsid w:val="00D24669"/>
    <w:rsid w:val="00D24C1F"/>
    <w:rsid w:val="00D26595"/>
    <w:rsid w:val="00D26849"/>
    <w:rsid w:val="00D32877"/>
    <w:rsid w:val="00D332B7"/>
    <w:rsid w:val="00D344B5"/>
    <w:rsid w:val="00D37AE9"/>
    <w:rsid w:val="00D410E6"/>
    <w:rsid w:val="00D42DB7"/>
    <w:rsid w:val="00D452BD"/>
    <w:rsid w:val="00D5240C"/>
    <w:rsid w:val="00D52EFD"/>
    <w:rsid w:val="00D67A08"/>
    <w:rsid w:val="00D762C7"/>
    <w:rsid w:val="00D80FBC"/>
    <w:rsid w:val="00D82394"/>
    <w:rsid w:val="00D83615"/>
    <w:rsid w:val="00D87B9D"/>
    <w:rsid w:val="00D9456C"/>
    <w:rsid w:val="00D95E41"/>
    <w:rsid w:val="00DA4CF2"/>
    <w:rsid w:val="00DA4F5F"/>
    <w:rsid w:val="00DA666E"/>
    <w:rsid w:val="00DB1695"/>
    <w:rsid w:val="00DB3315"/>
    <w:rsid w:val="00DB59C8"/>
    <w:rsid w:val="00DC50D1"/>
    <w:rsid w:val="00DC681C"/>
    <w:rsid w:val="00DD0D1C"/>
    <w:rsid w:val="00DD1BEA"/>
    <w:rsid w:val="00DD4017"/>
    <w:rsid w:val="00DD4221"/>
    <w:rsid w:val="00DD64A4"/>
    <w:rsid w:val="00DD6EC1"/>
    <w:rsid w:val="00DE0A69"/>
    <w:rsid w:val="00DE19AD"/>
    <w:rsid w:val="00DE5F89"/>
    <w:rsid w:val="00DE6351"/>
    <w:rsid w:val="00DE63FD"/>
    <w:rsid w:val="00DF18B5"/>
    <w:rsid w:val="00DF1B3F"/>
    <w:rsid w:val="00DF69E3"/>
    <w:rsid w:val="00DF7950"/>
    <w:rsid w:val="00E014D0"/>
    <w:rsid w:val="00E0175B"/>
    <w:rsid w:val="00E048B4"/>
    <w:rsid w:val="00E06273"/>
    <w:rsid w:val="00E06C24"/>
    <w:rsid w:val="00E12942"/>
    <w:rsid w:val="00E20D4E"/>
    <w:rsid w:val="00E21B0C"/>
    <w:rsid w:val="00E236CE"/>
    <w:rsid w:val="00E274D6"/>
    <w:rsid w:val="00E30436"/>
    <w:rsid w:val="00E30F1A"/>
    <w:rsid w:val="00E3221B"/>
    <w:rsid w:val="00E32C4B"/>
    <w:rsid w:val="00E41C5F"/>
    <w:rsid w:val="00E50AEB"/>
    <w:rsid w:val="00E5276F"/>
    <w:rsid w:val="00E54E90"/>
    <w:rsid w:val="00E553BD"/>
    <w:rsid w:val="00E739FE"/>
    <w:rsid w:val="00E85523"/>
    <w:rsid w:val="00E935DD"/>
    <w:rsid w:val="00EA0F68"/>
    <w:rsid w:val="00EA58C4"/>
    <w:rsid w:val="00EA7FCA"/>
    <w:rsid w:val="00EB3E98"/>
    <w:rsid w:val="00EB55B3"/>
    <w:rsid w:val="00EB7CBC"/>
    <w:rsid w:val="00EC08B9"/>
    <w:rsid w:val="00EC2AD8"/>
    <w:rsid w:val="00ED0A4B"/>
    <w:rsid w:val="00ED1287"/>
    <w:rsid w:val="00ED19B3"/>
    <w:rsid w:val="00ED1C37"/>
    <w:rsid w:val="00ED20C6"/>
    <w:rsid w:val="00ED5C88"/>
    <w:rsid w:val="00ED684C"/>
    <w:rsid w:val="00ED6BD6"/>
    <w:rsid w:val="00EE03F6"/>
    <w:rsid w:val="00EF11B8"/>
    <w:rsid w:val="00EF1639"/>
    <w:rsid w:val="00EF1D4C"/>
    <w:rsid w:val="00EF4D31"/>
    <w:rsid w:val="00F02163"/>
    <w:rsid w:val="00F0435A"/>
    <w:rsid w:val="00F04492"/>
    <w:rsid w:val="00F048FF"/>
    <w:rsid w:val="00F13240"/>
    <w:rsid w:val="00F17CC2"/>
    <w:rsid w:val="00F17F2B"/>
    <w:rsid w:val="00F24B0B"/>
    <w:rsid w:val="00F25E95"/>
    <w:rsid w:val="00F30F74"/>
    <w:rsid w:val="00F3490C"/>
    <w:rsid w:val="00F47C3E"/>
    <w:rsid w:val="00F53290"/>
    <w:rsid w:val="00F55E49"/>
    <w:rsid w:val="00F56535"/>
    <w:rsid w:val="00F60DBE"/>
    <w:rsid w:val="00F73DF4"/>
    <w:rsid w:val="00F77963"/>
    <w:rsid w:val="00F81739"/>
    <w:rsid w:val="00F81982"/>
    <w:rsid w:val="00F90B83"/>
    <w:rsid w:val="00F90C50"/>
    <w:rsid w:val="00F91132"/>
    <w:rsid w:val="00F92EAA"/>
    <w:rsid w:val="00F9325D"/>
    <w:rsid w:val="00F96C9D"/>
    <w:rsid w:val="00F979AA"/>
    <w:rsid w:val="00FA4930"/>
    <w:rsid w:val="00FA495C"/>
    <w:rsid w:val="00FA657A"/>
    <w:rsid w:val="00FA6FA7"/>
    <w:rsid w:val="00FA713C"/>
    <w:rsid w:val="00FA792B"/>
    <w:rsid w:val="00FB540D"/>
    <w:rsid w:val="00FB549E"/>
    <w:rsid w:val="00FB7021"/>
    <w:rsid w:val="00FB74E0"/>
    <w:rsid w:val="00FB7F4A"/>
    <w:rsid w:val="00FC584A"/>
    <w:rsid w:val="00FD06EC"/>
    <w:rsid w:val="00FD17DA"/>
    <w:rsid w:val="00FD443B"/>
    <w:rsid w:val="00FE17E4"/>
    <w:rsid w:val="00FE23D9"/>
    <w:rsid w:val="00FE48D5"/>
    <w:rsid w:val="00FE50CE"/>
    <w:rsid w:val="00FE74BE"/>
    <w:rsid w:val="00FF0110"/>
    <w:rsid w:val="00FF10F2"/>
    <w:rsid w:val="00FF6003"/>
    <w:rsid w:val="05342E36"/>
    <w:rsid w:val="1CCC2B4A"/>
    <w:rsid w:val="3E8270F0"/>
    <w:rsid w:val="4718CE95"/>
    <w:rsid w:val="646B1CA9"/>
    <w:rsid w:val="7234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icines.org.uk/emc/" TargetMode="External"/><Relationship Id="rId21" Type="http://schemas.openxmlformats.org/officeDocument/2006/relationships/hyperlink" Target="https://www.nice.org.uk/" TargetMode="External"/><Relationship Id="rId42" Type="http://schemas.openxmlformats.org/officeDocument/2006/relationships/hyperlink" Target="https://assets.publishing.service.gov.uk/government/uploads/system/uploads/attachment_data/file/1073013/UKHSA_guidelines_on_VZ_post_exposure_prophylaxis.pdf" TargetMode="External"/><Relationship Id="rId47" Type="http://schemas.openxmlformats.org/officeDocument/2006/relationships/hyperlink" Target="https://www.sps.nhs.uk/medicines/methotrexate/" TargetMode="External"/><Relationship Id="rId63" Type="http://schemas.openxmlformats.org/officeDocument/2006/relationships/hyperlink" Target="https://onlinelibrary.wiley.com/doi/full/10.1111/bjd.14816" TargetMode="External"/><Relationship Id="rId68"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www.gov.uk/drug-safety-update/methotrexate-once-weekly-for-autoimmune-diseases-new-measures-to-reduce-risk-of-fatal-overdose-due-to-inadvertent-daily-instead-of-weekly-dosing" TargetMode="External"/><Relationship Id="rId11" Type="http://schemas.openxmlformats.org/officeDocument/2006/relationships/hyperlink" Target="https://academic.oup.com/rheumatology/article/55/9/1693/1744535" TargetMode="External"/><Relationship Id="rId24" Type="http://schemas.openxmlformats.org/officeDocument/2006/relationships/hyperlink" Target="https://www.medicines.org.uk/emc/search?q=methotrexate" TargetMode="External"/><Relationship Id="rId32" Type="http://schemas.openxmlformats.org/officeDocument/2006/relationships/hyperlink" Target="https://www.gov.uk/government/collections/immunisation-against-infectious-disease-the-green-book" TargetMode="External"/><Relationship Id="rId37" Type="http://schemas.openxmlformats.org/officeDocument/2006/relationships/hyperlink" Target="https://www.gov.uk/government/publications/covid-19-the-green-book-chapter-14a" TargetMode="External"/><Relationship Id="rId40" Type="http://schemas.openxmlformats.org/officeDocument/2006/relationships/hyperlink" Target="https://www.nhs.uk/live-well/alcohol-support/calculating-alcohol-units/" TargetMode="External"/><Relationship Id="rId45" Type="http://schemas.openxmlformats.org/officeDocument/2006/relationships/hyperlink" Target="https://www.medicinesinpregnancy.org/Medicine--pregnancy/Methotrexate/" TargetMode="External"/><Relationship Id="rId53" Type="http://schemas.openxmlformats.org/officeDocument/2006/relationships/hyperlink" Target="https://www.sutton.gov.uk/w/book-a-clinical-waste-collection?p_l_back_url=%2Fsearch%3Fq%3Dclinical%2Bwaste" TargetMode="External"/><Relationship Id="rId58" Type="http://schemas.openxmlformats.org/officeDocument/2006/relationships/hyperlink" Target="https://www.medicines.org.uk/emc/product/11351/" TargetMode="External"/><Relationship Id="rId66" Type="http://schemas.openxmlformats.org/officeDocument/2006/relationships/hyperlink" Target="https://www.sps.nhs.uk/articles/rmoc-shared-care-guidance/" TargetMode="External"/><Relationship Id="rId5" Type="http://schemas.openxmlformats.org/officeDocument/2006/relationships/numbering" Target="numbering.xml"/><Relationship Id="rId61" Type="http://schemas.openxmlformats.org/officeDocument/2006/relationships/hyperlink" Target="https://www.medicines.org.uk/emc/product/8599/" TargetMode="External"/><Relationship Id="rId19" Type="http://schemas.openxmlformats.org/officeDocument/2006/relationships/hyperlink" Target="https://bnf.nice.org.uk/?" TargetMode="External"/><Relationship Id="rId14" Type="http://schemas.openxmlformats.org/officeDocument/2006/relationships/hyperlink" Target="https://www.medicines.org.uk/emc/" TargetMode="External"/><Relationship Id="rId22" Type="http://schemas.openxmlformats.org/officeDocument/2006/relationships/footer" Target="footer1.xml"/><Relationship Id="rId27" Type="http://schemas.openxmlformats.org/officeDocument/2006/relationships/hyperlink" Target="https://www.medicines.org.uk/emc/search?q=methotrexate" TargetMode="External"/><Relationship Id="rId30" Type="http://schemas.openxmlformats.org/officeDocument/2006/relationships/hyperlink" Target="https://bnf.nice.org.uk/drugs/" TargetMode="External"/><Relationship Id="rId35" Type="http://schemas.openxmlformats.org/officeDocument/2006/relationships/hyperlink" Target="https://www.gov.uk/government/publications/shingles-herpes-zoster-the-green-book-chapter-28a" TargetMode="External"/><Relationship Id="rId43" Type="http://schemas.openxmlformats.org/officeDocument/2006/relationships/hyperlink" Target="https://www.nhs.uk/medicines/methotrexate/" TargetMode="External"/><Relationship Id="rId48" Type="http://schemas.openxmlformats.org/officeDocument/2006/relationships/hyperlink" Target="https://www.medicinesinpregnancy.org/bumps/monographs/PATERNAL-USE-OF-METHOTREXATE/" TargetMode="External"/><Relationship Id="rId56" Type="http://schemas.openxmlformats.org/officeDocument/2006/relationships/hyperlink" Target="https://www.medicines.org.uk/emc/product/1376/" TargetMode="External"/><Relationship Id="rId64" Type="http://schemas.openxmlformats.org/officeDocument/2006/relationships/hyperlink" Target="https://academic.oup.com/rheumatology/article/55/9/1693/1744535" TargetMode="External"/><Relationship Id="rId69"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hyperlink" Target="https://www.merton.gov.uk/rubbish-and-recycling/bulky-hazardous-and-clinical-waste/clinical-wast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cademic.oup.com/rheumatology/article/55/9/1693/1744535" TargetMode="External"/><Relationship Id="rId17" Type="http://schemas.openxmlformats.org/officeDocument/2006/relationships/hyperlink" Target="https://www.nice.org.uk/" TargetMode="External"/><Relationship Id="rId25" Type="http://schemas.openxmlformats.org/officeDocument/2006/relationships/hyperlink" Target="https://bnf.nice.org.uk/drugs/" TargetMode="External"/><Relationship Id="rId33" Type="http://schemas.openxmlformats.org/officeDocument/2006/relationships/hyperlink" Target="https://www.gov.uk/government/publications/contraindications-and-special-considerations-the-green-book-chapter-6" TargetMode="External"/><Relationship Id="rId38" Type="http://schemas.openxmlformats.org/officeDocument/2006/relationships/hyperlink" Target="https://www.gov.uk/government/publications/pneumococcal-the-green-book-chapter-25" TargetMode="External"/><Relationship Id="rId46" Type="http://schemas.openxmlformats.org/officeDocument/2006/relationships/hyperlink" Target="https://academic.oup.com/rheumatology/article/55/9/1693/1744535" TargetMode="External"/><Relationship Id="rId59" Type="http://schemas.openxmlformats.org/officeDocument/2006/relationships/hyperlink" Target="https://www.medicines.org.uk/emc/product/7721/" TargetMode="External"/><Relationship Id="rId67" Type="http://schemas.openxmlformats.org/officeDocument/2006/relationships/hyperlink" Target="https://www.england.nhs.uk/publication/responsibility-for-prescribing-between-primary-and-secondary-tertiary-care/"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gov.uk/government/publications/varicella-the-green-book-chapter-34" TargetMode="External"/><Relationship Id="rId54" Type="http://schemas.openxmlformats.org/officeDocument/2006/relationships/hyperlink" Target="https://www.wandsworth.gov.uk/rubbish-and-recycling/clinical-and-healthcare-waste/clinical-and-hygiene-waste-from-households/separate-hazardous-clinical-waste-collections/" TargetMode="External"/><Relationship Id="rId62" Type="http://schemas.openxmlformats.org/officeDocument/2006/relationships/hyperlink" Target="https://academic.oup.com/rheumatology/article/56/6/865/305347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header" Target="header1.xml"/><Relationship Id="rId28" Type="http://schemas.openxmlformats.org/officeDocument/2006/relationships/hyperlink" Target="https://www.gov.uk/drug-safety-update/methotrexate-once-weekly-for-autoimmune-diseases-new-measures-to-reduce-risk-of-fatal-overdose-due-to-inadvertent-daily-instead-of-weekly-dosing" TargetMode="External"/><Relationship Id="rId36" Type="http://schemas.openxmlformats.org/officeDocument/2006/relationships/hyperlink" Target="https://www.gov.uk/government/publications/influenza-the-green-book-chapter-19" TargetMode="External"/><Relationship Id="rId49" Type="http://schemas.openxmlformats.org/officeDocument/2006/relationships/hyperlink" Target="https://www.croydon.gov.uk/rubbish-and-recycling/clinical-waste" TargetMode="External"/><Relationship Id="rId57" Type="http://schemas.openxmlformats.org/officeDocument/2006/relationships/hyperlink" Target="https://www.medicines.org.uk/emc/product/9057/smpc" TargetMode="External"/><Relationship Id="rId10" Type="http://schemas.openxmlformats.org/officeDocument/2006/relationships/endnotes" Target="endnotes.xml"/><Relationship Id="rId31" Type="http://schemas.openxmlformats.org/officeDocument/2006/relationships/hyperlink" Target="https://www.medicines.org.uk/emc/" TargetMode="External"/><Relationship Id="rId44" Type="http://schemas.openxmlformats.org/officeDocument/2006/relationships/hyperlink" Target="https://www.medicinesinpregnancy.org/bumps/monographs/USE-OF-METHOTREXATE-IN-PREGNANCY/" TargetMode="External"/><Relationship Id="rId52" Type="http://schemas.openxmlformats.org/officeDocument/2006/relationships/hyperlink" Target="https://www.richmond.gov.uk/clinical_waste" TargetMode="External"/><Relationship Id="rId60" Type="http://schemas.openxmlformats.org/officeDocument/2006/relationships/hyperlink" Target="https://www.medicines.org.uk/emc/product/7270/" TargetMode="External"/><Relationship Id="rId65" Type="http://schemas.openxmlformats.org/officeDocument/2006/relationships/hyperlink" Target="https://www.gov.uk/drug-safety-update/methotrexate-once-weekly-for-autoimmune-diseases-new-measures-to-reduce-risk-of-fatal-overdose-due-to-inadvertent-daily-instead-of-weekly-dos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medicines.org.uk/emc/" TargetMode="External"/><Relationship Id="rId39" Type="http://schemas.openxmlformats.org/officeDocument/2006/relationships/hyperlink" Target="http://www.mhra.gov.uk/yellowcard" TargetMode="External"/><Relationship Id="rId34" Type="http://schemas.openxmlformats.org/officeDocument/2006/relationships/hyperlink" Target="https://www.gov.uk/government/publications/contraindications-and-special-considerations-the-green-book-chapter-6" TargetMode="External"/><Relationship Id="rId50" Type="http://schemas.openxmlformats.org/officeDocument/2006/relationships/hyperlink" Target="https://www.kingston.gov.uk/bins-recycling-rubbish/clinical-waste" TargetMode="External"/><Relationship Id="rId55" Type="http://schemas.openxmlformats.org/officeDocument/2006/relationships/hyperlink" Target="https://bnf.nice.org.uk/drug/methotrexat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
      <w:docPartPr>
        <w:name w:val="0351782573C94D8EA2E6D15CA8BDD190"/>
        <w:category>
          <w:name w:val="General"/>
          <w:gallery w:val="placeholder"/>
        </w:category>
        <w:types>
          <w:type w:val="bbPlcHdr"/>
        </w:types>
        <w:behaviors>
          <w:behavior w:val="content"/>
        </w:behaviors>
        <w:guid w:val="{6DE59FC1-DDCE-4C28-A19E-ED9085BF63D6}"/>
      </w:docPartPr>
      <w:docPartBody>
        <w:p w:rsidR="00000000" w:rsidRDefault="00EF6B60" w:rsidP="00EF6B60">
          <w:pPr>
            <w:pStyle w:val="0351782573C94D8EA2E6D15CA8BDD190"/>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0109E"/>
    <w:rsid w:val="000D184B"/>
    <w:rsid w:val="002159E9"/>
    <w:rsid w:val="003D6F65"/>
    <w:rsid w:val="004B67C3"/>
    <w:rsid w:val="006A364A"/>
    <w:rsid w:val="007E254C"/>
    <w:rsid w:val="00827965"/>
    <w:rsid w:val="00A01E1E"/>
    <w:rsid w:val="00AA0AF6"/>
    <w:rsid w:val="00CE510C"/>
    <w:rsid w:val="00EF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B60"/>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 w:type="paragraph" w:customStyle="1" w:styleId="0351782573C94D8EA2E6D15CA8BDD190">
    <w:name w:val="0351782573C94D8EA2E6D15CA8BDD190"/>
    <w:rsid w:val="00EF6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6" ma:contentTypeDescription="Create a new document." ma:contentTypeScope="" ma:versionID="f9e6ae158f578a128ce48bbfd5ff55df">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e731efa98509a1ec4a5f2bbd784442a1"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736F8E4-14CE-4E73-A402-2DB7C12A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8672b-4d2c-464c-bb99-a9b2f723370b"/>
    <ds:schemaRef ds:uri="d9d96581-93eb-47cc-899e-71b04dd2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purl.org/dc/dcmitype/"/>
    <ds:schemaRef ds:uri="http://schemas.microsoft.com/office/2006/metadata/properties"/>
    <ds:schemaRef ds:uri="http://purl.org/dc/elements/1.1/"/>
    <ds:schemaRef ds:uri="d9d96581-93eb-47cc-899e-71b04dd2eee7"/>
    <ds:schemaRef ds:uri="http://www.w3.org/XML/1998/namespace"/>
    <ds:schemaRef ds:uri="7948672b-4d2c-464c-bb99-a9b2f723370b"/>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7613</Words>
  <Characters>43399</Characters>
  <Application>Microsoft Office Word</Application>
  <DocSecurity>8</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Amy Clifford (NHS South West London ICB)</cp:lastModifiedBy>
  <cp:revision>3</cp:revision>
  <cp:lastPrinted>2022-01-06T16:15:00Z</cp:lastPrinted>
  <dcterms:created xsi:type="dcterms:W3CDTF">2023-04-17T10:36:00Z</dcterms:created>
  <dcterms:modified xsi:type="dcterms:W3CDTF">2023-04-17T10:38:00Z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ies>
</file>